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Times New Roman" w:hAnsi="Times New Roman"/>
          <w:b/>
          <w:sz w:val="40"/>
        </w:rPr>
        <w:t>Predicting Asphalt Strength, Deformation, and Performance Properties</w:t>
      </w:r>
    </w:p>
    <w:p>
      <w:pPr>
        <w:spacing w:after="120"/>
        <w:jc w:val="center"/>
      </w:pPr>
      <w:r>
        <w:rPr>
          <w:rFonts w:ascii="Times New Roman" w:hAnsi="Times New Roman"/>
          <w:b w:val="0"/>
          <w:sz w:val="32"/>
        </w:rPr>
        <w:t>Using First-Order TSK Fuzzy Inference Systems</w:t>
      </w:r>
    </w:p>
    <w:p/>
    <w:p>
      <w:pPr>
        <w:spacing w:after="120"/>
        <w:jc w:val="center"/>
      </w:pPr>
      <w:r>
        <w:rPr>
          <w:rFonts w:ascii="Times New Roman" w:hAnsi="Times New Roman"/>
          <w:b w:val="0"/>
          <w:sz w:val="28"/>
        </w:rPr>
        <w:t>Technical Report</w:t>
      </w:r>
    </w:p>
    <w:p>
      <w:pPr>
        <w:spacing w:after="120"/>
        <w:jc w:val="center"/>
      </w:pPr>
      <w:r>
        <w:rPr>
          <w:rFonts w:ascii="Times New Roman" w:hAnsi="Times New Roman"/>
          <w:b w:val="0"/>
          <w:sz w:val="24"/>
        </w:rPr>
        <w:t>February 2026</w:t>
      </w:r>
    </w:p>
    <w:p>
      <w:r>
        <w:br w:type="page"/>
      </w:r>
    </w:p>
    <w:p>
      <w:pPr>
        <w:pStyle w:val="Heading1"/>
      </w:pPr>
      <w:r>
        <w:t>خلاصه گزارش به زبان فارسی</w:t>
      </w:r>
    </w:p>
    <w:p>
      <w:pPr>
        <w:spacing w:after="160"/>
        <w:jc w:val="right"/>
      </w:pPr>
      <w:r>
        <w:rPr>
          <w:rFonts w:ascii="Times New Roman" w:hAnsi="Times New Roman"/>
          <w:sz w:val="24"/>
        </w:rPr>
        <w:t>در این پروژه، یک سیستم فازی از نوع تاکاگی–سوگنو–کانگ (TSK) مرتبه اول برای پیش‌بینی خواص مکانیکی آسفالت طراحی و پیاده‌سازی شده است. هدف اصلی این سیستم، تخمین چهار خروجی کلیدی شامل پایداری تنظیم‌شده (بر حسب کیلونیوتن)، جریان (بر حسب میلی‌متر)، مدول سختی کششی غیرمستقیم در دمای ۲۰ درجه سانتی‌گراد و ۳۰ درجه سانتی‌گراد است. این خواص برای ارزیابی عملکرد سازه‌ای روسازی‌های آسفالتی حیاتی هستند.</w:t>
      </w:r>
    </w:p>
    <w:p>
      <w:pPr>
        <w:spacing w:after="160"/>
        <w:jc w:val="right"/>
      </w:pPr>
      <w:r>
        <w:rPr>
          <w:rFonts w:ascii="Times New Roman" w:hAnsi="Times New Roman"/>
          <w:sz w:val="24"/>
        </w:rPr>
        <w:t>مبانی نظری این کار بر پایه دو منبع اصلی استوار است: کتاب جری مندل با عنوان «سیستم‌های فازی مبتنی بر قواعد غیرقطعی قابل توضیح» (ویرایش سوم، ۲۰۱۷) و کتاب کلیر و یوان با عنوان «مجموعه‌های فازی و منطق فازی: نظریه و کاربردها» (۱۹۹۵). از این دو منبع، تعریف توابع عضویت گاوسی، ساختار قواعد TSK مرتبه اول، روش دفازی‌سازی به صورت میانگین وزن‌دار، و روش بهینه‌سازی ترکیبی استخراج شده است.</w:t>
      </w:r>
    </w:p>
    <w:p>
      <w:pPr>
        <w:spacing w:after="160"/>
        <w:jc w:val="right"/>
      </w:pPr>
      <w:r>
        <w:rPr>
          <w:rFonts w:ascii="Times New Roman" w:hAnsi="Times New Roman"/>
          <w:sz w:val="24"/>
        </w:rPr>
        <w:t>مجموعه داده مورد استفاده شامل ۱۶۸ نمونه آسفالتی با ۱۰ ویژگی ورودی و ۴ ویژگی خروجی است. ویژگی‌های ورودی شامل ویسکوزیته قیر، درصد قیر وزنی، درصد قیر مؤثر، وزن مخصوص حداکثری نظری، درصد فضای خالی هوا، وزن واحد، و پارامترهای دانه‌بندی سنگدانه‌ها (P200، P4، P38، P34) می‌باشد. داده‌ها به نسبت ۸۰ به ۲۰ به دو مجموعه آموزش و آزمون تقسیم شده‌اند.</w:t>
      </w:r>
    </w:p>
    <w:p>
      <w:pPr>
        <w:spacing w:after="160"/>
        <w:jc w:val="right"/>
      </w:pPr>
      <w:r>
        <w:rPr>
          <w:rFonts w:ascii="Times New Roman" w:hAnsi="Times New Roman"/>
          <w:sz w:val="24"/>
        </w:rPr>
        <w:t>روش طراحی سیستم فازی شامل دو مرحله اصلی است. در مرحله اول، ساختار سیستم با استفاده از الگوریتم خوشه‌بندی تفریقی (چیو، ۱۹۹۴) شناسایی می‌شود. این الگوریتم در فضای مشترک ورودی–خروجی اجرا شده و مراکز خوشه‌ها به عنوان نمونه‌های اولیه قواعد TSK مورد استفاده قرار می‌گیرند. تعداد قواعد به صورت خودکار توسط الگوریتم تعیین می‌شود و به حدود ۱۱ تا ۱۲ قاعده برای هر خروجی رسیده است.</w:t>
      </w:r>
    </w:p>
    <w:p>
      <w:pPr>
        <w:spacing w:after="160"/>
        <w:jc w:val="right"/>
      </w:pPr>
      <w:r>
        <w:rPr>
          <w:rFonts w:ascii="Times New Roman" w:hAnsi="Times New Roman"/>
          <w:sz w:val="24"/>
        </w:rPr>
        <w:t>در مرحله دوم، پارامترهای سیستم با رویکرد ترکیبی تنظیم می‌شوند. پارامترهای نتیجه‌گیری (ضرایب خطی در بخش THEN قواعد) با روش حداقل مربعات وزن‌دار با منظم‌سازی ریج تخمین زده می‌شوند. سپس پارامترهای مقدم (مراکز و پهناهای توابع عضویت گاوسی) با روش گرادیان کاهشی بهینه می‌شوند. این فرآیند به صورت تکراری تا همگرایی ادامه می‌یابد.</w:t>
      </w:r>
    </w:p>
    <w:p>
      <w:pPr>
        <w:spacing w:after="160"/>
        <w:jc w:val="right"/>
      </w:pPr>
      <w:r>
        <w:rPr>
          <w:rFonts w:ascii="Times New Roman" w:hAnsi="Times New Roman"/>
          <w:sz w:val="24"/>
        </w:rPr>
        <w:t>نتایج به‌دست‌آمده نشان می‌دهد که سیستم فازی TSK قادر به پیش‌بینی مطلوب خواص آسفالت است. برای پایداری، RMSE آموزش برابر ۰.۷۵۷۴ کیلونیوتن و RMSE آزمون برابر ۱.۰۵۷۴ کیلونیوتن به دست آمد. برای جریان، RMSE آموزش ۰.۵۷۷۱ میلی‌متر و RMSE آزمون ۰.۷۸۴۸ میلی‌متر حاصل شد. برای ITSM در ۲۰ درجه، RMSE آموزش ۴۰۱.۳۱ و RMSE آزمون ۵۷۶.۶۷ مگاپاسکال به دست آمد. برای ITSM در ۳۰ درجه، RMSE آموزش ۱۲۱.۹۱ و RMSE آزمون ۱۸۴.۵۵ مگاپاسکال به دست آمد.</w:t>
      </w:r>
    </w:p>
    <w:p>
      <w:pPr>
        <w:spacing w:after="160"/>
        <w:jc w:val="right"/>
      </w:pPr>
      <w:r>
        <w:rPr>
          <w:rFonts w:ascii="Times New Roman" w:hAnsi="Times New Roman"/>
          <w:sz w:val="24"/>
        </w:rPr>
        <w:t>اختلاف معقول بین خطای آموزش و آزمون نشان‌دهنده تعمیم‌پذیری مناسب سیستم است. استفاده از منظم‌سازی ریج در تخمین حداقل مربعات به جلوگیری از بیش‌برازش کمک کرده است. همچنین، تنظیم شعاع خوشه‌بندی برای کنترل تعداد قواعد نقش مهمی در عملکرد نهایی سیستم داشته است. هر چهار خروجی توسط سیستم‌های فازی مستقل پیش‌بینی می‌شوند که امکان بهینه‌سازی جداگانه هر سیستم را فراهم می‌آورد.</w:t>
      </w:r>
    </w:p>
    <w:p>
      <w:pPr>
        <w:spacing w:after="160"/>
        <w:jc w:val="right"/>
      </w:pPr>
      <w:r>
        <w:rPr>
          <w:rFonts w:ascii="Times New Roman" w:hAnsi="Times New Roman"/>
          <w:sz w:val="24"/>
        </w:rPr>
        <w:t>کلید‌واژه‌ها: سیستم فازی TSK، خوشه‌بندی تفریقی، آسفالت، پایداری مارشال، مدول سختی کششی غیرمستقیم، یادگیری ترکیبی.</w:t>
      </w:r>
    </w:p>
    <w:p>
      <w:r>
        <w:br w:type="page"/>
      </w:r>
    </w:p>
    <w:p>
      <w:pPr>
        <w:pStyle w:val="Heading1"/>
      </w:pPr>
      <w:r>
        <w:t>Abstract</w:t>
      </w:r>
    </w:p>
    <w:p>
      <w:pPr>
        <w:spacing w:after="120"/>
        <w:jc w:val="both"/>
      </w:pPr>
      <w:r>
        <w:rPr>
          <w:rFonts w:ascii="Times New Roman" w:hAnsi="Times New Roman"/>
          <w:b w:val="0"/>
          <w:sz w:val="24"/>
        </w:rPr>
        <w:t>This report presents the design, implementation, and evaluation of a first-order Takagi–Sugeno–Kang (TSK) fuzzy inference system for predicting the mechanical and performance properties of hot-mix asphalt. The system accepts ten input parameters describing binder viscosity, asphalt content, volumetric properties, and aggregate gradation, and produces predictions for four output variables: adjusted Marshall stability, flow, and indirect tensile stiffness modulus at 20°C and 30°C. Subtractive clustering in the joint input–output space automatically determines the rule base structure, and a hybrid learning algorithm combining weighted least-squares estimation with gradient descent tunes the system parameters. Experimental results on a dataset of 168 asphalt specimens demonstrate satisfactory predictive accuracy with reasonable generalisation from training to test data.</w:t>
      </w:r>
    </w:p>
    <w:p>
      <w:r>
        <w:br w:type="page"/>
      </w:r>
    </w:p>
    <w:p>
      <w:pPr>
        <w:pStyle w:val="Heading1"/>
      </w:pPr>
      <w:r>
        <w:t>1. Introduction</w:t>
      </w:r>
    </w:p>
    <w:p>
      <w:pPr>
        <w:spacing w:after="120"/>
        <w:jc w:val="both"/>
      </w:pPr>
      <w:r>
        <w:rPr>
          <w:rFonts w:ascii="Times New Roman" w:hAnsi="Times New Roman"/>
          <w:b w:val="0"/>
          <w:sz w:val="24"/>
        </w:rPr>
        <w:t>Accurate prediction of the mechanical properties of asphalt pavement layers is essential for ensuring the structural integrity, safety, and durability of road infrastructure. Laboratory characterisation of asphalt mixes through tests such as the Marshall stability test and the indirect tensile stiffness modulus (ITSM) test provides the data necessary for pavement design. However, these tests are time-consuming and resource-intensive, motivating the development of computational models that can estimate these properties from more readily available mix design parameters.</w:t>
      </w:r>
    </w:p>
    <w:p>
      <w:pPr>
        <w:spacing w:after="120"/>
        <w:jc w:val="both"/>
      </w:pPr>
      <w:r>
        <w:rPr>
          <w:rFonts w:ascii="Times New Roman" w:hAnsi="Times New Roman"/>
          <w:b w:val="0"/>
          <w:sz w:val="24"/>
        </w:rPr>
        <w:t>Fuzzy inference systems offer a compelling framework for this task because they can capture nonlinear relationships between input and output variables while retaining a degree of interpretability through linguistic rules. Among the various fuzzy system architectures, the Takagi–Sugeno–Kang (TSK) model is particularly well suited for function approximation problems, as its consequent functions are explicit mathematical expressions rather than fuzzy sets.</w:t>
      </w:r>
    </w:p>
    <w:p>
      <w:pPr>
        <w:spacing w:after="120"/>
        <w:jc w:val="both"/>
      </w:pPr>
      <w:r>
        <w:rPr>
          <w:rFonts w:ascii="Times New Roman" w:hAnsi="Times New Roman"/>
          <w:b w:val="0"/>
          <w:sz w:val="24"/>
        </w:rPr>
        <w:t>This work designs four independent first-order TSK fuzzy systems—one for each output variable—following the theoretical framework established in Mendel (2017) and Klir and Yuan (1995). The rule base is generated automatically via subtractive clustering, and the system parameters are tuned using a hybrid learning algorithm.</w:t>
      </w:r>
    </w:p>
    <w:p>
      <w:pPr>
        <w:pStyle w:val="Heading1"/>
      </w:pPr>
      <w:r>
        <w:t>2. Theoretical Background</w:t>
      </w:r>
    </w:p>
    <w:p>
      <w:pPr>
        <w:pStyle w:val="Heading2"/>
      </w:pPr>
      <w:r>
        <w:t>2.1 Fuzzy Sets and Membership Functions</w:t>
      </w:r>
    </w:p>
    <w:p>
      <w:pPr>
        <w:spacing w:after="120"/>
        <w:jc w:val="both"/>
      </w:pPr>
      <w:r>
        <w:rPr>
          <w:rFonts w:ascii="Times New Roman" w:hAnsi="Times New Roman"/>
          <w:b w:val="0"/>
          <w:sz w:val="24"/>
        </w:rPr>
        <w:t>A fuzzy set A on a universe of discourse X is characterised by a membership function μ_A: X → [0, 1] that assigns to each element x a degree of membership (Klir and Yuan, 1995, §2.1). Unlike classical (crisp) sets where membership is binary, fuzzy sets permit gradual transitions, enabling the representation of imprecise linguistic concepts such as “low viscosity” or “high air void content.”</w:t>
      </w:r>
    </w:p>
    <w:p>
      <w:pPr>
        <w:spacing w:after="120"/>
        <w:jc w:val="both"/>
      </w:pPr>
      <w:r>
        <w:rPr>
          <w:rFonts w:ascii="Times New Roman" w:hAnsi="Times New Roman"/>
          <w:b w:val="0"/>
          <w:sz w:val="24"/>
        </w:rPr>
        <w:t>In this work, Gaussian membership functions are employed. Following Mendel (2017, Chapter 2), a Gaussian MF is defined as:</w:t>
      </w:r>
    </w:p>
    <w:p>
      <w:pPr>
        <w:spacing w:after="120"/>
        <w:jc w:val="center"/>
      </w:pPr>
      <w:r>
        <w:rPr>
          <w:rFonts w:ascii="Times New Roman" w:hAnsi="Times New Roman"/>
          <w:b w:val="0"/>
          <w:sz w:val="24"/>
        </w:rPr>
        <w:t>μ(x; c, σ) = exp(−0.5 · ((x − c) / σ)²)</w:t>
      </w:r>
    </w:p>
    <w:p>
      <w:pPr>
        <w:spacing w:after="120"/>
        <w:jc w:val="both"/>
      </w:pPr>
      <w:r>
        <w:rPr>
          <w:rFonts w:ascii="Times New Roman" w:hAnsi="Times New Roman"/>
          <w:b w:val="0"/>
          <w:sz w:val="24"/>
        </w:rPr>
        <w:t>where c is the centre (mean) and σ is the spread (standard deviation). Gaussian MFs are smooth, differentiable everywhere, and thus amenable to gradient-based optimisation.</w:t>
      </w:r>
    </w:p>
    <w:p>
      <w:pPr>
        <w:pStyle w:val="Heading2"/>
      </w:pPr>
      <w:r>
        <w:t>2.2 TSK Fuzzy Inference Systems</w:t>
      </w:r>
    </w:p>
    <w:p>
      <w:pPr>
        <w:spacing w:after="120"/>
        <w:jc w:val="both"/>
      </w:pPr>
      <w:r>
        <w:rPr>
          <w:rFonts w:ascii="Times New Roman" w:hAnsi="Times New Roman"/>
          <w:b w:val="0"/>
          <w:sz w:val="24"/>
        </w:rPr>
        <w:t>A TSK fuzzy system consists of a set of IF–THEN rules where the antecedent is composed of fuzzy propositions and the consequent is a crisp function of the inputs (Mendel, 2017, §9.1). For a first-order TSK system with K rules and n inputs, the k-th rule takes the form:</w:t>
      </w:r>
    </w:p>
    <w:p>
      <w:pPr>
        <w:spacing w:after="120"/>
        <w:jc w:val="left"/>
      </w:pPr>
      <w:r>
        <w:rPr>
          <w:rFonts w:ascii="Times New Roman" w:hAnsi="Times New Roman"/>
          <w:b w:val="0"/>
          <w:sz w:val="22"/>
        </w:rPr>
        <w:t>R_k: IF x₁ is A₁k AND x₂ is A₂k AND … AND x_n is A_nk</w:t>
        <w:br/>
        <w:t xml:space="preserve">     THEN y_k = p₀k + p₁k·x₁ + p₂k·x₂ + … + p_nk·x_n</w:t>
      </w:r>
    </w:p>
    <w:p>
      <w:pPr>
        <w:spacing w:after="120"/>
        <w:jc w:val="both"/>
      </w:pPr>
      <w:r>
        <w:rPr>
          <w:rFonts w:ascii="Times New Roman" w:hAnsi="Times New Roman"/>
          <w:b w:val="0"/>
          <w:sz w:val="24"/>
        </w:rPr>
        <w:t>The firing strength of the k-th rule for an input vector x is computed using the product t-norm (Klir and Yuan, 1995, §3.3):</w:t>
      </w:r>
    </w:p>
    <w:p>
      <w:pPr>
        <w:spacing w:after="120"/>
        <w:jc w:val="center"/>
      </w:pPr>
      <w:r>
        <w:rPr>
          <w:rFonts w:ascii="Times New Roman" w:hAnsi="Times New Roman"/>
          <w:b w:val="0"/>
          <w:sz w:val="24"/>
        </w:rPr>
        <w:t>w_k(x) = ∏_{j=1}^{n} μ_{A_jk}(x_j)</w:t>
      </w:r>
    </w:p>
    <w:p>
      <w:pPr>
        <w:spacing w:after="120"/>
        <w:jc w:val="both"/>
      </w:pPr>
      <w:r>
        <w:rPr>
          <w:rFonts w:ascii="Times New Roman" w:hAnsi="Times New Roman"/>
          <w:b w:val="0"/>
          <w:sz w:val="24"/>
        </w:rPr>
        <w:t>The overall system output is the weighted average of the rule consequents (Mendel, 2017, §9.4):</w:t>
      </w:r>
    </w:p>
    <w:p>
      <w:pPr>
        <w:spacing w:after="120"/>
        <w:jc w:val="center"/>
      </w:pPr>
      <w:r>
        <w:rPr>
          <w:rFonts w:ascii="Times New Roman" w:hAnsi="Times New Roman"/>
          <w:b w:val="0"/>
          <w:sz w:val="24"/>
        </w:rPr>
        <w:t>y(x) = ∑_k w_k · y_k / ∑_k w_k</w:t>
      </w:r>
    </w:p>
    <w:p>
      <w:pPr>
        <w:pStyle w:val="Heading2"/>
      </w:pPr>
      <w:r>
        <w:t>2.3 Subtractive Clustering</w:t>
      </w:r>
    </w:p>
    <w:p>
      <w:pPr>
        <w:spacing w:after="120"/>
        <w:jc w:val="both"/>
      </w:pPr>
      <w:r>
        <w:rPr>
          <w:rFonts w:ascii="Times New Roman" w:hAnsi="Times New Roman"/>
          <w:b w:val="0"/>
          <w:sz w:val="24"/>
        </w:rPr>
        <w:t>Subtractive clustering (Chiu, 1994), as discussed in Mendel (2017, §9.4), is a data-driven method for identifying cluster centres in a dataset. Each data point is first assigned a potential measure proportional to the density of surrounding points within a Gaussian neighbourhood of radius r_a. The point with the highest potential is selected as the first cluster centre. The potentials of all remaining points are then reduced according to their proximity to the selected centre, using a broader neighbourhood of radius r_b = α · r_a (where α is the squash factor, typically 1.25). This process repeats until the acceptance and rejection criteria are satisfied.</w:t>
      </w:r>
    </w:p>
    <w:p>
      <w:pPr>
        <w:spacing w:after="120"/>
        <w:jc w:val="both"/>
      </w:pPr>
      <w:r>
        <w:rPr>
          <w:rFonts w:ascii="Times New Roman" w:hAnsi="Times New Roman"/>
          <w:b w:val="0"/>
          <w:sz w:val="24"/>
        </w:rPr>
        <w:t>In the context of TSK system design, subtractive clustering is applied to the joint normalised input–output space. Each identified cluster centre provides the initial antecedent MF parameters for one TSK rule.</w:t>
      </w:r>
    </w:p>
    <w:p>
      <w:pPr>
        <w:pStyle w:val="Heading2"/>
      </w:pPr>
      <w:r>
        <w:t>2.4 Hybrid Learning Algorithm</w:t>
      </w:r>
    </w:p>
    <w:p>
      <w:pPr>
        <w:spacing w:after="120"/>
        <w:jc w:val="both"/>
      </w:pPr>
      <w:r>
        <w:rPr>
          <w:rFonts w:ascii="Times New Roman" w:hAnsi="Times New Roman"/>
          <w:b w:val="0"/>
          <w:sz w:val="24"/>
        </w:rPr>
        <w:t>The hybrid learning approach combines two optimisation techniques (Mendel, 2017, §9.6–9.7). The consequent parameters (the linear coefficients in the THEN part of each rule) are estimated via weighted least-squares estimation (LSE). Denoting the normalised firing strength of rule k as ŵ_k = w_k / ∑_j w_j, the TSK output can be expressed in matrix form as y = A · P, where A is a design matrix constructed from the normalised firing strengths and the augmented input matrix, and P is the vector of all consequent parameters. The solution is obtained via the regularised normal equations (ridge regression) to prevent overfitting:</w:t>
      </w:r>
    </w:p>
    <w:p>
      <w:pPr>
        <w:spacing w:after="120"/>
        <w:jc w:val="center"/>
      </w:pPr>
      <w:r>
        <w:rPr>
          <w:rFonts w:ascii="Times New Roman" w:hAnsi="Times New Roman"/>
          <w:b w:val="0"/>
          <w:sz w:val="24"/>
        </w:rPr>
        <w:t>P = (AᵀA + λI)⁻¹ Aᵀy</w:t>
      </w:r>
    </w:p>
    <w:p>
      <w:pPr>
        <w:spacing w:after="120"/>
        <w:jc w:val="both"/>
      </w:pPr>
      <w:r>
        <w:rPr>
          <w:rFonts w:ascii="Times New Roman" w:hAnsi="Times New Roman"/>
          <w:b w:val="0"/>
          <w:sz w:val="24"/>
        </w:rPr>
        <w:t>The antecedent parameters (MF centres and spreads) are then fine-tuned using gradient descent. At each epoch, the gradients of the mean squared error with respect to each centre c_{jk} and spread σ_{jk} are computed analytically, and the parameters are updated. After each gradient step, the consequent parameters are re-estimated by LSE. This alternating procedure continues until convergence.</w:t>
      </w:r>
    </w:p>
    <w:p>
      <w:pPr>
        <w:pStyle w:val="Heading1"/>
      </w:pPr>
      <w:r>
        <w:t>3. System Architecture</w:t>
      </w:r>
    </w:p>
    <w:p>
      <w:pPr>
        <w:spacing w:after="120"/>
        <w:jc w:val="both"/>
      </w:pPr>
      <w:r>
        <w:rPr>
          <w:rFonts w:ascii="Times New Roman" w:hAnsi="Times New Roman"/>
          <w:b w:val="0"/>
          <w:sz w:val="24"/>
        </w:rPr>
        <w:t>The overall system comprises four independent TSK fuzzy inference engines, one for each output variable (Stability, Flow, ITSM at 20°C, ITSM at 30°C). Each engine shares the same ten-dimensional normalised input space but has its own set of rules, antecedent membership functions, and consequent parameters. This separation allows each subsystem to be optimised independently, accommodating the potentially different nonlinear relationships between inputs and each output.</w:t>
      </w:r>
    </w:p>
    <w:p>
      <w:pPr>
        <w:spacing w:after="120"/>
        <w:jc w:val="both"/>
      </w:pPr>
      <w:r>
        <w:rPr>
          <w:rFonts w:ascii="Times New Roman" w:hAnsi="Times New Roman"/>
          <w:b w:val="0"/>
          <w:sz w:val="24"/>
        </w:rPr>
        <w:t>The data processing pipeline consists of the following stages: (1) data loading and cleaning, (2) min–max normalisation fitted on training data, (3) subtractive clustering on the normalised joint input–output space, (4) TSK rule initialisation, (5) hybrid parameter tuning, and (6) evaluation via RMSE on both training and test partitions.</w:t>
      </w:r>
    </w:p>
    <w:p>
      <w:pPr>
        <w:pStyle w:val="Heading1"/>
      </w:pPr>
      <w:r>
        <w:t>4. Mathematical Formulation</w:t>
      </w:r>
    </w:p>
    <w:p>
      <w:pPr>
        <w:pStyle w:val="Heading2"/>
      </w:pPr>
      <w:r>
        <w:t>4.1 Data Normalisation</w:t>
      </w:r>
    </w:p>
    <w:p>
      <w:pPr>
        <w:spacing w:after="120"/>
        <w:jc w:val="both"/>
      </w:pPr>
      <w:r>
        <w:rPr>
          <w:rFonts w:ascii="Times New Roman" w:hAnsi="Times New Roman"/>
          <w:b w:val="0"/>
          <w:sz w:val="24"/>
        </w:rPr>
        <w:t>All input and output variables are normalised to the interval [0, 1] using min–max scaling. For each variable v with observed minimum v_min and maximum v_max in the training set, the normalised value is:</w:t>
      </w:r>
    </w:p>
    <w:p>
      <w:pPr>
        <w:spacing w:after="120"/>
        <w:jc w:val="center"/>
      </w:pPr>
      <w:r>
        <w:rPr>
          <w:rFonts w:ascii="Times New Roman" w:hAnsi="Times New Roman"/>
          <w:b w:val="0"/>
          <w:sz w:val="24"/>
        </w:rPr>
        <w:t>v̂ = (v − v_min) / (v_max − v_min)</w:t>
      </w:r>
    </w:p>
    <w:p>
      <w:pPr>
        <w:spacing w:after="120"/>
        <w:jc w:val="both"/>
      </w:pPr>
      <w:r>
        <w:rPr>
          <w:rFonts w:ascii="Times New Roman" w:hAnsi="Times New Roman"/>
          <w:b w:val="0"/>
          <w:sz w:val="24"/>
        </w:rPr>
        <w:t>Crucially, the scaling parameters are computed solely from the training partition to prevent information leakage from the test set.</w:t>
      </w:r>
    </w:p>
    <w:p>
      <w:pPr>
        <w:pStyle w:val="Heading2"/>
      </w:pPr>
      <w:r>
        <w:t>4.2 Subtractive Clustering Potentials</w:t>
      </w:r>
    </w:p>
    <w:p>
      <w:pPr>
        <w:spacing w:after="120"/>
        <w:jc w:val="both"/>
      </w:pPr>
      <w:r>
        <w:rPr>
          <w:rFonts w:ascii="Times New Roman" w:hAnsi="Times New Roman"/>
          <w:b w:val="0"/>
          <w:sz w:val="24"/>
        </w:rPr>
        <w:t>Let {z_1, z_2, …, z_N} be the N data points in the normalised joint space (dimension D = n_inputs + 1). The initial potential of the i-th point is:</w:t>
      </w:r>
    </w:p>
    <w:p>
      <w:pPr>
        <w:spacing w:after="120"/>
        <w:jc w:val="center"/>
      </w:pPr>
      <w:r>
        <w:rPr>
          <w:rFonts w:ascii="Times New Roman" w:hAnsi="Times New Roman"/>
          <w:b w:val="0"/>
          <w:sz w:val="24"/>
        </w:rPr>
        <w:t>P_i = ∑_{j=1}^{N} exp(−4‖z_i − z_j‖² / r_a²)</w:t>
      </w:r>
    </w:p>
    <w:p>
      <w:pPr>
        <w:spacing w:after="120"/>
        <w:jc w:val="both"/>
      </w:pPr>
      <w:r>
        <w:rPr>
          <w:rFonts w:ascii="Times New Roman" w:hAnsi="Times New Roman"/>
          <w:b w:val="0"/>
          <w:sz w:val="24"/>
        </w:rPr>
        <w:t>After selecting the point z* with the highest potential P*, the potentials are revised as:</w:t>
      </w:r>
    </w:p>
    <w:p>
      <w:pPr>
        <w:spacing w:after="120"/>
        <w:jc w:val="center"/>
      </w:pPr>
      <w:r>
        <w:rPr>
          <w:rFonts w:ascii="Times New Roman" w:hAnsi="Times New Roman"/>
          <w:b w:val="0"/>
          <w:sz w:val="24"/>
        </w:rPr>
        <w:t>P_i ← P_i − P* · exp(−4‖z_i − z*‖² / r_b²)</w:t>
      </w:r>
    </w:p>
    <w:p>
      <w:pPr>
        <w:spacing w:after="120"/>
        <w:jc w:val="both"/>
      </w:pPr>
      <w:r>
        <w:rPr>
          <w:rFonts w:ascii="Times New Roman" w:hAnsi="Times New Roman"/>
          <w:b w:val="0"/>
          <w:sz w:val="24"/>
        </w:rPr>
        <w:t>where r_b = 1.25 · r_a. A new cluster centre is accepted if its potential exceeds the accept ratio times the first centre’s potential. The process terminates when the highest remaining potential falls below the reject ratio threshold.</w:t>
      </w:r>
    </w:p>
    <w:p>
      <w:pPr>
        <w:pStyle w:val="Heading2"/>
      </w:pPr>
      <w:r>
        <w:t>4.3 Gradient Computation for Antecedent Tuning</w:t>
      </w:r>
    </w:p>
    <w:p>
      <w:pPr>
        <w:spacing w:after="120"/>
        <w:jc w:val="both"/>
      </w:pPr>
      <w:r>
        <w:rPr>
          <w:rFonts w:ascii="Times New Roman" w:hAnsi="Times New Roman"/>
          <w:b w:val="0"/>
          <w:sz w:val="24"/>
        </w:rPr>
        <w:t>The partial derivative of the MSE with respect to the centre c_{jk} of the j-th input MF in the k-th rule is derived via the chain rule. Let E = (1/N) ∑ (y_i − ŷ_i)² be the MSE. The gradient involves three factors: the error signal, the sensitivity of the normalised firing strength to the raw firing strength, and the sensitivity of the Gaussian MF to its centre:</w:t>
      </w:r>
    </w:p>
    <w:p>
      <w:pPr>
        <w:spacing w:after="120"/>
        <w:jc w:val="center"/>
      </w:pPr>
      <w:r>
        <w:rPr>
          <w:rFonts w:ascii="Times New Roman" w:hAnsi="Times New Roman"/>
          <w:b w:val="0"/>
          <w:sz w:val="22"/>
        </w:rPr>
        <w:t>∂E/∂c_{jk} = (2/N) ∑_i (y_i − ŷ_i) · (∂ŷ_i/∂ŵ_k) · (∂ŵ_k/∂w_k) · w_k · (x_{ij} − c_{jk}) / σ_{jk}²</w:t>
      </w:r>
    </w:p>
    <w:p>
      <w:pPr>
        <w:spacing w:after="120"/>
        <w:jc w:val="both"/>
      </w:pPr>
      <w:r>
        <w:rPr>
          <w:rFonts w:ascii="Times New Roman" w:hAnsi="Times New Roman"/>
          <w:b w:val="0"/>
          <w:sz w:val="24"/>
        </w:rPr>
        <w:t>An analogous expression holds for the spread parameter σ_{jk}, with the derivative of the Gaussian MF with respect to σ yielding an additional factor of (x_{ij} − c_{jk})² / σ_{jk}³.</w:t>
      </w:r>
    </w:p>
    <w:p>
      <w:pPr>
        <w:pStyle w:val="Heading1"/>
      </w:pPr>
      <w:r>
        <w:t>5. Algorithm Design</w:t>
      </w:r>
    </w:p>
    <w:p>
      <w:pPr>
        <w:spacing w:after="120"/>
        <w:jc w:val="both"/>
      </w:pPr>
      <w:r>
        <w:rPr>
          <w:rFonts w:ascii="Times New Roman" w:hAnsi="Times New Roman"/>
          <w:b w:val="0"/>
          <w:sz w:val="24"/>
        </w:rPr>
        <w:t>The complete algorithm proceeds as follows for each of the four output variables:</w:t>
      </w:r>
    </w:p>
    <w:p>
      <w:pPr>
        <w:spacing w:after="120"/>
        <w:jc w:val="both"/>
      </w:pPr>
      <w:r>
        <w:rPr>
          <w:rFonts w:ascii="Times New Roman" w:hAnsi="Times New Roman"/>
          <w:b w:val="0"/>
          <w:sz w:val="24"/>
        </w:rPr>
        <w:t>Step 1. Normalise all input and output data using min–max scaling fitted on the training set.</w:t>
      </w:r>
    </w:p>
    <w:p>
      <w:pPr>
        <w:spacing w:after="120"/>
        <w:jc w:val="both"/>
      </w:pPr>
      <w:r>
        <w:rPr>
          <w:rFonts w:ascii="Times New Roman" w:hAnsi="Times New Roman"/>
          <w:b w:val="0"/>
          <w:sz w:val="24"/>
        </w:rPr>
        <w:t>Step 2. Form the joint input–output matrix by concatenating the normalised inputs with the normalised target output column.</w:t>
      </w:r>
    </w:p>
    <w:p>
      <w:pPr>
        <w:spacing w:after="120"/>
        <w:jc w:val="both"/>
      </w:pPr>
      <w:r>
        <w:rPr>
          <w:rFonts w:ascii="Times New Roman" w:hAnsi="Times New Roman"/>
          <w:b w:val="0"/>
          <w:sz w:val="24"/>
        </w:rPr>
        <w:t>Step 3. Apply subtractive clustering to the joint matrix. The cluster radius parameter r_a controls the granularity of the rule base; a value of 1.2 was found to yield approximately 11–12 rules per output, providing a good balance between expressiveness and generalisation.</w:t>
      </w:r>
    </w:p>
    <w:p>
      <w:pPr>
        <w:spacing w:after="120"/>
        <w:jc w:val="both"/>
      </w:pPr>
      <w:r>
        <w:rPr>
          <w:rFonts w:ascii="Times New Roman" w:hAnsi="Times New Roman"/>
          <w:b w:val="0"/>
          <w:sz w:val="24"/>
        </w:rPr>
        <w:t>Step 4. Initialise one TSK rule per identified cluster centre. The input-space projection of each cluster centre defines the antecedent MF centres. The initial spread is set to r_a / √8.</w:t>
      </w:r>
    </w:p>
    <w:p>
      <w:pPr>
        <w:spacing w:after="120"/>
        <w:jc w:val="both"/>
      </w:pPr>
      <w:r>
        <w:rPr>
          <w:rFonts w:ascii="Times New Roman" w:hAnsi="Times New Roman"/>
          <w:b w:val="0"/>
          <w:sz w:val="24"/>
        </w:rPr>
        <w:t>Step 5. Estimate the consequent parameters via regularised weighted least-squares (λ = 0.01).</w:t>
      </w:r>
    </w:p>
    <w:p>
      <w:pPr>
        <w:spacing w:after="120"/>
        <w:jc w:val="both"/>
      </w:pPr>
      <w:r>
        <w:rPr>
          <w:rFonts w:ascii="Times New Roman" w:hAnsi="Times New Roman"/>
          <w:b w:val="0"/>
          <w:sz w:val="24"/>
        </w:rPr>
        <w:t>Step 6. Iterate the hybrid learning loop for up to 800 epochs: (a) compute gradients of the MSE w.r.t. antecedent parameters; (b) update antecedent parameters by gradient descent with learning rate 0.01; (c) re-estimate consequent parameters by LSE. Stop if the RMSE change between consecutive epochs falls below 10⁻⁸.</w:t>
      </w:r>
    </w:p>
    <w:p>
      <w:pPr>
        <w:spacing w:after="120"/>
        <w:jc w:val="both"/>
      </w:pPr>
      <w:r>
        <w:rPr>
          <w:rFonts w:ascii="Times New Roman" w:hAnsi="Times New Roman"/>
          <w:b w:val="0"/>
          <w:sz w:val="24"/>
        </w:rPr>
        <w:t>Step 7. Evaluate the trained system on both training and test data, reporting RMSE in the original (un-normalised) scale.</w:t>
      </w:r>
    </w:p>
    <w:p>
      <w:pPr>
        <w:pStyle w:val="Heading1"/>
      </w:pPr>
      <w:r>
        <w:t>6. Implementation Details</w:t>
      </w:r>
    </w:p>
    <w:p>
      <w:pPr>
        <w:spacing w:after="120"/>
        <w:jc w:val="both"/>
      </w:pPr>
      <w:r>
        <w:rPr>
          <w:rFonts w:ascii="Times New Roman" w:hAnsi="Times New Roman"/>
          <w:b w:val="0"/>
          <w:sz w:val="24"/>
        </w:rPr>
        <w:t>The system is implemented in Python and organised into the following modules:</w:t>
      </w:r>
    </w:p>
    <w:p>
      <w:pPr>
        <w:spacing w:after="120"/>
        <w:jc w:val="both"/>
      </w:pPr>
      <w:r>
        <w:rPr>
          <w:rFonts w:ascii="Times New Roman" w:hAnsi="Times New Roman"/>
          <w:b w:val="0"/>
          <w:sz w:val="24"/>
        </w:rPr>
        <w:t>config.py centralises all tuneable parameters including file paths, column definitions, clustering parameters, and optimisation hyperparameters. data_loader.py handles reading the Excel dataset, applying the correct column mapping, splitting data into training (80%) and test (20%) partitions, and providing a DataNormaliser class for min–max scaling. membership_functions.py defines the Gaussian membership function and the FuzzyVariable class that stores linguistic terms with their centres and spreads. clustering.py implements the subtractive clustering algorithm. tsk_system.py contains the TSKRule class (with methods for computing firing strengths and consequent outputs) and the TSKSystem class (with methods for prediction and least-squares estimation of consequent parameters). training.py orchestrates the hybrid learning loop. evaluation.py provides the RMSE function and a formatted results printer. main.py is the entry point that runs the entire pipeline. predict.py provides an interactive command-line interface for end-user predictions.</w:t>
      </w:r>
    </w:p>
    <w:p>
      <w:pPr>
        <w:spacing w:after="120"/>
        <w:jc w:val="both"/>
      </w:pPr>
      <w:r>
        <w:rPr>
          <w:rFonts w:ascii="Times New Roman" w:hAnsi="Times New Roman"/>
          <w:b w:val="0"/>
          <w:sz w:val="24"/>
        </w:rPr>
        <w:t>External dependencies are limited to NumPy for numerical computation, pandas and openpyxl for reading the Excel dataset, and scikit-learn for the MinMaxScaler utility and the train–test split function.</w:t>
      </w:r>
    </w:p>
    <w:p>
      <w:pPr>
        <w:pStyle w:val="Heading1"/>
      </w:pPr>
      <w:r>
        <w:t>7. Experimental Results</w:t>
      </w:r>
    </w:p>
    <w:p>
      <w:pPr>
        <w:spacing w:after="120"/>
        <w:jc w:val="both"/>
      </w:pPr>
      <w:r>
        <w:rPr>
          <w:rFonts w:ascii="Times New Roman" w:hAnsi="Times New Roman"/>
          <w:b w:val="0"/>
          <w:sz w:val="24"/>
        </w:rPr>
        <w:t>The dataset comprises 168 asphalt specimens. An 80–20 random split yielded 134 training samples and 34 test samples. Subtractive clustering with r_a = 1.2 identified 12 rules for Stability and ITSM30, and 11 rules for Flow and ITSM20.</w:t>
      </w:r>
    </w:p>
    <w:p>
      <w:pPr>
        <w:spacing w:after="120"/>
        <w:jc w:val="both"/>
      </w:pPr>
      <w:r>
        <w:rPr>
          <w:rFonts w:ascii="Times New Roman" w:hAnsi="Times New Roman"/>
          <w:b w:val="0"/>
          <w:sz w:val="24"/>
        </w:rPr>
        <w:t>The table below summarises the RMSE values obtained on both partitions after hybrid training for 800 epochs: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rFonts w:ascii="Times New Roman" w:hAnsi="Times New Roman"/>
                <w:b/>
                <w:color w:val="FFFFFF"/>
                <w:sz w:val="22"/>
              </w:rPr>
              <w:t>Output</w:t>
            </w:r>
          </w:p>
        </w:tc>
        <w:tc>
          <w:tcPr>
            <w:tcW w:type="dxa" w:w="2880"/>
            <w:shd w:fill="2E4057" w:val="clear"/>
          </w:tcPr>
          <w:p>
            <w:pPr>
              <w:jc w:val="center"/>
            </w:pPr>
            <w:r/>
            <w:r>
              <w:rPr>
                <w:rFonts w:ascii="Times New Roman" w:hAnsi="Times New Roman"/>
                <w:b/>
                <w:color w:val="FFFFFF"/>
                <w:sz w:val="22"/>
              </w:rPr>
              <w:t>RMSE (Train)</w:t>
            </w:r>
          </w:p>
        </w:tc>
        <w:tc>
          <w:tcPr>
            <w:tcW w:type="dxa" w:w="2880"/>
            <w:shd w:fill="2E4057" w:val="clear"/>
          </w:tcPr>
          <w:p>
            <w:pPr>
              <w:jc w:val="center"/>
            </w:pPr>
            <w:r/>
            <w:r>
              <w:rPr>
                <w:rFonts w:ascii="Times New Roman" w:hAnsi="Times New Roman"/>
                <w:b/>
                <w:color w:val="FFFFFF"/>
                <w:sz w:val="22"/>
              </w:rPr>
              <w:t>RMSE (Test)</w:t>
            </w:r>
          </w:p>
        </w:tc>
      </w:tr>
      <w:tr>
        <w:tc>
          <w:tcPr>
            <w:tcW w:type="dxa" w:w="2880"/>
          </w:tcPr>
          <w:p>
            <w:pPr>
              <w:jc w:val="center"/>
            </w:pPr>
            <w:r/>
            <w:r>
              <w:rPr>
                <w:rFonts w:ascii="Times New Roman" w:hAnsi="Times New Roman"/>
                <w:b w:val="0"/>
                <w:sz w:val="22"/>
              </w:rPr>
              <w:t>Stability (kN)</w:t>
            </w:r>
          </w:p>
        </w:tc>
        <w:tc>
          <w:tcPr>
            <w:tcW w:type="dxa" w:w="2880"/>
          </w:tcPr>
          <w:p>
            <w:pPr>
              <w:jc w:val="center"/>
            </w:pPr>
            <w:r/>
            <w:r>
              <w:rPr>
                <w:rFonts w:ascii="Times New Roman" w:hAnsi="Times New Roman"/>
                <w:b w:val="0"/>
                <w:sz w:val="22"/>
              </w:rPr>
              <w:t>0.7574</w:t>
            </w:r>
          </w:p>
        </w:tc>
        <w:tc>
          <w:tcPr>
            <w:tcW w:type="dxa" w:w="2880"/>
          </w:tcPr>
          <w:p>
            <w:pPr>
              <w:jc w:val="center"/>
            </w:pPr>
            <w:r/>
            <w:r>
              <w:rPr>
                <w:rFonts w:ascii="Times New Roman" w:hAnsi="Times New Roman"/>
                <w:b w:val="0"/>
                <w:sz w:val="22"/>
              </w:rPr>
              <w:t>1.0574</w:t>
            </w:r>
          </w:p>
        </w:tc>
      </w:tr>
      <w:tr>
        <w:tc>
          <w:tcPr>
            <w:tcW w:type="dxa" w:w="2880"/>
          </w:tcPr>
          <w:p>
            <w:pPr>
              <w:jc w:val="center"/>
            </w:pPr>
            <w:r/>
            <w:r>
              <w:rPr>
                <w:rFonts w:ascii="Times New Roman" w:hAnsi="Times New Roman"/>
                <w:b w:val="0"/>
                <w:sz w:val="22"/>
              </w:rPr>
              <w:t>Flow (mm)</w:t>
            </w:r>
          </w:p>
        </w:tc>
        <w:tc>
          <w:tcPr>
            <w:tcW w:type="dxa" w:w="2880"/>
          </w:tcPr>
          <w:p>
            <w:pPr>
              <w:jc w:val="center"/>
            </w:pPr>
            <w:r/>
            <w:r>
              <w:rPr>
                <w:rFonts w:ascii="Times New Roman" w:hAnsi="Times New Roman"/>
                <w:b w:val="0"/>
                <w:sz w:val="22"/>
              </w:rPr>
              <w:t>0.5771</w:t>
            </w:r>
          </w:p>
        </w:tc>
        <w:tc>
          <w:tcPr>
            <w:tcW w:type="dxa" w:w="2880"/>
          </w:tcPr>
          <w:p>
            <w:pPr>
              <w:jc w:val="center"/>
            </w:pPr>
            <w:r/>
            <w:r>
              <w:rPr>
                <w:rFonts w:ascii="Times New Roman" w:hAnsi="Times New Roman"/>
                <w:b w:val="0"/>
                <w:sz w:val="22"/>
              </w:rPr>
              <w:t>0.7848</w:t>
            </w:r>
          </w:p>
        </w:tc>
      </w:tr>
      <w:tr>
        <w:tc>
          <w:tcPr>
            <w:tcW w:type="dxa" w:w="2880"/>
          </w:tcPr>
          <w:p>
            <w:pPr>
              <w:jc w:val="center"/>
            </w:pPr>
            <w:r/>
            <w:r>
              <w:rPr>
                <w:rFonts w:ascii="Times New Roman" w:hAnsi="Times New Roman"/>
                <w:b w:val="0"/>
                <w:sz w:val="22"/>
              </w:rPr>
              <w:t>ITSM 20°C (MPa)</w:t>
            </w:r>
          </w:p>
        </w:tc>
        <w:tc>
          <w:tcPr>
            <w:tcW w:type="dxa" w:w="2880"/>
          </w:tcPr>
          <w:p>
            <w:pPr>
              <w:jc w:val="center"/>
            </w:pPr>
            <w:r/>
            <w:r>
              <w:rPr>
                <w:rFonts w:ascii="Times New Roman" w:hAnsi="Times New Roman"/>
                <w:b w:val="0"/>
                <w:sz w:val="22"/>
              </w:rPr>
              <w:t>401.31</w:t>
            </w:r>
          </w:p>
        </w:tc>
        <w:tc>
          <w:tcPr>
            <w:tcW w:type="dxa" w:w="2880"/>
          </w:tcPr>
          <w:p>
            <w:pPr>
              <w:jc w:val="center"/>
            </w:pPr>
            <w:r/>
            <w:r>
              <w:rPr>
                <w:rFonts w:ascii="Times New Roman" w:hAnsi="Times New Roman"/>
                <w:b w:val="0"/>
                <w:sz w:val="22"/>
              </w:rPr>
              <w:t>576.67</w:t>
            </w:r>
          </w:p>
        </w:tc>
      </w:tr>
      <w:tr>
        <w:tc>
          <w:tcPr>
            <w:tcW w:type="dxa" w:w="2880"/>
          </w:tcPr>
          <w:p>
            <w:pPr>
              <w:jc w:val="center"/>
            </w:pPr>
            <w:r/>
            <w:r>
              <w:rPr>
                <w:rFonts w:ascii="Times New Roman" w:hAnsi="Times New Roman"/>
                <w:b w:val="0"/>
                <w:sz w:val="22"/>
              </w:rPr>
              <w:t>ITSM 30°C (MPa)</w:t>
            </w:r>
          </w:p>
        </w:tc>
        <w:tc>
          <w:tcPr>
            <w:tcW w:type="dxa" w:w="2880"/>
          </w:tcPr>
          <w:p>
            <w:pPr>
              <w:jc w:val="center"/>
            </w:pPr>
            <w:r/>
            <w:r>
              <w:rPr>
                <w:rFonts w:ascii="Times New Roman" w:hAnsi="Times New Roman"/>
                <w:b w:val="0"/>
                <w:sz w:val="22"/>
              </w:rPr>
              <w:t>121.91</w:t>
            </w:r>
          </w:p>
        </w:tc>
        <w:tc>
          <w:tcPr>
            <w:tcW w:type="dxa" w:w="2880"/>
          </w:tcPr>
          <w:p>
            <w:pPr>
              <w:jc w:val="center"/>
            </w:pPr>
            <w:r/>
            <w:r>
              <w:rPr>
                <w:rFonts w:ascii="Times New Roman" w:hAnsi="Times New Roman"/>
                <w:b w:val="0"/>
                <w:sz w:val="22"/>
              </w:rPr>
              <w:t>184.55</w:t>
            </w:r>
          </w:p>
        </w:tc>
      </w:tr>
    </w:tbl>
    <w:p/>
    <w:p>
      <w:pPr>
        <w:pStyle w:val="Heading1"/>
      </w:pPr>
      <w:r>
        <w:t>8. Discussion</w:t>
      </w:r>
    </w:p>
    <w:p>
      <w:pPr>
        <w:spacing w:after="120"/>
        <w:jc w:val="both"/>
      </w:pPr>
      <w:r>
        <w:rPr>
          <w:rFonts w:ascii="Times New Roman" w:hAnsi="Times New Roman"/>
          <w:b w:val="0"/>
          <w:sz w:val="24"/>
        </w:rPr>
        <w:t>The results indicate that the TSK fuzzy systems achieve good predictive accuracy across all four output variables. The ratio of test RMSE to train RMSE provides a measure of generalisation quality. For Stability, this ratio is approximately 1.40, and for Flow it is 1.36, both suggesting that the system generalises well without severe overfitting. For the ITSM outputs, the ratios are 1.44 and 1.51 respectively, which remain within acceptable bounds given the inherent variability of stiffness measurements.</w:t>
      </w:r>
    </w:p>
    <w:p>
      <w:pPr>
        <w:spacing w:after="120"/>
        <w:jc w:val="both"/>
      </w:pPr>
      <w:r>
        <w:rPr>
          <w:rFonts w:ascii="Times New Roman" w:hAnsi="Times New Roman"/>
          <w:b w:val="0"/>
          <w:sz w:val="24"/>
        </w:rPr>
        <w:t>The ITSM outputs exhibit larger absolute RMSE values because their measurement scales are considerably larger (values ranging from hundreds to several thousand MPa). When normalised by the range of each output, the relative prediction errors are comparable across all four variables.</w:t>
      </w:r>
    </w:p>
    <w:p>
      <w:pPr>
        <w:spacing w:after="120"/>
        <w:jc w:val="both"/>
      </w:pPr>
      <w:r>
        <w:rPr>
          <w:rFonts w:ascii="Times New Roman" w:hAnsi="Times New Roman"/>
          <w:b w:val="0"/>
          <w:sz w:val="24"/>
        </w:rPr>
        <w:t>The choice of cluster radius r_a proved to be the most influential hyperparameter. Smaller values of r_a produce more rules, which increases the capacity of the model but risks overfitting on the relatively small training set. The value r_a = 1.2 was selected after empirical experimentation as it yields approximately 11–12 rules—sufficient to capture the nonlinear input–output mapping while maintaining a favourable bias–variance trade-off.</w:t>
      </w:r>
    </w:p>
    <w:p>
      <w:pPr>
        <w:spacing w:after="120"/>
        <w:jc w:val="both"/>
      </w:pPr>
      <w:r>
        <w:rPr>
          <w:rFonts w:ascii="Times New Roman" w:hAnsi="Times New Roman"/>
          <w:b w:val="0"/>
          <w:sz w:val="24"/>
        </w:rPr>
        <w:t>The ridge regularisation parameter λ = 0.01 in the LSE step was essential for numerical stability. Without regularisation, the design matrix in the LSE problem can become ill-conditioned when the number of parameters (K × (n+1)) is comparable to the number of training samples, leading to extreme overfitting.</w:t>
      </w:r>
    </w:p>
    <w:p>
      <w:pPr>
        <w:pStyle w:val="Heading1"/>
      </w:pPr>
      <w:r>
        <w:t>9. Conclusion</w:t>
      </w:r>
    </w:p>
    <w:p>
      <w:pPr>
        <w:spacing w:after="120"/>
        <w:jc w:val="both"/>
      </w:pPr>
      <w:r>
        <w:rPr>
          <w:rFonts w:ascii="Times New Roman" w:hAnsi="Times New Roman"/>
          <w:b w:val="0"/>
          <w:sz w:val="24"/>
        </w:rPr>
        <w:t>This report has demonstrated the design and implementation of first-order TSK fuzzy inference systems for predicting four key properties of hot-mix asphalt: adjusted Marshall stability, flow, and indirect tensile stiffness modulus at 20°C and 30°C. The subtractive clustering algorithm provides an effective, data-driven method for rule generation that avoids the combinatorial explosion of grid-based fuzzy partitioning. The hybrid learning algorithm, combining least-squares estimation for consequent parameters with gradient descent for antecedent parameters, achieves satisfactory accuracy on both training and test data.</w:t>
      </w:r>
    </w:p>
    <w:p>
      <w:pPr>
        <w:spacing w:after="120"/>
        <w:jc w:val="both"/>
      </w:pPr>
      <w:r>
        <w:rPr>
          <w:rFonts w:ascii="Times New Roman" w:hAnsi="Times New Roman"/>
          <w:b w:val="0"/>
          <w:sz w:val="24"/>
        </w:rPr>
        <w:t>Future work could explore higher-order TSK systems, alternative membership function shapes, ensemble approaches combining multiple fuzzy systems, and larger datasets to further improve prediction accuracy.</w:t>
      </w:r>
    </w:p>
    <w:p>
      <w:pPr>
        <w:pStyle w:val="Heading1"/>
      </w:pPr>
      <w:r>
        <w:t>10. Instructions for Running the Code</w:t>
      </w:r>
    </w:p>
    <w:p>
      <w:pPr>
        <w:pStyle w:val="Heading2"/>
      </w:pPr>
      <w:r>
        <w:t>10.1 Prerequisites</w:t>
      </w:r>
    </w:p>
    <w:p>
      <w:pPr>
        <w:spacing w:after="120"/>
        <w:jc w:val="both"/>
      </w:pPr>
      <w:r>
        <w:rPr>
          <w:rFonts w:ascii="Times New Roman" w:hAnsi="Times New Roman"/>
          <w:b w:val="0"/>
          <w:sz w:val="24"/>
        </w:rPr>
        <w:t>The project requires Python 3.9 or later. Install the required packages by running: pip install -r requirements.txt</w:t>
      </w:r>
    </w:p>
    <w:p>
      <w:pPr>
        <w:pStyle w:val="Heading2"/>
      </w:pPr>
      <w:r>
        <w:t>10.2 Training</w:t>
      </w:r>
    </w:p>
    <w:p>
      <w:pPr>
        <w:spacing w:after="120"/>
        <w:jc w:val="both"/>
      </w:pPr>
      <w:r>
        <w:rPr>
          <w:rFonts w:ascii="Times New Roman" w:hAnsi="Times New Roman"/>
          <w:b w:val="0"/>
          <w:sz w:val="24"/>
        </w:rPr>
        <w:t>Place the dataset file (Asphalt-Dataset-ToClass.xlsx) in the data/ subdirectory. Execute the training pipeline by running: python main.py. The script will load the data, build and tune four TSK systems, evaluate them, and save results to the output/ directory.</w:t>
      </w:r>
    </w:p>
    <w:p>
      <w:pPr>
        <w:pStyle w:val="Heading2"/>
      </w:pPr>
      <w:r>
        <w:t>10.3 End-User Prediction</w:t>
      </w:r>
    </w:p>
    <w:p>
      <w:pPr>
        <w:spacing w:after="120"/>
        <w:jc w:val="both"/>
      </w:pPr>
      <w:r>
        <w:rPr>
          <w:rFonts w:ascii="Times New Roman" w:hAnsi="Times New Roman"/>
          <w:b w:val="0"/>
          <w:sz w:val="24"/>
        </w:rPr>
        <w:t>After training, run: python predict.py. The script will prompt for the ten input parameters one by one (Viscosity, %AC by weight, %Effective AC, Gmm, %Air Voids, Unit Weight, P200, P4, P38, P34) and display the predicted values for Stability, Flow, ITSM at 20°C, and ITSM at 30°C.</w:t>
      </w:r>
    </w:p>
    <w:p>
      <w:pPr>
        <w:pStyle w:val="Heading1"/>
      </w:pPr>
      <w:r>
        <w:t>11. References</w:t>
      </w:r>
    </w:p>
    <w:p>
      <w:pPr>
        <w:spacing w:after="120"/>
        <w:ind w:left="567" w:hanging="567"/>
      </w:pPr>
      <w:r>
        <w:rPr>
          <w:rFonts w:ascii="Times New Roman" w:hAnsi="Times New Roman"/>
          <w:sz w:val="22"/>
        </w:rPr>
        <w:t>Mendel, J. M. (2017). Uncertain Rule-Based Fuzzy Systems: Introduction and New Directions (3rd ed.). Springer.</w:t>
      </w:r>
    </w:p>
    <w:p>
      <w:pPr>
        <w:spacing w:after="120"/>
        <w:ind w:left="567" w:hanging="567"/>
      </w:pPr>
      <w:r>
        <w:rPr>
          <w:rFonts w:ascii="Times New Roman" w:hAnsi="Times New Roman"/>
          <w:sz w:val="22"/>
        </w:rPr>
        <w:t>Klir, G. J. and Yuan, B. (1995). Fuzzy Sets and Fuzzy Logic: Theory and Applications. Prentice Hall.</w:t>
      </w:r>
    </w:p>
    <w:p>
      <w:pPr>
        <w:spacing w:after="120"/>
        <w:ind w:left="567" w:hanging="567"/>
      </w:pPr>
      <w:r>
        <w:rPr>
          <w:rFonts w:ascii="Times New Roman" w:hAnsi="Times New Roman"/>
          <w:sz w:val="22"/>
        </w:rPr>
        <w:t>Chiu, S. L. (1994). Fuzzy model identification based on cluster estimation. Journal of Intelligent and Fuzzy Systems, 2(3), 267–278.</w:t>
      </w:r>
    </w:p>
    <w:p>
      <w:pPr>
        <w:spacing w:after="120"/>
        <w:ind w:left="567" w:hanging="567"/>
      </w:pPr>
      <w:r>
        <w:rPr>
          <w:rFonts w:ascii="Times New Roman" w:hAnsi="Times New Roman"/>
          <w:sz w:val="22"/>
        </w:rPr>
        <w:t>Jang, J.-S. R. (1993). ANFIS: Adaptive-network-based fuzzy inference system. IEEE Transactions on Systems, Man, and Cybernetics, 23(3), 665–685.</w:t>
      </w:r>
    </w:p>
    <w:p>
      <w:pPr>
        <w:spacing w:after="120"/>
        <w:ind w:left="567" w:hanging="567"/>
      </w:pPr>
      <w:r>
        <w:rPr>
          <w:rFonts w:ascii="Times New Roman" w:hAnsi="Times New Roman"/>
          <w:sz w:val="22"/>
        </w:rPr>
        <w:t>Takagi, T. and Sugeno, M. (1985). Fuzzy identification of systems and its applications to modeling and control. IEEE Transactions on Systems, Man, and Cybernetics, 15(1), 116–132.</w:t>
      </w:r>
    </w:p>
    <w:p>
      <w:pPr>
        <w:pStyle w:val="Heading1"/>
      </w:pPr>
      <w:r>
        <w:t>Appendix: AI Tool Disclosure</w:t>
      </w:r>
    </w:p>
    <w:p>
      <w:pPr>
        <w:spacing w:after="120"/>
        <w:jc w:val="both"/>
      </w:pPr>
      <w:r>
        <w:rPr>
          <w:rFonts w:ascii="Times New Roman" w:hAnsi="Times New Roman"/>
          <w:b w:val="0"/>
          <w:sz w:val="24"/>
        </w:rPr>
        <w:t>In accordance with the project requirements, the following AI tools were used during this project: Claude (Anthropic) was employed as a coding assistant for structuring the Python modules, generating boilerplate code, and drafting sections of this report. All theoretical content, algorithmic choices, and system design decisions were verified against the two prescribed textbooks (Mendel, 2017; Klir and Yuan,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