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2581B" w14:textId="77777777" w:rsidR="00CE7D0C" w:rsidRPr="00CE7D0C" w:rsidRDefault="00CE7D0C" w:rsidP="00CE7D0C">
      <w:pPr>
        <w:pStyle w:val="Title"/>
        <w:spacing w:before="240" w:after="360"/>
        <w:jc w:val="center"/>
        <w:rPr>
          <w:rFonts w:ascii="Times New Roman" w:eastAsia="Times New Roman" w:hAnsi="Times New Roman" w:cs="Times New Roman"/>
          <w:b/>
          <w:bCs/>
          <w:sz w:val="48"/>
          <w:szCs w:val="48"/>
        </w:rPr>
      </w:pPr>
      <w:r w:rsidRPr="00CE7D0C">
        <w:rPr>
          <w:rFonts w:ascii="Times New Roman" w:eastAsia="Times New Roman" w:hAnsi="Times New Roman" w:cs="Times New Roman"/>
          <w:b/>
          <w:bCs/>
          <w:sz w:val="48"/>
          <w:szCs w:val="48"/>
        </w:rPr>
        <w:t>In the Name of God</w:t>
      </w:r>
    </w:p>
    <w:p w14:paraId="753B026F" w14:textId="77777777" w:rsidR="00CE7D0C" w:rsidRPr="006F7DA8" w:rsidRDefault="00CE7D0C" w:rsidP="00CE7D0C">
      <w:pPr>
        <w:rPr>
          <w:b/>
          <w:bCs/>
          <w:sz w:val="56"/>
          <w:szCs w:val="56"/>
        </w:rPr>
      </w:pPr>
    </w:p>
    <w:p w14:paraId="73D95BA0" w14:textId="77777777" w:rsidR="00CE7D0C" w:rsidRPr="006F7DA8" w:rsidRDefault="00CE7D0C" w:rsidP="00CE7D0C">
      <w:pPr>
        <w:rPr>
          <w:b/>
          <w:bCs/>
          <w:sz w:val="56"/>
          <w:szCs w:val="56"/>
        </w:rPr>
      </w:pPr>
    </w:p>
    <w:p w14:paraId="749CFA57" w14:textId="77777777" w:rsidR="00CE7D0C" w:rsidRPr="006F7DA8" w:rsidRDefault="00CE7D0C" w:rsidP="00CE7D0C">
      <w:pPr>
        <w:jc w:val="center"/>
        <w:rPr>
          <w:b/>
          <w:bCs/>
          <w:sz w:val="56"/>
          <w:szCs w:val="56"/>
        </w:rPr>
      </w:pPr>
      <w:r w:rsidRPr="006F7DA8">
        <w:rPr>
          <w:b/>
          <w:bCs/>
          <w:noProof/>
          <w:sz w:val="56"/>
          <w:szCs w:val="56"/>
        </w:rPr>
        <w:drawing>
          <wp:inline distT="0" distB="0" distL="0" distR="0" wp14:anchorId="1DEEC7BD" wp14:editId="6C7167C3">
            <wp:extent cx="3550920" cy="3665220"/>
            <wp:effectExtent l="0" t="0" r="0" b="0"/>
            <wp:docPr id="164692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0920" cy="3665220"/>
                    </a:xfrm>
                    <a:prstGeom prst="rect">
                      <a:avLst/>
                    </a:prstGeom>
                    <a:noFill/>
                    <a:ln>
                      <a:noFill/>
                    </a:ln>
                  </pic:spPr>
                </pic:pic>
              </a:graphicData>
            </a:graphic>
          </wp:inline>
        </w:drawing>
      </w:r>
    </w:p>
    <w:p w14:paraId="453CC721" w14:textId="77777777" w:rsidR="00CE7D0C" w:rsidRPr="006F7DA8" w:rsidRDefault="00CE7D0C" w:rsidP="00CE7D0C">
      <w:pPr>
        <w:rPr>
          <w:b/>
          <w:bCs/>
          <w:sz w:val="56"/>
          <w:szCs w:val="56"/>
        </w:rPr>
      </w:pPr>
    </w:p>
    <w:p w14:paraId="47B009A4" w14:textId="77777777" w:rsidR="00CE7D0C" w:rsidRPr="00CE7D0C" w:rsidRDefault="00CE7D0C" w:rsidP="00CE7D0C">
      <w:pPr>
        <w:pStyle w:val="Title"/>
        <w:spacing w:before="240" w:after="360"/>
        <w:jc w:val="center"/>
        <w:rPr>
          <w:rFonts w:ascii="Times New Roman" w:eastAsia="Times New Roman" w:hAnsi="Times New Roman" w:cs="Times New Roman"/>
          <w:b/>
          <w:bCs/>
          <w:sz w:val="48"/>
          <w:szCs w:val="48"/>
        </w:rPr>
      </w:pPr>
      <w:r w:rsidRPr="00CE7D0C">
        <w:rPr>
          <w:rFonts w:ascii="Times New Roman" w:eastAsia="Times New Roman" w:hAnsi="Times New Roman" w:cs="Times New Roman"/>
          <w:b/>
          <w:bCs/>
          <w:sz w:val="48"/>
          <w:szCs w:val="48"/>
        </w:rPr>
        <w:t>Navid Zare</w:t>
      </w:r>
    </w:p>
    <w:p w14:paraId="476EAB73" w14:textId="77777777" w:rsidR="00CE7D0C" w:rsidRPr="00CE7D0C" w:rsidRDefault="00CE7D0C" w:rsidP="00CE7D0C">
      <w:pPr>
        <w:pStyle w:val="Title"/>
        <w:spacing w:before="240" w:after="360"/>
        <w:jc w:val="center"/>
        <w:rPr>
          <w:rFonts w:ascii="Times New Roman" w:eastAsia="Times New Roman" w:hAnsi="Times New Roman" w:cs="Times New Roman"/>
          <w:b/>
          <w:bCs/>
          <w:sz w:val="48"/>
          <w:szCs w:val="48"/>
        </w:rPr>
      </w:pPr>
      <w:r w:rsidRPr="00CE7D0C">
        <w:rPr>
          <w:rFonts w:ascii="Times New Roman" w:eastAsia="Times New Roman" w:hAnsi="Times New Roman" w:cs="Times New Roman"/>
          <w:b/>
          <w:bCs/>
          <w:sz w:val="48"/>
          <w:szCs w:val="48"/>
        </w:rPr>
        <w:t>40435071</w:t>
      </w:r>
    </w:p>
    <w:p w14:paraId="7BB43091" w14:textId="77777777" w:rsidR="00CE7D0C" w:rsidRPr="006F7DA8" w:rsidRDefault="00CE7D0C" w:rsidP="00CE7D0C">
      <w:pPr>
        <w:rPr>
          <w:b/>
          <w:bCs/>
          <w:sz w:val="56"/>
          <w:szCs w:val="56"/>
        </w:rPr>
      </w:pPr>
    </w:p>
    <w:p w14:paraId="4AB82A0E" w14:textId="77777777" w:rsidR="00CE7D0C" w:rsidRPr="006F7DA8" w:rsidRDefault="00CE7D0C" w:rsidP="00CE7D0C">
      <w:pPr>
        <w:bidi/>
        <w:jc w:val="center"/>
        <w:rPr>
          <w:rFonts w:asciiTheme="majorBidi" w:eastAsia="Times New Roman" w:hAnsiTheme="majorBidi" w:cs="B Nazanin"/>
          <w:i/>
          <w:iCs/>
        </w:rPr>
      </w:pPr>
      <w:r w:rsidRPr="006F7DA8">
        <w:rPr>
          <w:rFonts w:asciiTheme="majorBidi" w:eastAsia="Times New Roman" w:hAnsiTheme="majorBidi" w:cs="B Nazanin"/>
          <w:i/>
          <w:iCs/>
        </w:rPr>
        <w:t>Statistical Pattern Recognition</w:t>
      </w:r>
    </w:p>
    <w:p w14:paraId="4E4C68D9" w14:textId="7D1B269B" w:rsidR="00197B17" w:rsidRPr="00197B17" w:rsidRDefault="008D4710" w:rsidP="00197B17">
      <w:pPr>
        <w:spacing w:after="400"/>
        <w:jc w:val="center"/>
        <w:rPr>
          <w:rFonts w:asciiTheme="majorBidi" w:eastAsia="Times New Roman" w:hAnsiTheme="majorBidi" w:cs="B Nazanin"/>
          <w:i/>
          <w:iCs/>
        </w:rPr>
      </w:pPr>
      <w:r w:rsidRPr="008D4710">
        <w:rPr>
          <w:rFonts w:asciiTheme="majorBidi" w:eastAsia="Times New Roman" w:hAnsiTheme="majorBidi" w:cs="B Nazanin"/>
          <w:i/>
          <w:iCs/>
        </w:rPr>
        <w:t>Bonus Section: Regularized Linear Regression with SGD</w:t>
      </w:r>
    </w:p>
    <w:p w14:paraId="74A38AC2"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410F1F40"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1. Introduction and Methodology</w:t>
      </w:r>
    </w:p>
    <w:p w14:paraId="7C2EADF1" w14:textId="77777777" w:rsidR="007E79C3" w:rsidRPr="007E07A6" w:rsidRDefault="00000000" w:rsidP="007974C5">
      <w:pPr>
        <w:pStyle w:val="Heading2"/>
        <w:ind w:firstLine="720"/>
        <w:rPr>
          <w:rFonts w:asciiTheme="majorBidi" w:hAnsiTheme="majorBidi" w:cstheme="majorBidi"/>
          <w:color w:val="auto"/>
        </w:rPr>
      </w:pPr>
      <w:r w:rsidRPr="007E07A6">
        <w:rPr>
          <w:rFonts w:asciiTheme="majorBidi" w:hAnsiTheme="majorBidi" w:cstheme="majorBidi"/>
          <w:color w:val="auto"/>
        </w:rPr>
        <w:t>1.1 Objective</w:t>
      </w:r>
    </w:p>
    <w:p w14:paraId="25D3F2A2" w14:textId="77777777" w:rsidR="007E79C3" w:rsidRPr="007E07A6" w:rsidRDefault="00000000" w:rsidP="007974C5">
      <w:pPr>
        <w:spacing w:after="200"/>
        <w:ind w:left="1440"/>
        <w:rPr>
          <w:rFonts w:asciiTheme="majorBidi" w:hAnsiTheme="majorBidi" w:cstheme="majorBidi"/>
        </w:rPr>
      </w:pPr>
      <w:r w:rsidRPr="007E07A6">
        <w:rPr>
          <w:rFonts w:asciiTheme="majorBidi" w:hAnsiTheme="majorBidi" w:cstheme="majorBidi"/>
        </w:rPr>
        <w:t>The objective of this bonus section is to extend the linear regression implementation by incorporating Ridge Regression (L2 regularization) trained using Stochastic Gradient Descent (SGD). This analysis aims to:</w:t>
      </w:r>
    </w:p>
    <w:p w14:paraId="4F1002E6" w14:textId="77777777" w:rsidR="007E79C3" w:rsidRPr="007E07A6" w:rsidRDefault="00000000" w:rsidP="007974C5">
      <w:pPr>
        <w:spacing w:after="80"/>
        <w:ind w:left="1440"/>
        <w:rPr>
          <w:rFonts w:asciiTheme="majorBidi" w:hAnsiTheme="majorBidi" w:cstheme="majorBidi"/>
        </w:rPr>
      </w:pPr>
      <w:r w:rsidRPr="007E07A6">
        <w:rPr>
          <w:rFonts w:asciiTheme="majorBidi" w:hAnsiTheme="majorBidi" w:cstheme="majorBidi"/>
        </w:rPr>
        <w:t>•  Analyze multicollinearity in the feature set using correlation analysis and VIF</w:t>
      </w:r>
    </w:p>
    <w:p w14:paraId="344C076C" w14:textId="77777777" w:rsidR="007E79C3" w:rsidRPr="007E07A6" w:rsidRDefault="00000000" w:rsidP="007974C5">
      <w:pPr>
        <w:spacing w:after="80"/>
        <w:ind w:left="1440"/>
        <w:rPr>
          <w:rFonts w:asciiTheme="majorBidi" w:hAnsiTheme="majorBidi" w:cstheme="majorBidi"/>
        </w:rPr>
      </w:pPr>
      <w:r w:rsidRPr="007E07A6">
        <w:rPr>
          <w:rFonts w:asciiTheme="majorBidi" w:hAnsiTheme="majorBidi" w:cstheme="majorBidi"/>
        </w:rPr>
        <w:t>•  Implement Ridge Regression with SGD for multiple regularization parameters</w:t>
      </w:r>
    </w:p>
    <w:p w14:paraId="63C59A37" w14:textId="77777777" w:rsidR="007E79C3" w:rsidRPr="007E07A6" w:rsidRDefault="00000000" w:rsidP="007974C5">
      <w:pPr>
        <w:spacing w:after="80"/>
        <w:ind w:left="1440"/>
        <w:rPr>
          <w:rFonts w:asciiTheme="majorBidi" w:hAnsiTheme="majorBidi" w:cstheme="majorBidi"/>
        </w:rPr>
      </w:pPr>
      <w:r w:rsidRPr="007E07A6">
        <w:rPr>
          <w:rFonts w:asciiTheme="majorBidi" w:hAnsiTheme="majorBidi" w:cstheme="majorBidi"/>
        </w:rPr>
        <w:t>•  Compare model stability and performance across different λ values</w:t>
      </w:r>
    </w:p>
    <w:p w14:paraId="2EBA23F9" w14:textId="77777777" w:rsidR="007E79C3" w:rsidRPr="007E07A6" w:rsidRDefault="00000000" w:rsidP="007974C5">
      <w:pPr>
        <w:spacing w:after="200"/>
        <w:ind w:left="1440"/>
        <w:rPr>
          <w:rFonts w:asciiTheme="majorBidi" w:hAnsiTheme="majorBidi" w:cstheme="majorBidi"/>
        </w:rPr>
      </w:pPr>
      <w:r w:rsidRPr="007E07A6">
        <w:rPr>
          <w:rFonts w:asciiTheme="majorBidi" w:hAnsiTheme="majorBidi" w:cstheme="majorBidi"/>
        </w:rPr>
        <w:t>•  Analyze the bias-variance tradeoff in regularized linear models</w:t>
      </w:r>
    </w:p>
    <w:p w14:paraId="3602C1D4" w14:textId="77777777" w:rsidR="007E79C3" w:rsidRPr="007E07A6" w:rsidRDefault="00000000" w:rsidP="002475BA">
      <w:pPr>
        <w:pStyle w:val="Heading2"/>
        <w:ind w:firstLine="720"/>
        <w:rPr>
          <w:rFonts w:asciiTheme="majorBidi" w:hAnsiTheme="majorBidi" w:cstheme="majorBidi"/>
          <w:color w:val="auto"/>
        </w:rPr>
      </w:pPr>
      <w:r w:rsidRPr="007E07A6">
        <w:rPr>
          <w:rFonts w:asciiTheme="majorBidi" w:hAnsiTheme="majorBidi" w:cstheme="majorBidi"/>
          <w:color w:val="auto"/>
        </w:rPr>
        <w:t>1.2 Dataset Description</w:t>
      </w:r>
    </w:p>
    <w:p w14:paraId="22D2A89A" w14:textId="77777777" w:rsidR="007E79C3" w:rsidRPr="007E07A6" w:rsidRDefault="00000000" w:rsidP="002475BA">
      <w:pPr>
        <w:spacing w:after="200"/>
        <w:ind w:left="720"/>
        <w:rPr>
          <w:rFonts w:asciiTheme="majorBidi" w:hAnsiTheme="majorBidi" w:cstheme="majorBidi"/>
        </w:rPr>
      </w:pPr>
      <w:r w:rsidRPr="007E07A6">
        <w:rPr>
          <w:rFonts w:asciiTheme="majorBidi" w:hAnsiTheme="majorBidi" w:cstheme="majorBidi"/>
        </w:rPr>
        <w:t xml:space="preserve">The Auto MPG dataset contains 392 samples with three input features (weight, horsepower, displacement) and one target variable (mpg - miles per gallon). The data was split into training (314 samples, 80%) and testing (78 samples, 20%) sets using </w:t>
      </w:r>
      <w:proofErr w:type="spellStart"/>
      <w:r w:rsidRPr="007E07A6">
        <w:rPr>
          <w:rFonts w:asciiTheme="majorBidi" w:hAnsiTheme="majorBidi" w:cstheme="majorBidi"/>
        </w:rPr>
        <w:t>random_state</w:t>
      </w:r>
      <w:proofErr w:type="spellEnd"/>
      <w:r w:rsidRPr="007E07A6">
        <w:rPr>
          <w:rFonts w:asciiTheme="majorBidi" w:hAnsiTheme="majorBidi" w:cstheme="majorBidi"/>
        </w:rPr>
        <w:t>=42.</w:t>
      </w:r>
    </w:p>
    <w:tbl>
      <w:tblPr>
        <w:tblStyle w:val="GridTable4"/>
        <w:tblW w:w="5000" w:type="pct"/>
        <w:tblLook w:val="04A0" w:firstRow="1" w:lastRow="0" w:firstColumn="1" w:lastColumn="0" w:noHBand="0" w:noVBand="1"/>
      </w:tblPr>
      <w:tblGrid>
        <w:gridCol w:w="1998"/>
        <w:gridCol w:w="1499"/>
        <w:gridCol w:w="1499"/>
        <w:gridCol w:w="4354"/>
      </w:tblGrid>
      <w:tr w:rsidR="007E07A6" w:rsidRPr="007E07A6" w14:paraId="779C67BD" w14:textId="77777777" w:rsidTr="002475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Pr>
          <w:p w14:paraId="069AD379"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Feature</w:t>
            </w:r>
          </w:p>
        </w:tc>
        <w:tc>
          <w:tcPr>
            <w:tcW w:w="1500" w:type="dxa"/>
          </w:tcPr>
          <w:p w14:paraId="7CAF6CEB"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Mean</w:t>
            </w:r>
          </w:p>
        </w:tc>
        <w:tc>
          <w:tcPr>
            <w:tcW w:w="1500" w:type="dxa"/>
          </w:tcPr>
          <w:p w14:paraId="70F27AC4"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Std Dev</w:t>
            </w:r>
          </w:p>
        </w:tc>
        <w:tc>
          <w:tcPr>
            <w:tcW w:w="4359" w:type="dxa"/>
          </w:tcPr>
          <w:p w14:paraId="215C93BC"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Description</w:t>
            </w:r>
          </w:p>
        </w:tc>
      </w:tr>
      <w:tr w:rsidR="007E07A6" w:rsidRPr="007E07A6" w14:paraId="33F2818D" w14:textId="77777777" w:rsidTr="0024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Pr>
          <w:p w14:paraId="4644B2B3"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weight</w:t>
            </w:r>
          </w:p>
        </w:tc>
        <w:tc>
          <w:tcPr>
            <w:tcW w:w="1500" w:type="dxa"/>
          </w:tcPr>
          <w:p w14:paraId="54884C60"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2977.58</w:t>
            </w:r>
          </w:p>
        </w:tc>
        <w:tc>
          <w:tcPr>
            <w:tcW w:w="1500" w:type="dxa"/>
          </w:tcPr>
          <w:p w14:paraId="0BE6E66E"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848.32</w:t>
            </w:r>
          </w:p>
        </w:tc>
        <w:tc>
          <w:tcPr>
            <w:tcW w:w="4359" w:type="dxa"/>
          </w:tcPr>
          <w:p w14:paraId="3422BE7D"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 xml:space="preserve">Vehicle weight in </w:t>
            </w:r>
            <w:proofErr w:type="spellStart"/>
            <w:r w:rsidRPr="007E07A6">
              <w:rPr>
                <w:rFonts w:asciiTheme="majorBidi" w:hAnsiTheme="majorBidi" w:cstheme="majorBidi"/>
                <w:sz w:val="22"/>
                <w:szCs w:val="22"/>
              </w:rPr>
              <w:t>lbs</w:t>
            </w:r>
            <w:proofErr w:type="spellEnd"/>
          </w:p>
        </w:tc>
      </w:tr>
      <w:tr w:rsidR="007E07A6" w:rsidRPr="007E07A6" w14:paraId="4001DE47" w14:textId="77777777" w:rsidTr="002475BA">
        <w:tc>
          <w:tcPr>
            <w:cnfStyle w:val="001000000000" w:firstRow="0" w:lastRow="0" w:firstColumn="1" w:lastColumn="0" w:oddVBand="0" w:evenVBand="0" w:oddHBand="0" w:evenHBand="0" w:firstRowFirstColumn="0" w:firstRowLastColumn="0" w:lastRowFirstColumn="0" w:lastRowLastColumn="0"/>
            <w:tcW w:w="1999" w:type="dxa"/>
          </w:tcPr>
          <w:p w14:paraId="7960C447"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horsepower</w:t>
            </w:r>
          </w:p>
        </w:tc>
        <w:tc>
          <w:tcPr>
            <w:tcW w:w="1500" w:type="dxa"/>
          </w:tcPr>
          <w:p w14:paraId="1056D1A1"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104.47</w:t>
            </w:r>
          </w:p>
        </w:tc>
        <w:tc>
          <w:tcPr>
            <w:tcW w:w="1500" w:type="dxa"/>
          </w:tcPr>
          <w:p w14:paraId="6DB4CE73"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38.44</w:t>
            </w:r>
          </w:p>
        </w:tc>
        <w:tc>
          <w:tcPr>
            <w:tcW w:w="4359" w:type="dxa"/>
          </w:tcPr>
          <w:p w14:paraId="4C60FE20"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Engine power</w:t>
            </w:r>
          </w:p>
        </w:tc>
      </w:tr>
      <w:tr w:rsidR="007E07A6" w:rsidRPr="007E07A6" w14:paraId="03A256B8" w14:textId="77777777" w:rsidTr="0024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9" w:type="dxa"/>
          </w:tcPr>
          <w:p w14:paraId="22B91CAA"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displacement</w:t>
            </w:r>
          </w:p>
        </w:tc>
        <w:tc>
          <w:tcPr>
            <w:tcW w:w="1500" w:type="dxa"/>
          </w:tcPr>
          <w:p w14:paraId="328D7B8D"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194.41</w:t>
            </w:r>
          </w:p>
        </w:tc>
        <w:tc>
          <w:tcPr>
            <w:tcW w:w="1500" w:type="dxa"/>
          </w:tcPr>
          <w:p w14:paraId="78C9A93C"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104.51</w:t>
            </w:r>
          </w:p>
        </w:tc>
        <w:tc>
          <w:tcPr>
            <w:tcW w:w="4359" w:type="dxa"/>
          </w:tcPr>
          <w:p w14:paraId="6B6E5AE8"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Engine displacement</w:t>
            </w:r>
          </w:p>
        </w:tc>
      </w:tr>
      <w:tr w:rsidR="007E07A6" w:rsidRPr="007E07A6" w14:paraId="2B50BCD7" w14:textId="77777777" w:rsidTr="002475BA">
        <w:tc>
          <w:tcPr>
            <w:cnfStyle w:val="001000000000" w:firstRow="0" w:lastRow="0" w:firstColumn="1" w:lastColumn="0" w:oddVBand="0" w:evenVBand="0" w:oddHBand="0" w:evenHBand="0" w:firstRowFirstColumn="0" w:firstRowLastColumn="0" w:lastRowFirstColumn="0" w:lastRowLastColumn="0"/>
            <w:tcW w:w="1999" w:type="dxa"/>
          </w:tcPr>
          <w:p w14:paraId="05E57BA2"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mpg</w:t>
            </w:r>
          </w:p>
        </w:tc>
        <w:tc>
          <w:tcPr>
            <w:tcW w:w="1500" w:type="dxa"/>
          </w:tcPr>
          <w:p w14:paraId="4FC49E76"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23.45</w:t>
            </w:r>
          </w:p>
        </w:tc>
        <w:tc>
          <w:tcPr>
            <w:tcW w:w="1500" w:type="dxa"/>
          </w:tcPr>
          <w:p w14:paraId="44FFFFF1"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7.81</w:t>
            </w:r>
          </w:p>
        </w:tc>
        <w:tc>
          <w:tcPr>
            <w:tcW w:w="4359" w:type="dxa"/>
          </w:tcPr>
          <w:p w14:paraId="2C0A89AF"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Fuel efficiency (target)</w:t>
            </w:r>
          </w:p>
        </w:tc>
      </w:tr>
    </w:tbl>
    <w:p w14:paraId="53695BC5" w14:textId="77777777" w:rsidR="007E79C3" w:rsidRPr="007E07A6" w:rsidRDefault="00000000" w:rsidP="002475BA">
      <w:pPr>
        <w:pStyle w:val="Heading2"/>
        <w:spacing w:before="400"/>
        <w:ind w:left="720"/>
        <w:rPr>
          <w:rFonts w:asciiTheme="majorBidi" w:hAnsiTheme="majorBidi" w:cstheme="majorBidi"/>
          <w:color w:val="auto"/>
        </w:rPr>
      </w:pPr>
      <w:r w:rsidRPr="007E07A6">
        <w:rPr>
          <w:rFonts w:asciiTheme="majorBidi" w:hAnsiTheme="majorBidi" w:cstheme="majorBidi"/>
          <w:color w:val="auto"/>
        </w:rPr>
        <w:t>1.3 Mathematical Foundations</w:t>
      </w:r>
    </w:p>
    <w:p w14:paraId="0BF28257" w14:textId="77777777" w:rsidR="007E79C3" w:rsidRPr="007E07A6" w:rsidRDefault="00000000" w:rsidP="00512F1B">
      <w:pPr>
        <w:pStyle w:val="Heading3"/>
        <w:ind w:left="720" w:firstLine="720"/>
        <w:rPr>
          <w:rFonts w:asciiTheme="majorBidi" w:hAnsiTheme="majorBidi" w:cstheme="majorBidi"/>
          <w:color w:val="auto"/>
        </w:rPr>
      </w:pPr>
      <w:r w:rsidRPr="007E07A6">
        <w:rPr>
          <w:rFonts w:asciiTheme="majorBidi" w:hAnsiTheme="majorBidi" w:cstheme="majorBidi"/>
          <w:color w:val="auto"/>
        </w:rPr>
        <w:t>1.3.1 Linear Regression Model</w:t>
      </w:r>
    </w:p>
    <w:p w14:paraId="717EFB0D" w14:textId="77777777" w:rsidR="007E79C3" w:rsidRPr="007E07A6" w:rsidRDefault="00000000" w:rsidP="00512F1B">
      <w:pPr>
        <w:spacing w:after="120"/>
        <w:ind w:left="2160"/>
        <w:rPr>
          <w:rFonts w:asciiTheme="majorBidi" w:hAnsiTheme="majorBidi" w:cstheme="majorBidi"/>
        </w:rPr>
      </w:pPr>
      <w:r w:rsidRPr="007E07A6">
        <w:rPr>
          <w:rFonts w:asciiTheme="majorBidi" w:hAnsiTheme="majorBidi" w:cstheme="majorBidi"/>
        </w:rPr>
        <w:t>The linear regression model with multiple features is defined as:</w:t>
      </w:r>
    </w:p>
    <w:p w14:paraId="4577BACA" w14:textId="5BAA4B74" w:rsidR="00B41941" w:rsidRDefault="00B41941" w:rsidP="00512F1B">
      <w:pPr>
        <w:spacing w:after="200"/>
        <w:ind w:left="2160"/>
        <w:rPr>
          <w:rFonts w:asciiTheme="majorBidi" w:eastAsia="Cambria Math" w:hAnsiTheme="majorBidi" w:cstheme="majorBidi"/>
        </w:rPr>
      </w:pPr>
      <w:r>
        <w:rPr>
          <w:rFonts w:asciiTheme="majorBidi" w:eastAsia="Cambria Math" w:hAnsiTheme="majorBidi" w:cstheme="majorBidi"/>
        </w:rPr>
        <w:tab/>
      </w:r>
      <m:oMath>
        <m:r>
          <w:rPr>
            <w:rFonts w:ascii="Cambria Math" w:eastAsia="Cambria Math" w:hAnsi="Cambria Math" w:cstheme="majorBidi"/>
          </w:rPr>
          <m:t>h</m:t>
        </m:r>
        <m:d>
          <m:dPr>
            <m:ctrlPr>
              <w:rPr>
                <w:rFonts w:ascii="Cambria Math" w:eastAsia="Cambria Math" w:hAnsi="Cambria Math" w:cstheme="majorBidi"/>
                <w:i/>
              </w:rPr>
            </m:ctrlPr>
          </m:dPr>
          <m:e>
            <m:r>
              <w:rPr>
                <w:rFonts w:ascii="Cambria Math" w:eastAsia="Cambria Math" w:hAnsi="Cambria Math" w:cstheme="majorBidi"/>
              </w:rPr>
              <m:t>x</m:t>
            </m:r>
          </m:e>
        </m:d>
        <m:r>
          <w:rPr>
            <w:rFonts w:ascii="Cambria Math" w:eastAsia="Cambria Math" w:hAnsi="Cambria Math" w:cstheme="majorBidi"/>
          </w:rPr>
          <m:t>=</m:t>
        </m:r>
        <m:sSub>
          <m:sSubPr>
            <m:ctrlPr>
              <w:rPr>
                <w:rFonts w:ascii="Cambria Math" w:eastAsia="Cambria Math" w:hAnsi="Cambria Math" w:cstheme="majorBidi"/>
                <w:i/>
              </w:rPr>
            </m:ctrlPr>
          </m:sSubPr>
          <m:e>
            <m:r>
              <m:rPr>
                <m:sty m:val="p"/>
              </m:rPr>
              <w:rPr>
                <w:rFonts w:ascii="Cambria Math" w:eastAsia="Cambria Math" w:hAnsi="Cambria Math" w:cstheme="majorBidi"/>
              </w:rPr>
              <m:t>θ</m:t>
            </m:r>
          </m:e>
          <m:sub>
            <m:r>
              <w:rPr>
                <w:rFonts w:ascii="Cambria Math" w:eastAsia="Cambria Math" w:hAnsi="Cambria Math" w:cstheme="majorBidi"/>
              </w:rPr>
              <m:t>0</m:t>
            </m:r>
          </m:sub>
        </m:sSub>
        <m:r>
          <w:rPr>
            <w:rFonts w:ascii="Cambria Math" w:eastAsia="Cambria Math" w:hAnsi="Cambria Math" w:cstheme="majorBidi"/>
          </w:rPr>
          <m:t>+</m:t>
        </m:r>
        <m:sSub>
          <m:sSubPr>
            <m:ctrlPr>
              <w:rPr>
                <w:rFonts w:ascii="Cambria Math" w:eastAsia="Cambria Math" w:hAnsi="Cambria Math" w:cstheme="majorBidi"/>
                <w:i/>
              </w:rPr>
            </m:ctrlPr>
          </m:sSubPr>
          <m:e>
            <m:r>
              <m:rPr>
                <m:sty m:val="p"/>
              </m:rPr>
              <w:rPr>
                <w:rFonts w:ascii="Cambria Math" w:eastAsia="Cambria Math" w:hAnsi="Cambria Math" w:cstheme="majorBidi"/>
              </w:rPr>
              <m:t>θ</m:t>
            </m:r>
          </m:e>
          <m:sub>
            <m:r>
              <w:rPr>
                <w:rFonts w:ascii="Cambria Math" w:eastAsia="Cambria Math" w:hAnsi="Cambria Math" w:cstheme="majorBidi"/>
              </w:rPr>
              <m:t>1</m:t>
            </m:r>
          </m:sub>
        </m:sSub>
        <m:sSub>
          <m:sSubPr>
            <m:ctrlPr>
              <w:rPr>
                <w:rFonts w:ascii="Cambria Math" w:eastAsia="Cambria Math" w:hAnsi="Cambria Math" w:cstheme="majorBidi"/>
                <w:i/>
              </w:rPr>
            </m:ctrlPr>
          </m:sSubPr>
          <m:e>
            <m:r>
              <w:rPr>
                <w:rFonts w:ascii="Cambria Math" w:eastAsia="Cambria Math" w:hAnsi="Cambria Math" w:cstheme="majorBidi"/>
              </w:rPr>
              <m:t>x</m:t>
            </m:r>
          </m:e>
          <m:sub>
            <m:r>
              <w:rPr>
                <w:rFonts w:ascii="Cambria Math" w:eastAsia="Cambria Math" w:hAnsi="Cambria Math" w:cstheme="majorBidi"/>
              </w:rPr>
              <m:t>1</m:t>
            </m:r>
          </m:sub>
        </m:sSub>
        <m:r>
          <w:rPr>
            <w:rFonts w:ascii="Cambria Math" w:eastAsia="Cambria Math" w:hAnsi="Cambria Math" w:cstheme="majorBidi"/>
          </w:rPr>
          <m:t>+</m:t>
        </m:r>
        <m:sSub>
          <m:sSubPr>
            <m:ctrlPr>
              <w:rPr>
                <w:rFonts w:ascii="Cambria Math" w:eastAsia="Cambria Math" w:hAnsi="Cambria Math" w:cstheme="majorBidi"/>
                <w:i/>
              </w:rPr>
            </m:ctrlPr>
          </m:sSubPr>
          <m:e>
            <m:r>
              <m:rPr>
                <m:sty m:val="p"/>
              </m:rPr>
              <w:rPr>
                <w:rFonts w:ascii="Cambria Math" w:eastAsia="Cambria Math" w:hAnsi="Cambria Math" w:cstheme="majorBidi"/>
              </w:rPr>
              <m:t>θ</m:t>
            </m:r>
          </m:e>
          <m:sub>
            <m:r>
              <w:rPr>
                <w:rFonts w:ascii="Cambria Math" w:eastAsia="Cambria Math" w:hAnsi="Cambria Math" w:cstheme="majorBidi"/>
              </w:rPr>
              <m:t>2</m:t>
            </m:r>
          </m:sub>
        </m:sSub>
        <m:sSub>
          <m:sSubPr>
            <m:ctrlPr>
              <w:rPr>
                <w:rFonts w:ascii="Cambria Math" w:eastAsia="Cambria Math" w:hAnsi="Cambria Math" w:cstheme="majorBidi"/>
                <w:i/>
              </w:rPr>
            </m:ctrlPr>
          </m:sSubPr>
          <m:e>
            <m:r>
              <w:rPr>
                <w:rFonts w:ascii="Cambria Math" w:eastAsia="Cambria Math" w:hAnsi="Cambria Math" w:cstheme="majorBidi"/>
              </w:rPr>
              <m:t>x</m:t>
            </m:r>
          </m:e>
          <m:sub>
            <m:r>
              <w:rPr>
                <w:rFonts w:ascii="Cambria Math" w:eastAsia="Cambria Math" w:hAnsi="Cambria Math" w:cstheme="majorBidi"/>
              </w:rPr>
              <m:t>2</m:t>
            </m:r>
          </m:sub>
        </m:sSub>
        <m:r>
          <w:rPr>
            <w:rFonts w:ascii="Cambria Math" w:eastAsia="Cambria Math" w:hAnsi="Cambria Math" w:cstheme="majorBidi"/>
          </w:rPr>
          <m:t>+</m:t>
        </m:r>
        <m:r>
          <m:rPr>
            <m:sty m:val="p"/>
          </m:rPr>
          <w:rPr>
            <w:rFonts w:ascii="Cambria Math" w:eastAsia="Cambria Math" w:hAnsi="Cambria Math" w:cstheme="majorBidi"/>
          </w:rPr>
          <m:t>…</m:t>
        </m:r>
        <m:r>
          <w:rPr>
            <w:rFonts w:ascii="Cambria Math" w:eastAsia="Cambria Math" w:hAnsi="Cambria Math" w:cstheme="majorBidi"/>
          </w:rPr>
          <m:t>+</m:t>
        </m:r>
        <m:sSub>
          <m:sSubPr>
            <m:ctrlPr>
              <w:rPr>
                <w:rFonts w:ascii="Cambria Math" w:eastAsia="Cambria Math" w:hAnsi="Cambria Math" w:cstheme="majorBidi"/>
                <w:i/>
              </w:rPr>
            </m:ctrlPr>
          </m:sSubPr>
          <m:e>
            <m:r>
              <m:rPr>
                <m:sty m:val="p"/>
              </m:rPr>
              <w:rPr>
                <w:rFonts w:ascii="Cambria Math" w:eastAsia="Cambria Math" w:hAnsi="Cambria Math" w:cstheme="majorBidi"/>
              </w:rPr>
              <m:t>θ</m:t>
            </m:r>
          </m:e>
          <m:sub>
            <m:r>
              <w:rPr>
                <w:rFonts w:ascii="Cambria Math" w:eastAsia="Cambria Math" w:hAnsi="Cambria Math" w:cstheme="majorBidi"/>
              </w:rPr>
              <m:t>n</m:t>
            </m:r>
          </m:sub>
        </m:sSub>
        <m:sSub>
          <m:sSubPr>
            <m:ctrlPr>
              <w:rPr>
                <w:rFonts w:ascii="Cambria Math" w:eastAsia="Cambria Math" w:hAnsi="Cambria Math" w:cstheme="majorBidi"/>
                <w:i/>
              </w:rPr>
            </m:ctrlPr>
          </m:sSubPr>
          <m:e>
            <m:r>
              <w:rPr>
                <w:rFonts w:ascii="Cambria Math" w:eastAsia="Cambria Math" w:hAnsi="Cambria Math" w:cstheme="majorBidi"/>
              </w:rPr>
              <m:t>x</m:t>
            </m:r>
          </m:e>
          <m:sub>
            <m:r>
              <w:rPr>
                <w:rFonts w:ascii="Cambria Math" w:eastAsia="Cambria Math" w:hAnsi="Cambria Math" w:cstheme="majorBidi"/>
              </w:rPr>
              <m:t>n</m:t>
            </m:r>
          </m:sub>
        </m:sSub>
        <m:r>
          <w:rPr>
            <w:rFonts w:ascii="Cambria Math" w:eastAsia="Cambria Math" w:hAnsi="Cambria Math" w:cstheme="majorBidi"/>
          </w:rPr>
          <m:t>=</m:t>
        </m:r>
        <m:sSup>
          <m:sSupPr>
            <m:ctrlPr>
              <w:rPr>
                <w:rFonts w:ascii="Cambria Math" w:eastAsia="Cambria Math" w:hAnsi="Cambria Math" w:cstheme="majorBidi"/>
                <w:i/>
              </w:rPr>
            </m:ctrlPr>
          </m:sSupPr>
          <m:e>
            <m:r>
              <m:rPr>
                <m:sty m:val="p"/>
              </m:rPr>
              <w:rPr>
                <w:rFonts w:ascii="Cambria Math" w:eastAsia="Cambria Math" w:hAnsi="Cambria Math" w:cstheme="majorBidi"/>
              </w:rPr>
              <m:t>θ</m:t>
            </m:r>
          </m:e>
          <m:sup>
            <m:r>
              <m:rPr>
                <m:sty m:val="p"/>
              </m:rPr>
              <w:rPr>
                <w:rFonts w:ascii="Cambria Math" w:eastAsia="Cambria Math" w:hAnsi="Cambria Math" w:cstheme="majorBidi"/>
              </w:rPr>
              <m:t>⊤</m:t>
            </m:r>
          </m:sup>
        </m:sSup>
        <m:r>
          <w:rPr>
            <w:rFonts w:ascii="Cambria Math" w:eastAsia="Cambria Math" w:hAnsi="Cambria Math" w:cstheme="majorBidi"/>
          </w:rPr>
          <m:t>X</m:t>
        </m:r>
      </m:oMath>
    </w:p>
    <w:p w14:paraId="452DF9A4" w14:textId="37B56886" w:rsidR="007E79C3" w:rsidRPr="007E07A6" w:rsidRDefault="00000000" w:rsidP="00512F1B">
      <w:pPr>
        <w:spacing w:after="200"/>
        <w:ind w:left="2160"/>
        <w:rPr>
          <w:rFonts w:asciiTheme="majorBidi" w:hAnsiTheme="majorBidi" w:cstheme="majorBidi"/>
        </w:rPr>
      </w:pPr>
      <w:r w:rsidRPr="007E07A6">
        <w:rPr>
          <w:rFonts w:asciiTheme="majorBidi" w:hAnsiTheme="majorBidi" w:cstheme="majorBidi"/>
        </w:rPr>
        <w:t>where θ₀ is the bias term and θ₁, θ₂, ..., θₙ are the feature coefficients.</w:t>
      </w:r>
    </w:p>
    <w:p w14:paraId="0FCEF1A1" w14:textId="77777777" w:rsidR="007E79C3" w:rsidRPr="007E07A6" w:rsidRDefault="00000000" w:rsidP="00AB202E">
      <w:pPr>
        <w:pStyle w:val="Heading3"/>
        <w:ind w:left="720" w:firstLine="720"/>
        <w:rPr>
          <w:rFonts w:asciiTheme="majorBidi" w:hAnsiTheme="majorBidi" w:cstheme="majorBidi"/>
          <w:color w:val="auto"/>
        </w:rPr>
      </w:pPr>
      <w:r w:rsidRPr="007E07A6">
        <w:rPr>
          <w:rFonts w:asciiTheme="majorBidi" w:hAnsiTheme="majorBidi" w:cstheme="majorBidi"/>
          <w:color w:val="auto"/>
        </w:rPr>
        <w:t>1.3.2 Ridge Regression (L2 Regularization)</w:t>
      </w:r>
    </w:p>
    <w:p w14:paraId="11187A4B" w14:textId="77777777" w:rsidR="007E79C3" w:rsidRDefault="00000000" w:rsidP="00AB202E">
      <w:pPr>
        <w:spacing w:after="120"/>
        <w:ind w:left="2160"/>
        <w:rPr>
          <w:rFonts w:asciiTheme="majorBidi" w:hAnsiTheme="majorBidi" w:cstheme="majorBidi"/>
        </w:rPr>
      </w:pPr>
      <w:r w:rsidRPr="007E07A6">
        <w:rPr>
          <w:rFonts w:asciiTheme="majorBidi" w:hAnsiTheme="majorBidi" w:cstheme="majorBidi"/>
        </w:rPr>
        <w:t>Ridge Regression adds an L2 penalty term to the standard MSE cost function:</w:t>
      </w:r>
    </w:p>
    <w:p w14:paraId="714A860D" w14:textId="6504B31B" w:rsidR="00AB202E" w:rsidRPr="007E07A6" w:rsidRDefault="004E7A42" w:rsidP="00AB202E">
      <w:pPr>
        <w:spacing w:after="120"/>
        <w:ind w:left="2160"/>
        <w:rPr>
          <w:rFonts w:asciiTheme="majorBidi" w:hAnsiTheme="majorBidi" w:cstheme="majorBidi"/>
        </w:rPr>
      </w:pPr>
      <m:oMathPara>
        <m:oMath>
          <m:r>
            <w:rPr>
              <w:rFonts w:ascii="Cambria Math" w:hAnsi="Cambria Math" w:cstheme="majorBidi"/>
            </w:rPr>
            <m:t>J</m:t>
          </m:r>
          <m:d>
            <m:dPr>
              <m:ctrlPr>
                <w:rPr>
                  <w:rFonts w:ascii="Cambria Math" w:hAnsi="Cambria Math" w:cstheme="majorBidi"/>
                  <w:i/>
                </w:rPr>
              </m:ctrlPr>
            </m:dPr>
            <m:e>
              <m:r>
                <m:rPr>
                  <m:sty m:val="p"/>
                </m:rPr>
                <w:rPr>
                  <w:rFonts w:ascii="Cambria Math" w:hAnsi="Cambria Math" w:cstheme="majorBidi"/>
                </w:rPr>
                <m:t>θ</m:t>
              </m:r>
            </m:e>
          </m:d>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2n</m:t>
              </m:r>
              <m:ctrlPr>
                <w:rPr>
                  <w:rFonts w:ascii="Cambria Math" w:hAnsi="Cambria Math" w:cstheme="majorBidi"/>
                  <w:i/>
                </w:rPr>
              </m:ctrlPr>
            </m:den>
          </m:f>
          <m:nary>
            <m:naryPr>
              <m:chr m:val="∑"/>
              <m:subHide m:val="1"/>
              <m:supHide m:val="1"/>
              <m:ctrlPr>
                <w:rPr>
                  <w:rFonts w:ascii="Cambria Math" w:hAnsi="Cambria Math" w:cstheme="majorBidi"/>
                </w:rPr>
              </m:ctrlPr>
            </m:naryPr>
            <m:sub>
              <m:ctrlPr>
                <w:rPr>
                  <w:rFonts w:ascii="Cambria Math" w:hAnsi="Cambria Math" w:cstheme="majorBidi"/>
                  <w:i/>
                </w:rPr>
              </m:ctrlPr>
            </m:sub>
            <m:sup>
              <m:ctrlPr>
                <w:rPr>
                  <w:rFonts w:ascii="Cambria Math" w:hAnsi="Cambria Math" w:cstheme="majorBidi"/>
                  <w:i/>
                </w:rPr>
              </m:ctrlPr>
            </m:sup>
            <m:e>
              <m:sSup>
                <m:sSupPr>
                  <m:ctrlPr>
                    <w:rPr>
                      <w:rFonts w:ascii="Cambria Math" w:hAnsi="Cambria Math" w:cstheme="majorBidi"/>
                      <w:i/>
                    </w:rPr>
                  </m:ctrlPr>
                </m:sSupPr>
                <m:e>
                  <m:d>
                    <m:dPr>
                      <m:ctrlPr>
                        <w:rPr>
                          <w:rFonts w:ascii="Cambria Math" w:hAnsi="Cambria Math" w:cstheme="majorBidi"/>
                          <w:i/>
                        </w:rPr>
                      </m:ctrlPr>
                    </m:dPr>
                    <m:e>
                      <m:r>
                        <w:rPr>
                          <w:rFonts w:ascii="Cambria Math" w:hAnsi="Cambria Math" w:cstheme="majorBidi"/>
                        </w:rPr>
                        <m:t>h</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x</m:t>
                              </m:r>
                            </m:e>
                            <m:sub>
                              <m:r>
                                <w:rPr>
                                  <w:rFonts w:ascii="Cambria Math" w:hAnsi="Cambria Math" w:cstheme="majorBidi"/>
                                </w:rPr>
                                <m:t>i</m:t>
                              </m:r>
                            </m:sub>
                          </m:sSub>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e>
                  </m:d>
                </m:e>
                <m:sup>
                  <m:r>
                    <w:rPr>
                      <w:rFonts w:ascii="Cambria Math" w:hAnsi="Cambria Math" w:cstheme="majorBidi"/>
                    </w:rPr>
                    <m:t>2</m:t>
                  </m:r>
                </m:sup>
              </m:sSup>
              <m:ctrlPr>
                <w:rPr>
                  <w:rFonts w:ascii="Cambria Math" w:hAnsi="Cambria Math" w:cstheme="majorBidi"/>
                  <w:i/>
                </w:rPr>
              </m:ctrlPr>
            </m:e>
          </m:nary>
          <m: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λ</m:t>
              </m:r>
              <m:ctrlPr>
                <w:rPr>
                  <w:rFonts w:ascii="Cambria Math" w:hAnsi="Cambria Math" w:cstheme="majorBidi"/>
                  <w:i/>
                </w:rPr>
              </m:ctrlPr>
            </m:num>
            <m:den>
              <m:r>
                <w:rPr>
                  <w:rFonts w:ascii="Cambria Math" w:hAnsi="Cambria Math" w:cstheme="majorBidi"/>
                </w:rPr>
                <m:t>2</m:t>
              </m:r>
              <m:ctrlPr>
                <w:rPr>
                  <w:rFonts w:ascii="Cambria Math" w:hAnsi="Cambria Math" w:cstheme="majorBidi"/>
                  <w:i/>
                </w:rPr>
              </m:ctrlPr>
            </m:den>
          </m:f>
          <m:nary>
            <m:naryPr>
              <m:chr m:val="∑"/>
              <m:subHide m:val="1"/>
              <m:supHide m:val="1"/>
              <m:ctrlPr>
                <w:rPr>
                  <w:rFonts w:ascii="Cambria Math" w:hAnsi="Cambria Math" w:cstheme="majorBidi"/>
                </w:rPr>
              </m:ctrlPr>
            </m:naryPr>
            <m:sub/>
            <m:sup/>
            <m:e>
              <m:sSubSup>
                <m:sSubSupPr>
                  <m:ctrlPr>
                    <w:rPr>
                      <w:rFonts w:ascii="Cambria Math" w:hAnsi="Cambria Math" w:cstheme="majorBidi"/>
                      <w:i/>
                    </w:rPr>
                  </m:ctrlPr>
                </m:sSubSupPr>
                <m:e>
                  <m:r>
                    <m:rPr>
                      <m:sty m:val="p"/>
                    </m:rPr>
                    <w:rPr>
                      <w:rFonts w:ascii="Cambria Math" w:hAnsi="Cambria Math" w:cstheme="majorBidi"/>
                    </w:rPr>
                    <m:t>θ</m:t>
                  </m:r>
                  <m:ctrlPr>
                    <w:rPr>
                      <w:rFonts w:ascii="Cambria Math" w:hAnsi="Cambria Math" w:cstheme="majorBidi"/>
                    </w:rPr>
                  </m:ctrlPr>
                </m:e>
                <m:sub>
                  <m:r>
                    <w:rPr>
                      <w:rFonts w:ascii="Cambria Math" w:hAnsi="Cambria Math" w:cstheme="majorBidi"/>
                    </w:rPr>
                    <m:t>j</m:t>
                  </m:r>
                </m:sub>
                <m:sup>
                  <m:r>
                    <w:rPr>
                      <w:rFonts w:ascii="Cambria Math" w:hAnsi="Cambria Math" w:cstheme="majorBidi"/>
                    </w:rPr>
                    <m:t>2</m:t>
                  </m:r>
                </m:sup>
              </m:sSubSup>
            </m:e>
          </m:nary>
        </m:oMath>
      </m:oMathPara>
    </w:p>
    <w:p w14:paraId="05CFD8DB" w14:textId="77777777" w:rsidR="007E79C3" w:rsidRPr="007E07A6" w:rsidRDefault="00000000" w:rsidP="00AB202E">
      <w:pPr>
        <w:spacing w:after="200"/>
        <w:ind w:left="2160"/>
        <w:rPr>
          <w:rFonts w:asciiTheme="majorBidi" w:hAnsiTheme="majorBidi" w:cstheme="majorBidi"/>
        </w:rPr>
      </w:pPr>
      <w:r w:rsidRPr="007E07A6">
        <w:rPr>
          <w:rFonts w:asciiTheme="majorBidi" w:hAnsiTheme="majorBidi" w:cstheme="majorBidi"/>
        </w:rPr>
        <w:t>where λ is the regularization parameter and the sum over θⱼ excludes the bias term (θ₀).</w:t>
      </w:r>
    </w:p>
    <w:p w14:paraId="11BEFD0A" w14:textId="77777777" w:rsidR="007E79C3" w:rsidRPr="007E07A6" w:rsidRDefault="00000000" w:rsidP="000107AF">
      <w:pPr>
        <w:pStyle w:val="Heading3"/>
        <w:ind w:left="720" w:firstLine="720"/>
        <w:rPr>
          <w:rFonts w:asciiTheme="majorBidi" w:hAnsiTheme="majorBidi" w:cstheme="majorBidi"/>
          <w:color w:val="auto"/>
        </w:rPr>
      </w:pPr>
      <w:r w:rsidRPr="007E07A6">
        <w:rPr>
          <w:rFonts w:asciiTheme="majorBidi" w:hAnsiTheme="majorBidi" w:cstheme="majorBidi"/>
          <w:color w:val="auto"/>
        </w:rPr>
        <w:t>1.3.3 SGD Update Rules for Ridge Regression</w:t>
      </w:r>
    </w:p>
    <w:p w14:paraId="66FE13F0" w14:textId="77777777" w:rsidR="007E79C3" w:rsidRPr="007E07A6" w:rsidRDefault="00000000" w:rsidP="000107AF">
      <w:pPr>
        <w:spacing w:after="120"/>
        <w:ind w:left="2160"/>
        <w:rPr>
          <w:rFonts w:asciiTheme="majorBidi" w:hAnsiTheme="majorBidi" w:cstheme="majorBidi"/>
        </w:rPr>
      </w:pPr>
      <w:r w:rsidRPr="007E07A6">
        <w:rPr>
          <w:rFonts w:asciiTheme="majorBidi" w:hAnsiTheme="majorBidi" w:cstheme="majorBidi"/>
        </w:rPr>
        <w:t>The gradient descent update rules with L2 regularization are:</w:t>
      </w:r>
    </w:p>
    <w:p w14:paraId="3C4FDDF1" w14:textId="77777777" w:rsidR="007E79C3" w:rsidRPr="007E07A6" w:rsidRDefault="00000000" w:rsidP="000107AF">
      <w:pPr>
        <w:spacing w:after="80"/>
        <w:ind w:left="2160"/>
        <w:rPr>
          <w:rFonts w:asciiTheme="majorBidi" w:hAnsiTheme="majorBidi" w:cstheme="majorBidi"/>
        </w:rPr>
      </w:pPr>
      <w:r w:rsidRPr="007E07A6">
        <w:rPr>
          <w:rFonts w:asciiTheme="majorBidi" w:hAnsiTheme="majorBidi" w:cstheme="majorBidi"/>
          <w:b/>
          <w:bCs/>
        </w:rPr>
        <w:lastRenderedPageBreak/>
        <w:t>For the bias term (no regularization):</w:t>
      </w:r>
    </w:p>
    <w:p w14:paraId="0D4585E4" w14:textId="7522F96D" w:rsidR="00D35960" w:rsidRDefault="00D35960" w:rsidP="000107AF">
      <w:pPr>
        <w:spacing w:after="80"/>
        <w:ind w:left="2160"/>
        <w:rPr>
          <w:rFonts w:asciiTheme="majorBidi" w:eastAsia="Cambria Math" w:hAnsiTheme="majorBidi" w:cstheme="majorBidi"/>
        </w:rPr>
      </w:pPr>
      <m:oMathPara>
        <m:oMath>
          <m:sSub>
            <m:sSubPr>
              <m:ctrlPr>
                <w:rPr>
                  <w:rFonts w:ascii="Cambria Math" w:eastAsia="Cambria Math" w:hAnsi="Cambria Math" w:cstheme="majorBidi"/>
                  <w:i/>
                </w:rPr>
              </m:ctrlPr>
            </m:sSubPr>
            <m:e>
              <m:r>
                <m:rPr>
                  <m:sty m:val="p"/>
                </m:rPr>
                <w:rPr>
                  <w:rFonts w:ascii="Cambria Math" w:eastAsia="Cambria Math" w:hAnsi="Cambria Math" w:cstheme="majorBidi"/>
                </w:rPr>
                <m:t>θ</m:t>
              </m:r>
              <m:ctrlPr>
                <w:rPr>
                  <w:rFonts w:ascii="Cambria Math" w:eastAsia="Cambria Math" w:hAnsi="Cambria Math" w:cstheme="majorBidi"/>
                </w:rPr>
              </m:ctrlPr>
            </m:e>
            <m:sub>
              <m:r>
                <w:rPr>
                  <w:rFonts w:ascii="Cambria Math" w:eastAsia="Cambria Math" w:hAnsi="Cambria Math" w:cstheme="majorBidi"/>
                </w:rPr>
                <m:t>0</m:t>
              </m:r>
            </m:sub>
          </m:sSub>
          <m:r>
            <w:rPr>
              <w:rFonts w:ascii="Cambria Math" w:eastAsia="Cambria Math" w:hAnsi="Cambria Math" w:cstheme="majorBidi"/>
            </w:rPr>
            <m:t>≔</m:t>
          </m:r>
          <m:sSub>
            <m:sSubPr>
              <m:ctrlPr>
                <w:rPr>
                  <w:rFonts w:ascii="Cambria Math" w:eastAsia="Cambria Math" w:hAnsi="Cambria Math" w:cstheme="majorBidi"/>
                  <w:i/>
                </w:rPr>
              </m:ctrlPr>
            </m:sSubPr>
            <m:e>
              <m:r>
                <m:rPr>
                  <m:sty m:val="p"/>
                </m:rPr>
                <w:rPr>
                  <w:rFonts w:ascii="Cambria Math" w:eastAsia="Cambria Math" w:hAnsi="Cambria Math" w:cstheme="majorBidi"/>
                </w:rPr>
                <m:t>θ</m:t>
              </m:r>
            </m:e>
            <m:sub>
              <m:r>
                <w:rPr>
                  <w:rFonts w:ascii="Cambria Math" w:eastAsia="Cambria Math" w:hAnsi="Cambria Math" w:cstheme="majorBidi"/>
                </w:rPr>
                <m:t>0</m:t>
              </m:r>
            </m:sub>
          </m:sSub>
          <m:r>
            <w:rPr>
              <w:rFonts w:ascii="Cambria Math" w:eastAsia="Cambria Math" w:hAnsi="Cambria Math" w:cstheme="majorBidi"/>
            </w:rPr>
            <m:t>-</m:t>
          </m:r>
          <m:r>
            <m:rPr>
              <m:sty m:val="p"/>
            </m:rPr>
            <w:rPr>
              <w:rFonts w:ascii="Cambria Math" w:eastAsia="Cambria Math" w:hAnsi="Cambria Math" w:cstheme="majorBidi"/>
            </w:rPr>
            <m:t>α×</m:t>
          </m:r>
          <m:d>
            <m:dPr>
              <m:ctrlPr>
                <w:rPr>
                  <w:rFonts w:ascii="Cambria Math" w:eastAsia="Cambria Math" w:hAnsi="Cambria Math" w:cstheme="majorBidi"/>
                  <w:i/>
                </w:rPr>
              </m:ctrlPr>
            </m:dPr>
            <m:e>
              <m:r>
                <w:rPr>
                  <w:rFonts w:ascii="Cambria Math" w:eastAsia="Cambria Math" w:hAnsi="Cambria Math" w:cstheme="majorBidi"/>
                </w:rPr>
                <m:t>h</m:t>
              </m:r>
              <m:d>
                <m:dPr>
                  <m:ctrlPr>
                    <w:rPr>
                      <w:rFonts w:ascii="Cambria Math" w:eastAsia="Cambria Math" w:hAnsi="Cambria Math" w:cstheme="majorBidi"/>
                      <w:i/>
                    </w:rPr>
                  </m:ctrlPr>
                </m:dPr>
                <m:e>
                  <m:sSub>
                    <m:sSubPr>
                      <m:ctrlPr>
                        <w:rPr>
                          <w:rFonts w:ascii="Cambria Math" w:eastAsia="Cambria Math" w:hAnsi="Cambria Math" w:cstheme="majorBidi"/>
                          <w:i/>
                        </w:rPr>
                      </m:ctrlPr>
                    </m:sSubPr>
                    <m:e>
                      <m:r>
                        <w:rPr>
                          <w:rFonts w:ascii="Cambria Math" w:eastAsia="Cambria Math" w:hAnsi="Cambria Math" w:cstheme="majorBidi"/>
                        </w:rPr>
                        <m:t>x</m:t>
                      </m:r>
                    </m:e>
                    <m:sub>
                      <m:r>
                        <w:rPr>
                          <w:rFonts w:ascii="Cambria Math" w:eastAsia="Cambria Math" w:hAnsi="Cambria Math" w:cstheme="majorBidi"/>
                        </w:rPr>
                        <m:t>i</m:t>
                      </m:r>
                    </m:sub>
                  </m:sSub>
                </m:e>
              </m:d>
              <m:r>
                <w:rPr>
                  <w:rFonts w:ascii="Cambria Math" w:eastAsia="Cambria Math" w:hAnsi="Cambria Math" w:cstheme="majorBidi"/>
                </w:rPr>
                <m:t>-</m:t>
              </m:r>
              <m:sSub>
                <m:sSubPr>
                  <m:ctrlPr>
                    <w:rPr>
                      <w:rFonts w:ascii="Cambria Math" w:eastAsia="Cambria Math" w:hAnsi="Cambria Math" w:cstheme="majorBidi"/>
                      <w:i/>
                    </w:rPr>
                  </m:ctrlPr>
                </m:sSubPr>
                <m:e>
                  <m:r>
                    <w:rPr>
                      <w:rFonts w:ascii="Cambria Math" w:eastAsia="Cambria Math" w:hAnsi="Cambria Math" w:cstheme="majorBidi"/>
                    </w:rPr>
                    <m:t>y</m:t>
                  </m:r>
                </m:e>
                <m:sub>
                  <m:r>
                    <w:rPr>
                      <w:rFonts w:ascii="Cambria Math" w:eastAsia="Cambria Math" w:hAnsi="Cambria Math" w:cstheme="majorBidi"/>
                    </w:rPr>
                    <m:t>i</m:t>
                  </m:r>
                </m:sub>
              </m:sSub>
            </m:e>
          </m:d>
        </m:oMath>
      </m:oMathPara>
    </w:p>
    <w:p w14:paraId="72AF820B" w14:textId="5041F449" w:rsidR="007E79C3" w:rsidRDefault="00000000" w:rsidP="000107AF">
      <w:pPr>
        <w:spacing w:after="80"/>
        <w:ind w:left="2160"/>
        <w:rPr>
          <w:rFonts w:asciiTheme="majorBidi" w:hAnsiTheme="majorBidi" w:cstheme="majorBidi"/>
          <w:b/>
          <w:bCs/>
        </w:rPr>
      </w:pPr>
      <w:r w:rsidRPr="007E07A6">
        <w:rPr>
          <w:rFonts w:asciiTheme="majorBidi" w:hAnsiTheme="majorBidi" w:cstheme="majorBidi"/>
          <w:b/>
          <w:bCs/>
        </w:rPr>
        <w:t>For feature coefficients (with regularization):</w:t>
      </w:r>
    </w:p>
    <w:p w14:paraId="70D22708" w14:textId="33D2D4D8" w:rsidR="00D35960" w:rsidRPr="007E07A6" w:rsidRDefault="009A4982" w:rsidP="000107AF">
      <w:pPr>
        <w:spacing w:after="80"/>
        <w:ind w:left="2160"/>
        <w:rPr>
          <w:rFonts w:asciiTheme="majorBidi" w:hAnsiTheme="majorBidi" w:cstheme="majorBidi"/>
        </w:rPr>
      </w:pPr>
      <w:r>
        <w:rPr>
          <w:rFonts w:asciiTheme="majorBidi" w:hAnsiTheme="majorBidi" w:cstheme="majorBidi"/>
          <w:b/>
          <w:bCs/>
        </w:rPr>
        <w:tab/>
      </w:r>
      <w:r w:rsidR="00D35960">
        <w:rPr>
          <w:rFonts w:asciiTheme="majorBidi" w:hAnsiTheme="majorBidi" w:cstheme="majorBidi"/>
          <w:b/>
          <w:bCs/>
        </w:rPr>
        <w:tab/>
      </w:r>
      <m:oMath>
        <m:sSub>
          <m:sSubPr>
            <m:ctrlPr>
              <w:rPr>
                <w:rFonts w:ascii="Cambria Math" w:hAnsi="Cambria Math" w:cstheme="majorBidi"/>
                <w:b/>
                <w:bCs/>
                <w:i/>
              </w:rPr>
            </m:ctrlPr>
          </m:sSubPr>
          <m:e>
            <m:r>
              <m:rPr>
                <m:sty m:val="b"/>
              </m:rPr>
              <w:rPr>
                <w:rFonts w:ascii="Cambria Math" w:hAnsi="Cambria Math" w:cstheme="majorBidi"/>
              </w:rPr>
              <m:t>θ</m:t>
            </m:r>
            <m:ctrlPr>
              <w:rPr>
                <w:rFonts w:ascii="Cambria Math" w:hAnsi="Cambria Math" w:cstheme="majorBidi"/>
                <w:b/>
                <w:bCs/>
              </w:rPr>
            </m:ctrlPr>
          </m:e>
          <m:sub>
            <m:r>
              <m:rPr>
                <m:sty m:val="bi"/>
              </m:rPr>
              <w:rPr>
                <w:rFonts w:ascii="Cambria Math" w:hAnsi="Cambria Math" w:cstheme="majorBidi"/>
              </w:rPr>
              <m:t>j</m:t>
            </m:r>
          </m:sub>
        </m:sSub>
        <m:r>
          <m:rPr>
            <m:sty m:val="bi"/>
          </m:rPr>
          <w:rPr>
            <w:rFonts w:ascii="Cambria Math" w:hAnsi="Cambria Math" w:cstheme="majorBidi"/>
          </w:rPr>
          <m:t>≔</m:t>
        </m:r>
        <m:sSub>
          <m:sSubPr>
            <m:ctrlPr>
              <w:rPr>
                <w:rFonts w:ascii="Cambria Math" w:hAnsi="Cambria Math" w:cstheme="majorBidi"/>
                <w:b/>
                <w:bCs/>
                <w:i/>
              </w:rPr>
            </m:ctrlPr>
          </m:sSubPr>
          <m:e>
            <m:r>
              <m:rPr>
                <m:sty m:val="b"/>
              </m:rPr>
              <w:rPr>
                <w:rFonts w:ascii="Cambria Math" w:hAnsi="Cambria Math" w:cstheme="majorBidi"/>
              </w:rPr>
              <m:t>θ</m:t>
            </m:r>
          </m:e>
          <m:sub>
            <m:r>
              <m:rPr>
                <m:sty m:val="bi"/>
              </m:rPr>
              <w:rPr>
                <w:rFonts w:ascii="Cambria Math" w:hAnsi="Cambria Math" w:cstheme="majorBidi"/>
              </w:rPr>
              <m:t>j</m:t>
            </m:r>
          </m:sub>
        </m:sSub>
        <m:r>
          <m:rPr>
            <m:sty m:val="bi"/>
          </m:rPr>
          <w:rPr>
            <w:rFonts w:ascii="Cambria Math" w:hAnsi="Cambria Math" w:cstheme="majorBidi"/>
          </w:rPr>
          <m:t>-</m:t>
        </m:r>
        <m:r>
          <m:rPr>
            <m:sty m:val="b"/>
          </m:rPr>
          <w:rPr>
            <w:rFonts w:ascii="Cambria Math" w:hAnsi="Cambria Math" w:cstheme="majorBidi"/>
          </w:rPr>
          <m:t>α×</m:t>
        </m:r>
        <m:d>
          <m:dPr>
            <m:ctrlPr>
              <w:rPr>
                <w:rFonts w:ascii="Cambria Math" w:hAnsi="Cambria Math" w:cstheme="majorBidi"/>
                <w:b/>
                <w:bCs/>
              </w:rPr>
            </m:ctrlPr>
          </m:dPr>
          <m:e>
            <m:d>
              <m:dPr>
                <m:ctrlPr>
                  <w:rPr>
                    <w:rFonts w:ascii="Cambria Math" w:hAnsi="Cambria Math" w:cstheme="majorBidi"/>
                    <w:b/>
                    <w:bCs/>
                    <w:i/>
                  </w:rPr>
                </m:ctrlPr>
              </m:dPr>
              <m:e>
                <m:r>
                  <m:rPr>
                    <m:sty m:val="bi"/>
                  </m:rPr>
                  <w:rPr>
                    <w:rFonts w:ascii="Cambria Math" w:hAnsi="Cambria Math" w:cstheme="majorBidi"/>
                  </w:rPr>
                  <m:t>h</m:t>
                </m:r>
                <m:d>
                  <m:dPr>
                    <m:ctrlPr>
                      <w:rPr>
                        <w:rFonts w:ascii="Cambria Math" w:hAnsi="Cambria Math" w:cstheme="majorBidi"/>
                        <w:b/>
                        <w:bCs/>
                        <w:i/>
                      </w:rPr>
                    </m:ctrlPr>
                  </m:dPr>
                  <m:e>
                    <m:sSub>
                      <m:sSubPr>
                        <m:ctrlPr>
                          <w:rPr>
                            <w:rFonts w:ascii="Cambria Math" w:hAnsi="Cambria Math" w:cstheme="majorBidi"/>
                            <w:b/>
                            <w:bCs/>
                            <w:i/>
                          </w:rPr>
                        </m:ctrlPr>
                      </m:sSubPr>
                      <m:e>
                        <m:r>
                          <m:rPr>
                            <m:sty m:val="bi"/>
                          </m:rPr>
                          <w:rPr>
                            <w:rFonts w:ascii="Cambria Math" w:hAnsi="Cambria Math" w:cstheme="majorBidi"/>
                          </w:rPr>
                          <m:t>x</m:t>
                        </m:r>
                      </m:e>
                      <m:sub>
                        <m:r>
                          <m:rPr>
                            <m:sty m:val="bi"/>
                          </m:rPr>
                          <w:rPr>
                            <w:rFonts w:ascii="Cambria Math" w:hAnsi="Cambria Math" w:cstheme="majorBidi"/>
                          </w:rPr>
                          <m:t>i</m:t>
                        </m:r>
                      </m:sub>
                    </m:sSub>
                  </m:e>
                </m:d>
                <m:r>
                  <m:rPr>
                    <m:sty m:val="bi"/>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y</m:t>
                    </m:r>
                  </m:e>
                  <m:sub>
                    <m:r>
                      <m:rPr>
                        <m:sty m:val="bi"/>
                      </m:rPr>
                      <w:rPr>
                        <w:rFonts w:ascii="Cambria Math" w:hAnsi="Cambria Math" w:cstheme="majorBidi"/>
                      </w:rPr>
                      <m:t>i</m:t>
                    </m:r>
                  </m:sub>
                </m:sSub>
              </m:e>
            </m:d>
            <m:r>
              <m:rPr>
                <m:sty m:val="b"/>
              </m:rPr>
              <w:rPr>
                <w:rFonts w:ascii="Cambria Math" w:hAnsi="Cambria Math" w:cstheme="majorBidi"/>
              </w:rPr>
              <m:t>×</m:t>
            </m:r>
            <m:sSub>
              <m:sSubPr>
                <m:ctrlPr>
                  <w:rPr>
                    <w:rFonts w:ascii="Cambria Math" w:hAnsi="Cambria Math" w:cstheme="majorBidi"/>
                    <w:b/>
                    <w:bCs/>
                    <w:i/>
                  </w:rPr>
                </m:ctrlPr>
              </m:sSubPr>
              <m:e>
                <m:r>
                  <m:rPr>
                    <m:sty m:val="bi"/>
                  </m:rPr>
                  <w:rPr>
                    <w:rFonts w:ascii="Cambria Math" w:hAnsi="Cambria Math" w:cstheme="majorBidi"/>
                  </w:rPr>
                  <m:t>x</m:t>
                </m:r>
                <m:ctrlPr>
                  <w:rPr>
                    <w:rFonts w:ascii="Cambria Math" w:hAnsi="Cambria Math" w:cstheme="majorBidi"/>
                    <w:b/>
                    <w:bCs/>
                  </w:rPr>
                </m:ctrlPr>
              </m:e>
              <m:sub>
                <m:r>
                  <m:rPr>
                    <m:sty m:val="bi"/>
                  </m:rPr>
                  <w:rPr>
                    <w:rFonts w:ascii="Cambria Math" w:hAnsi="Cambria Math" w:cstheme="majorBidi"/>
                  </w:rPr>
                  <m:t>ij</m:t>
                </m:r>
              </m:sub>
            </m:sSub>
            <m:r>
              <m:rPr>
                <m:sty m:val="bi"/>
              </m:rPr>
              <w:rPr>
                <w:rFonts w:ascii="Cambria Math" w:hAnsi="Cambria Math" w:cstheme="majorBidi"/>
              </w:rPr>
              <m:t>+</m:t>
            </m:r>
            <m:r>
              <m:rPr>
                <m:sty m:val="b"/>
              </m:rPr>
              <w:rPr>
                <w:rFonts w:ascii="Cambria Math" w:hAnsi="Cambria Math" w:cstheme="majorBidi"/>
              </w:rPr>
              <m:t>λ×</m:t>
            </m:r>
            <m:sSub>
              <m:sSubPr>
                <m:ctrlPr>
                  <w:rPr>
                    <w:rFonts w:ascii="Cambria Math" w:hAnsi="Cambria Math" w:cstheme="majorBidi"/>
                    <w:b/>
                    <w:bCs/>
                    <w:i/>
                  </w:rPr>
                </m:ctrlPr>
              </m:sSubPr>
              <m:e>
                <m:r>
                  <m:rPr>
                    <m:sty m:val="b"/>
                  </m:rPr>
                  <w:rPr>
                    <w:rFonts w:ascii="Cambria Math" w:hAnsi="Cambria Math" w:cstheme="majorBidi"/>
                  </w:rPr>
                  <m:t>θ</m:t>
                </m:r>
                <m:ctrlPr>
                  <w:rPr>
                    <w:rFonts w:ascii="Cambria Math" w:hAnsi="Cambria Math" w:cstheme="majorBidi"/>
                    <w:b/>
                    <w:bCs/>
                  </w:rPr>
                </m:ctrlPr>
              </m:e>
              <m:sub>
                <m:r>
                  <m:rPr>
                    <m:sty m:val="bi"/>
                  </m:rPr>
                  <w:rPr>
                    <w:rFonts w:ascii="Cambria Math" w:hAnsi="Cambria Math" w:cstheme="majorBidi"/>
                  </w:rPr>
                  <m:t>j</m:t>
                </m:r>
              </m:sub>
            </m:sSub>
            <m:ctrlPr>
              <w:rPr>
                <w:rFonts w:ascii="Cambria Math" w:hAnsi="Cambria Math" w:cstheme="majorBidi"/>
                <w:b/>
                <w:bCs/>
                <w:i/>
              </w:rPr>
            </m:ctrlPr>
          </m:e>
        </m:d>
      </m:oMath>
    </w:p>
    <w:p w14:paraId="36BE0E46" w14:textId="77777777" w:rsidR="007E79C3" w:rsidRPr="007E07A6" w:rsidRDefault="00000000" w:rsidP="00C53C7E">
      <w:pPr>
        <w:pStyle w:val="Heading3"/>
        <w:ind w:left="720" w:firstLine="720"/>
        <w:rPr>
          <w:rFonts w:asciiTheme="majorBidi" w:hAnsiTheme="majorBidi" w:cstheme="majorBidi"/>
          <w:color w:val="auto"/>
        </w:rPr>
      </w:pPr>
      <w:r w:rsidRPr="007E07A6">
        <w:rPr>
          <w:rFonts w:asciiTheme="majorBidi" w:hAnsiTheme="majorBidi" w:cstheme="majorBidi"/>
          <w:color w:val="auto"/>
        </w:rPr>
        <w:t>1.3.4 Variance Inflation Factor (VIF)</w:t>
      </w:r>
    </w:p>
    <w:p w14:paraId="343675E3" w14:textId="77777777" w:rsidR="007E79C3" w:rsidRDefault="00000000" w:rsidP="00C53C7E">
      <w:pPr>
        <w:spacing w:after="120"/>
        <w:ind w:left="2160"/>
        <w:rPr>
          <w:rFonts w:asciiTheme="majorBidi" w:hAnsiTheme="majorBidi" w:cstheme="majorBidi"/>
        </w:rPr>
      </w:pPr>
      <w:r w:rsidRPr="007E07A6">
        <w:rPr>
          <w:rFonts w:asciiTheme="majorBidi" w:hAnsiTheme="majorBidi" w:cstheme="majorBidi"/>
        </w:rPr>
        <w:t>VIF measures multicollinearity by quantifying how much the variance of an estimated coefficient increases due to collinearity:</w:t>
      </w:r>
    </w:p>
    <w:p w14:paraId="729FBA77" w14:textId="50C66A57" w:rsidR="00C71594" w:rsidRPr="007E07A6" w:rsidRDefault="00C71594" w:rsidP="00C53C7E">
      <w:pPr>
        <w:spacing w:after="120"/>
        <w:ind w:left="2160"/>
        <w:rPr>
          <w:rFonts w:asciiTheme="majorBidi" w:hAnsiTheme="majorBidi" w:cstheme="majorBidi"/>
        </w:rPr>
      </w:pPr>
      <m:oMathPara>
        <m:oMath>
          <m:sSub>
            <m:sSubPr>
              <m:ctrlPr>
                <w:rPr>
                  <w:rFonts w:ascii="Cambria Math" w:hAnsi="Cambria Math" w:cstheme="majorBidi"/>
                  <w:i/>
                </w:rPr>
              </m:ctrlPr>
            </m:sSubPr>
            <m:e>
              <m:r>
                <m:rPr>
                  <m:nor/>
                </m:rPr>
                <w:rPr>
                  <w:rFonts w:ascii="Cambria Math" w:hAnsi="Cambria Math" w:cstheme="majorBidi"/>
                </w:rPr>
                <m:t>VIF</m:t>
              </m:r>
              <m:ctrlPr>
                <w:rPr>
                  <w:rFonts w:ascii="Cambria Math" w:hAnsi="Cambria Math" w:cstheme="majorBidi"/>
                </w:rPr>
              </m:ctrlPr>
            </m:e>
            <m:sub>
              <m:r>
                <w:rPr>
                  <w:rFonts w:ascii="Cambria Math" w:hAnsi="Cambria Math" w:cstheme="majorBidi"/>
                </w:rPr>
                <m:t>j</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1</m:t>
              </m:r>
              <m:ctrlPr>
                <w:rPr>
                  <w:rFonts w:ascii="Cambria Math" w:hAnsi="Cambria Math" w:cstheme="majorBidi"/>
                  <w:i/>
                </w:rPr>
              </m:ctrlPr>
            </m:num>
            <m:den>
              <m:r>
                <w:rPr>
                  <w:rFonts w:ascii="Cambria Math" w:hAnsi="Cambria Math" w:cstheme="majorBidi"/>
                </w:rPr>
                <m:t>1-</m:t>
              </m:r>
              <m:sSubSup>
                <m:sSubSupPr>
                  <m:ctrlPr>
                    <w:rPr>
                      <w:rFonts w:ascii="Cambria Math" w:hAnsi="Cambria Math" w:cstheme="majorBidi"/>
                      <w:i/>
                    </w:rPr>
                  </m:ctrlPr>
                </m:sSubSupPr>
                <m:e>
                  <m:r>
                    <w:rPr>
                      <w:rFonts w:ascii="Cambria Math" w:hAnsi="Cambria Math" w:cstheme="majorBidi"/>
                    </w:rPr>
                    <m:t>R</m:t>
                  </m:r>
                </m:e>
                <m:sub>
                  <m:r>
                    <w:rPr>
                      <w:rFonts w:ascii="Cambria Math" w:hAnsi="Cambria Math" w:cstheme="majorBidi"/>
                    </w:rPr>
                    <m:t>j</m:t>
                  </m:r>
                </m:sub>
                <m:sup>
                  <m:r>
                    <w:rPr>
                      <w:rFonts w:ascii="Cambria Math" w:hAnsi="Cambria Math" w:cstheme="majorBidi"/>
                    </w:rPr>
                    <m:t>2</m:t>
                  </m:r>
                </m:sup>
              </m:sSubSup>
              <m:ctrlPr>
                <w:rPr>
                  <w:rFonts w:ascii="Cambria Math" w:hAnsi="Cambria Math" w:cstheme="majorBidi"/>
                  <w:i/>
                </w:rPr>
              </m:ctrlPr>
            </m:den>
          </m:f>
        </m:oMath>
      </m:oMathPara>
    </w:p>
    <w:p w14:paraId="6C58DA79" w14:textId="77777777" w:rsidR="007E79C3" w:rsidRPr="007E07A6" w:rsidRDefault="00000000" w:rsidP="00C53C7E">
      <w:pPr>
        <w:spacing w:after="200"/>
        <w:ind w:left="2160"/>
        <w:rPr>
          <w:rFonts w:asciiTheme="majorBidi" w:hAnsiTheme="majorBidi" w:cstheme="majorBidi"/>
        </w:rPr>
      </w:pPr>
      <w:r w:rsidRPr="007E07A6">
        <w:rPr>
          <w:rFonts w:asciiTheme="majorBidi" w:hAnsiTheme="majorBidi" w:cstheme="majorBidi"/>
        </w:rPr>
        <w:t>where Rⱼ² is the coefficient of determination when regressing feature j on all other features.</w:t>
      </w:r>
    </w:p>
    <w:p w14:paraId="27C24D45"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641B068A"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2. Multicollinearity Analysis</w:t>
      </w:r>
    </w:p>
    <w:p w14:paraId="7BD6B7FE" w14:textId="77777777" w:rsidR="007E79C3" w:rsidRPr="007E07A6" w:rsidRDefault="00000000" w:rsidP="0090649F">
      <w:pPr>
        <w:pStyle w:val="Heading2"/>
        <w:ind w:firstLine="720"/>
        <w:rPr>
          <w:rFonts w:asciiTheme="majorBidi" w:hAnsiTheme="majorBidi" w:cstheme="majorBidi"/>
          <w:color w:val="auto"/>
        </w:rPr>
      </w:pPr>
      <w:r w:rsidRPr="007E07A6">
        <w:rPr>
          <w:rFonts w:asciiTheme="majorBidi" w:hAnsiTheme="majorBidi" w:cstheme="majorBidi"/>
          <w:color w:val="auto"/>
        </w:rPr>
        <w:t>2.1 Correlation Matrix Analysis</w:t>
      </w:r>
    </w:p>
    <w:p w14:paraId="775D7FA2" w14:textId="77777777" w:rsidR="007E79C3" w:rsidRPr="007E07A6" w:rsidRDefault="00000000" w:rsidP="0090649F">
      <w:pPr>
        <w:spacing w:after="200"/>
        <w:ind w:left="1440"/>
        <w:rPr>
          <w:rFonts w:asciiTheme="majorBidi" w:hAnsiTheme="majorBidi" w:cstheme="majorBidi"/>
        </w:rPr>
      </w:pPr>
      <w:r w:rsidRPr="007E07A6">
        <w:rPr>
          <w:rFonts w:asciiTheme="majorBidi" w:hAnsiTheme="majorBidi" w:cstheme="majorBidi"/>
        </w:rPr>
        <w:t>The correlation matrix reveals the pairwise linear relationships between all input features. High correlation values (|r| &gt; 0.7) indicate potential multicollinearity issues.</w:t>
      </w:r>
    </w:p>
    <w:tbl>
      <w:tblPr>
        <w:tblStyle w:val="GridTable4"/>
        <w:tblW w:w="5000" w:type="pct"/>
        <w:tblLook w:val="04A0" w:firstRow="1" w:lastRow="0" w:firstColumn="1" w:lastColumn="0" w:noHBand="0" w:noVBand="1"/>
      </w:tblPr>
      <w:tblGrid>
        <w:gridCol w:w="3496"/>
        <w:gridCol w:w="2498"/>
        <w:gridCol w:w="3356"/>
      </w:tblGrid>
      <w:tr w:rsidR="007E07A6" w:rsidRPr="007E07A6" w14:paraId="2D5F1118" w14:textId="77777777" w:rsidTr="009A1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tcPr>
          <w:p w14:paraId="58F66D80"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Feature Pair</w:t>
            </w:r>
          </w:p>
        </w:tc>
        <w:tc>
          <w:tcPr>
            <w:tcW w:w="2500" w:type="dxa"/>
          </w:tcPr>
          <w:p w14:paraId="00D3A6E3"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Correlation (r)</w:t>
            </w:r>
          </w:p>
        </w:tc>
        <w:tc>
          <w:tcPr>
            <w:tcW w:w="3359" w:type="dxa"/>
          </w:tcPr>
          <w:p w14:paraId="52B60EB5"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Interpretation</w:t>
            </w:r>
          </w:p>
        </w:tc>
      </w:tr>
      <w:tr w:rsidR="007E07A6" w:rsidRPr="007E07A6" w14:paraId="6662F431" w14:textId="77777777" w:rsidTr="009A1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tcPr>
          <w:p w14:paraId="331F94C5"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weight ↔ horsepower</w:t>
            </w:r>
          </w:p>
        </w:tc>
        <w:tc>
          <w:tcPr>
            <w:tcW w:w="2500" w:type="dxa"/>
          </w:tcPr>
          <w:p w14:paraId="5D9B153E"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0.8559</w:t>
            </w:r>
          </w:p>
        </w:tc>
        <w:tc>
          <w:tcPr>
            <w:tcW w:w="3359" w:type="dxa"/>
          </w:tcPr>
          <w:p w14:paraId="218AD6E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Strong positive correlation</w:t>
            </w:r>
          </w:p>
        </w:tc>
      </w:tr>
      <w:tr w:rsidR="007E07A6" w:rsidRPr="007E07A6" w14:paraId="4379E007" w14:textId="77777777" w:rsidTr="009A1A83">
        <w:tc>
          <w:tcPr>
            <w:cnfStyle w:val="001000000000" w:firstRow="0" w:lastRow="0" w:firstColumn="1" w:lastColumn="0" w:oddVBand="0" w:evenVBand="0" w:oddHBand="0" w:evenHBand="0" w:firstRowFirstColumn="0" w:firstRowLastColumn="0" w:lastRowFirstColumn="0" w:lastRowLastColumn="0"/>
            <w:tcW w:w="3499" w:type="dxa"/>
          </w:tcPr>
          <w:p w14:paraId="7D3EF64E"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weight ↔ displacement</w:t>
            </w:r>
          </w:p>
        </w:tc>
        <w:tc>
          <w:tcPr>
            <w:tcW w:w="2500" w:type="dxa"/>
          </w:tcPr>
          <w:p w14:paraId="737C0DDC"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0.9276</w:t>
            </w:r>
          </w:p>
        </w:tc>
        <w:tc>
          <w:tcPr>
            <w:tcW w:w="3359" w:type="dxa"/>
          </w:tcPr>
          <w:p w14:paraId="792CB71E"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Very strong positive correlation</w:t>
            </w:r>
          </w:p>
        </w:tc>
      </w:tr>
      <w:tr w:rsidR="007E07A6" w:rsidRPr="007E07A6" w14:paraId="0B717FB8" w14:textId="77777777" w:rsidTr="009A1A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99" w:type="dxa"/>
          </w:tcPr>
          <w:p w14:paraId="35943633"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horsepower ↔ displacement</w:t>
            </w:r>
          </w:p>
        </w:tc>
        <w:tc>
          <w:tcPr>
            <w:tcW w:w="2500" w:type="dxa"/>
          </w:tcPr>
          <w:p w14:paraId="11F00B3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0.8928</w:t>
            </w:r>
          </w:p>
        </w:tc>
        <w:tc>
          <w:tcPr>
            <w:tcW w:w="3359" w:type="dxa"/>
          </w:tcPr>
          <w:p w14:paraId="40EAD170"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Strong positive correlation</w:t>
            </w:r>
          </w:p>
        </w:tc>
      </w:tr>
    </w:tbl>
    <w:p w14:paraId="1C3D7B01" w14:textId="77777777" w:rsidR="007E79C3" w:rsidRPr="007E07A6" w:rsidRDefault="00000000" w:rsidP="0090649F">
      <w:pPr>
        <w:spacing w:before="200" w:after="200"/>
        <w:ind w:left="1440"/>
        <w:rPr>
          <w:rFonts w:asciiTheme="majorBidi" w:hAnsiTheme="majorBidi" w:cstheme="majorBidi"/>
        </w:rPr>
      </w:pPr>
      <w:r w:rsidRPr="007E07A6">
        <w:rPr>
          <w:rFonts w:asciiTheme="majorBidi" w:hAnsiTheme="majorBidi" w:cstheme="majorBidi"/>
        </w:rPr>
        <w:t>Key Finding: All three feature pairs exhibit correlation coefficients above 0.7, indicating significant multicollinearity in the dataset. The strongest correlation (r = 0.9276) exists between weight and displacement.</w:t>
      </w:r>
    </w:p>
    <w:p w14:paraId="7DA4A1F0"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drawing>
          <wp:inline distT="0" distB="0" distL="0" distR="0" wp14:anchorId="5B8776C7" wp14:editId="76E49B96">
            <wp:extent cx="4286250" cy="3429000"/>
            <wp:effectExtent l="0" t="0" r="0" b="0"/>
            <wp:docPr id="1" name="correlation_matrix" descr="Heatmap of feature correlations" title="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3429000"/>
                    </a:xfrm>
                    <a:prstGeom prst="rect">
                      <a:avLst/>
                    </a:prstGeom>
                  </pic:spPr>
                </pic:pic>
              </a:graphicData>
            </a:graphic>
          </wp:inline>
        </w:drawing>
      </w:r>
    </w:p>
    <w:p w14:paraId="2FE56674"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1: Feature Correlation Matrix Heatmap</w:t>
      </w:r>
    </w:p>
    <w:p w14:paraId="0E984A22" w14:textId="77777777" w:rsidR="007E79C3" w:rsidRPr="007E07A6" w:rsidRDefault="00000000" w:rsidP="00BA723E">
      <w:pPr>
        <w:pStyle w:val="Heading2"/>
        <w:ind w:firstLine="720"/>
        <w:rPr>
          <w:rFonts w:asciiTheme="majorBidi" w:hAnsiTheme="majorBidi" w:cstheme="majorBidi"/>
          <w:color w:val="auto"/>
        </w:rPr>
      </w:pPr>
      <w:r w:rsidRPr="007E07A6">
        <w:rPr>
          <w:rFonts w:asciiTheme="majorBidi" w:hAnsiTheme="majorBidi" w:cstheme="majorBidi"/>
          <w:color w:val="auto"/>
        </w:rPr>
        <w:t>2.2 Variance Inflation Factor (VIF) Analysis</w:t>
      </w:r>
    </w:p>
    <w:p w14:paraId="0360B39A" w14:textId="77777777" w:rsidR="007E79C3" w:rsidRDefault="00000000" w:rsidP="00BA723E">
      <w:pPr>
        <w:spacing w:after="200"/>
        <w:ind w:left="1440"/>
        <w:rPr>
          <w:rFonts w:asciiTheme="majorBidi" w:hAnsiTheme="majorBidi" w:cstheme="majorBidi"/>
        </w:rPr>
      </w:pPr>
      <w:r w:rsidRPr="007E07A6">
        <w:rPr>
          <w:rFonts w:asciiTheme="majorBidi" w:hAnsiTheme="majorBidi" w:cstheme="majorBidi"/>
        </w:rPr>
        <w:t>VIF values quantify the severity of multicollinearity for each feature. Values above 5 indicate concerning levels, while values above 10 suggest severe multicollinearity.</w:t>
      </w:r>
    </w:p>
    <w:p w14:paraId="1D7D46BB" w14:textId="77777777" w:rsidR="00E33BA9" w:rsidRDefault="00E33BA9" w:rsidP="00BA723E">
      <w:pPr>
        <w:spacing w:after="200"/>
        <w:ind w:left="1440"/>
        <w:rPr>
          <w:rFonts w:asciiTheme="majorBidi" w:hAnsiTheme="majorBidi" w:cstheme="majorBidi"/>
        </w:rPr>
      </w:pPr>
    </w:p>
    <w:p w14:paraId="62D7D3C5" w14:textId="77777777" w:rsidR="00E33BA9" w:rsidRPr="007E07A6" w:rsidRDefault="00E33BA9" w:rsidP="00BA723E">
      <w:pPr>
        <w:spacing w:after="200"/>
        <w:ind w:left="1440"/>
        <w:rPr>
          <w:rFonts w:asciiTheme="majorBidi" w:hAnsiTheme="majorBidi" w:cstheme="majorBidi"/>
        </w:rPr>
      </w:pPr>
    </w:p>
    <w:tbl>
      <w:tblPr>
        <w:tblStyle w:val="GridTable4"/>
        <w:tblW w:w="5000" w:type="pct"/>
        <w:tblLook w:val="04A0" w:firstRow="1" w:lastRow="0" w:firstColumn="1" w:lastColumn="0" w:noHBand="0" w:noVBand="1"/>
      </w:tblPr>
      <w:tblGrid>
        <w:gridCol w:w="1999"/>
        <w:gridCol w:w="1997"/>
        <w:gridCol w:w="2697"/>
        <w:gridCol w:w="2657"/>
      </w:tblGrid>
      <w:tr w:rsidR="007E07A6" w:rsidRPr="007E07A6" w14:paraId="3E5EB211" w14:textId="77777777" w:rsidTr="00575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FD6C5BB"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lastRenderedPageBreak/>
              <w:t>Feature</w:t>
            </w:r>
          </w:p>
        </w:tc>
        <w:tc>
          <w:tcPr>
            <w:tcW w:w="2000" w:type="dxa"/>
          </w:tcPr>
          <w:p w14:paraId="5D6C65E8"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VIF Value</w:t>
            </w:r>
          </w:p>
        </w:tc>
        <w:tc>
          <w:tcPr>
            <w:tcW w:w="2700" w:type="dxa"/>
          </w:tcPr>
          <w:p w14:paraId="228E605B"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Interpretation</w:t>
            </w:r>
          </w:p>
        </w:tc>
        <w:tc>
          <w:tcPr>
            <w:tcW w:w="2660" w:type="dxa"/>
          </w:tcPr>
          <w:p w14:paraId="4B134C30"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Assessment</w:t>
            </w:r>
          </w:p>
        </w:tc>
      </w:tr>
      <w:tr w:rsidR="007E07A6" w:rsidRPr="007E07A6" w14:paraId="109C9844" w14:textId="77777777" w:rsidTr="00575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1E20DD7"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weight</w:t>
            </w:r>
          </w:p>
        </w:tc>
        <w:tc>
          <w:tcPr>
            <w:tcW w:w="2000" w:type="dxa"/>
          </w:tcPr>
          <w:p w14:paraId="6839DEE0"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7.36</w:t>
            </w:r>
          </w:p>
        </w:tc>
        <w:tc>
          <w:tcPr>
            <w:tcW w:w="2700" w:type="dxa"/>
          </w:tcPr>
          <w:p w14:paraId="0F281530"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High (5 &lt; VIF &lt; 10)</w:t>
            </w:r>
          </w:p>
        </w:tc>
        <w:tc>
          <w:tcPr>
            <w:tcW w:w="2660" w:type="dxa"/>
          </w:tcPr>
          <w:p w14:paraId="0FC195CD"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Concerning</w:t>
            </w:r>
          </w:p>
        </w:tc>
      </w:tr>
      <w:tr w:rsidR="007E07A6" w:rsidRPr="007E07A6" w14:paraId="6A485CFD" w14:textId="77777777" w:rsidTr="00575B44">
        <w:tc>
          <w:tcPr>
            <w:cnfStyle w:val="001000000000" w:firstRow="0" w:lastRow="0" w:firstColumn="1" w:lastColumn="0" w:oddVBand="0" w:evenVBand="0" w:oddHBand="0" w:evenHBand="0" w:firstRowFirstColumn="0" w:firstRowLastColumn="0" w:lastRowFirstColumn="0" w:lastRowLastColumn="0"/>
            <w:tcW w:w="2000" w:type="dxa"/>
          </w:tcPr>
          <w:p w14:paraId="628A246B"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horsepower</w:t>
            </w:r>
          </w:p>
        </w:tc>
        <w:tc>
          <w:tcPr>
            <w:tcW w:w="2000" w:type="dxa"/>
          </w:tcPr>
          <w:p w14:paraId="68A41428"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5.07</w:t>
            </w:r>
          </w:p>
        </w:tc>
        <w:tc>
          <w:tcPr>
            <w:tcW w:w="2700" w:type="dxa"/>
          </w:tcPr>
          <w:p w14:paraId="79A622F6"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High (5 &lt; VIF &lt; 10)</w:t>
            </w:r>
          </w:p>
        </w:tc>
        <w:tc>
          <w:tcPr>
            <w:tcW w:w="2660" w:type="dxa"/>
          </w:tcPr>
          <w:p w14:paraId="75982ECD"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Concerning</w:t>
            </w:r>
          </w:p>
        </w:tc>
      </w:tr>
      <w:tr w:rsidR="007E07A6" w:rsidRPr="007E07A6" w14:paraId="3F2F7465" w14:textId="77777777" w:rsidTr="00575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524531D"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displacement</w:t>
            </w:r>
          </w:p>
        </w:tc>
        <w:tc>
          <w:tcPr>
            <w:tcW w:w="2000" w:type="dxa"/>
          </w:tcPr>
          <w:p w14:paraId="0D956D62"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9.70</w:t>
            </w:r>
          </w:p>
        </w:tc>
        <w:tc>
          <w:tcPr>
            <w:tcW w:w="2700" w:type="dxa"/>
          </w:tcPr>
          <w:p w14:paraId="3892072B"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High (5 &lt; VIF &lt; 10)</w:t>
            </w:r>
          </w:p>
        </w:tc>
        <w:tc>
          <w:tcPr>
            <w:tcW w:w="2660" w:type="dxa"/>
          </w:tcPr>
          <w:p w14:paraId="5529C9CC"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Concerning</w:t>
            </w:r>
          </w:p>
        </w:tc>
      </w:tr>
    </w:tbl>
    <w:p w14:paraId="1A912601" w14:textId="77777777" w:rsidR="007E79C3" w:rsidRPr="007E07A6" w:rsidRDefault="00000000" w:rsidP="00C53C95">
      <w:pPr>
        <w:spacing w:before="200" w:after="200"/>
        <w:ind w:left="1440"/>
        <w:rPr>
          <w:rFonts w:asciiTheme="majorBidi" w:hAnsiTheme="majorBidi" w:cstheme="majorBidi"/>
        </w:rPr>
      </w:pPr>
      <w:r w:rsidRPr="007E07A6">
        <w:rPr>
          <w:rFonts w:asciiTheme="majorBidi" w:hAnsiTheme="majorBidi" w:cstheme="majorBidi"/>
        </w:rPr>
        <w:t>Key Finding: All features exhibit VIF values above 5, confirming significant multicollinearity. Displacement has the highest VIF (9.70), indicating it shares substantial variance with other predictors. This justifies the application of Ridge Regression to stabilize coefficient estimates.</w:t>
      </w:r>
    </w:p>
    <w:p w14:paraId="4D6BA9A3"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drawing>
          <wp:inline distT="0" distB="0" distL="0" distR="0" wp14:anchorId="3B31CDE4" wp14:editId="00B47C2C">
            <wp:extent cx="4762500" cy="2857500"/>
            <wp:effectExtent l="0" t="0" r="0" b="0"/>
            <wp:docPr id="612507550" name="vif_analysis" descr="Bar chart of VIF values" title="VIF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857500"/>
                    </a:xfrm>
                    <a:prstGeom prst="rect">
                      <a:avLst/>
                    </a:prstGeom>
                  </pic:spPr>
                </pic:pic>
              </a:graphicData>
            </a:graphic>
          </wp:inline>
        </w:drawing>
      </w:r>
    </w:p>
    <w:p w14:paraId="3657B1AD"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2: Variance Inflation Factor (VIF) Analysis</w:t>
      </w:r>
    </w:p>
    <w:p w14:paraId="5D47FD0F"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2DC3FFAB"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3. Ridge Regression with SGD Results</w:t>
      </w:r>
    </w:p>
    <w:p w14:paraId="53340715" w14:textId="77777777" w:rsidR="007E79C3" w:rsidRPr="007E07A6" w:rsidRDefault="00000000" w:rsidP="006468D6">
      <w:pPr>
        <w:pStyle w:val="Heading2"/>
        <w:ind w:firstLine="720"/>
        <w:rPr>
          <w:rFonts w:asciiTheme="majorBidi" w:hAnsiTheme="majorBidi" w:cstheme="majorBidi"/>
          <w:color w:val="auto"/>
        </w:rPr>
      </w:pPr>
      <w:r w:rsidRPr="007E07A6">
        <w:rPr>
          <w:rFonts w:asciiTheme="majorBidi" w:hAnsiTheme="majorBidi" w:cstheme="majorBidi"/>
          <w:color w:val="auto"/>
        </w:rPr>
        <w:t>3.1 Hyperparameters</w:t>
      </w:r>
    </w:p>
    <w:p w14:paraId="0E0080CE" w14:textId="77777777" w:rsidR="007E79C3" w:rsidRPr="007E07A6" w:rsidRDefault="00000000" w:rsidP="006468D6">
      <w:pPr>
        <w:spacing w:after="200"/>
        <w:ind w:left="720" w:firstLine="720"/>
        <w:rPr>
          <w:rFonts w:asciiTheme="majorBidi" w:hAnsiTheme="majorBidi" w:cstheme="majorBidi"/>
        </w:rPr>
      </w:pPr>
      <w:r w:rsidRPr="007E07A6">
        <w:rPr>
          <w:rFonts w:asciiTheme="majorBidi" w:hAnsiTheme="majorBidi" w:cstheme="majorBidi"/>
        </w:rPr>
        <w:t>The following hyperparameters were used for all Ridge Regression experiments:</w:t>
      </w:r>
    </w:p>
    <w:tbl>
      <w:tblPr>
        <w:tblStyle w:val="GridTable4"/>
        <w:tblW w:w="5000" w:type="pct"/>
        <w:tblLook w:val="04A0" w:firstRow="1" w:lastRow="0" w:firstColumn="1" w:lastColumn="0" w:noHBand="0" w:noVBand="1"/>
      </w:tblPr>
      <w:tblGrid>
        <w:gridCol w:w="2997"/>
        <w:gridCol w:w="2497"/>
        <w:gridCol w:w="3856"/>
      </w:tblGrid>
      <w:tr w:rsidR="007E07A6" w:rsidRPr="007E07A6" w14:paraId="3A6F1C11" w14:textId="77777777" w:rsidTr="005A0F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445A1FF3"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Hyperparameter</w:t>
            </w:r>
          </w:p>
        </w:tc>
        <w:tc>
          <w:tcPr>
            <w:tcW w:w="2500" w:type="dxa"/>
          </w:tcPr>
          <w:p w14:paraId="50888132"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Value</w:t>
            </w:r>
          </w:p>
        </w:tc>
        <w:tc>
          <w:tcPr>
            <w:tcW w:w="3860" w:type="dxa"/>
          </w:tcPr>
          <w:p w14:paraId="1FD145CA"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Description</w:t>
            </w:r>
          </w:p>
        </w:tc>
      </w:tr>
      <w:tr w:rsidR="007E07A6" w:rsidRPr="007E07A6" w14:paraId="161F4DFA" w14:textId="77777777" w:rsidTr="005A0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53948F2B"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Learning Rate (α)</w:t>
            </w:r>
          </w:p>
        </w:tc>
        <w:tc>
          <w:tcPr>
            <w:tcW w:w="2500" w:type="dxa"/>
          </w:tcPr>
          <w:p w14:paraId="05453A0B"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0.01</w:t>
            </w:r>
          </w:p>
        </w:tc>
        <w:tc>
          <w:tcPr>
            <w:tcW w:w="3860" w:type="dxa"/>
          </w:tcPr>
          <w:p w14:paraId="4BD06E2B"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Step size for gradient updates</w:t>
            </w:r>
          </w:p>
        </w:tc>
      </w:tr>
      <w:tr w:rsidR="007E07A6" w:rsidRPr="007E07A6" w14:paraId="0FDBB8A9" w14:textId="77777777" w:rsidTr="005A0F02">
        <w:tc>
          <w:tcPr>
            <w:cnfStyle w:val="001000000000" w:firstRow="0" w:lastRow="0" w:firstColumn="1" w:lastColumn="0" w:oddVBand="0" w:evenVBand="0" w:oddHBand="0" w:evenHBand="0" w:firstRowFirstColumn="0" w:firstRowLastColumn="0" w:lastRowFirstColumn="0" w:lastRowLastColumn="0"/>
            <w:tcW w:w="3000" w:type="dxa"/>
          </w:tcPr>
          <w:p w14:paraId="49FF27F1"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Number of Epochs</w:t>
            </w:r>
          </w:p>
        </w:tc>
        <w:tc>
          <w:tcPr>
            <w:tcW w:w="2500" w:type="dxa"/>
          </w:tcPr>
          <w:p w14:paraId="5CAC2443"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200</w:t>
            </w:r>
          </w:p>
        </w:tc>
        <w:tc>
          <w:tcPr>
            <w:tcW w:w="3860" w:type="dxa"/>
          </w:tcPr>
          <w:p w14:paraId="52F804C4"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Complete passes through training data</w:t>
            </w:r>
          </w:p>
        </w:tc>
      </w:tr>
      <w:tr w:rsidR="007E07A6" w:rsidRPr="007E07A6" w14:paraId="278E67E0" w14:textId="77777777" w:rsidTr="005A0F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B47DC9E"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Regularization (λ)</w:t>
            </w:r>
          </w:p>
        </w:tc>
        <w:tc>
          <w:tcPr>
            <w:tcW w:w="2500" w:type="dxa"/>
          </w:tcPr>
          <w:p w14:paraId="0EE7A691"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0, 0.01, 0.1, 1</w:t>
            </w:r>
          </w:p>
        </w:tc>
        <w:tc>
          <w:tcPr>
            <w:tcW w:w="3860" w:type="dxa"/>
          </w:tcPr>
          <w:p w14:paraId="67EDC43E"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L2 penalty strength values tested</w:t>
            </w:r>
          </w:p>
        </w:tc>
      </w:tr>
      <w:tr w:rsidR="007E07A6" w:rsidRPr="007E07A6" w14:paraId="7F460301" w14:textId="77777777" w:rsidTr="005A0F02">
        <w:tc>
          <w:tcPr>
            <w:cnfStyle w:val="001000000000" w:firstRow="0" w:lastRow="0" w:firstColumn="1" w:lastColumn="0" w:oddVBand="0" w:evenVBand="0" w:oddHBand="0" w:evenHBand="0" w:firstRowFirstColumn="0" w:firstRowLastColumn="0" w:lastRowFirstColumn="0" w:lastRowLastColumn="0"/>
            <w:tcW w:w="3000" w:type="dxa"/>
          </w:tcPr>
          <w:p w14:paraId="1D33BEB0"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Random State</w:t>
            </w:r>
          </w:p>
        </w:tc>
        <w:tc>
          <w:tcPr>
            <w:tcW w:w="2500" w:type="dxa"/>
          </w:tcPr>
          <w:p w14:paraId="6527364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42</w:t>
            </w:r>
          </w:p>
        </w:tc>
        <w:tc>
          <w:tcPr>
            <w:tcW w:w="3860" w:type="dxa"/>
          </w:tcPr>
          <w:p w14:paraId="2C597764"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For reproducibility</w:t>
            </w:r>
          </w:p>
        </w:tc>
      </w:tr>
    </w:tbl>
    <w:p w14:paraId="3BEE28BC" w14:textId="77777777" w:rsidR="007E79C3" w:rsidRPr="007E07A6" w:rsidRDefault="00000000" w:rsidP="00306148">
      <w:pPr>
        <w:pStyle w:val="Heading2"/>
        <w:spacing w:before="400"/>
        <w:ind w:firstLine="720"/>
        <w:rPr>
          <w:rFonts w:asciiTheme="majorBidi" w:hAnsiTheme="majorBidi" w:cstheme="majorBidi"/>
          <w:color w:val="auto"/>
        </w:rPr>
      </w:pPr>
      <w:r w:rsidRPr="007E07A6">
        <w:rPr>
          <w:rFonts w:asciiTheme="majorBidi" w:hAnsiTheme="majorBidi" w:cstheme="majorBidi"/>
          <w:color w:val="auto"/>
        </w:rPr>
        <w:t>3.2 Learned Coefficients</w:t>
      </w:r>
    </w:p>
    <w:p w14:paraId="3A9D9960" w14:textId="77777777" w:rsidR="007E79C3" w:rsidRPr="007E07A6" w:rsidRDefault="00000000" w:rsidP="00306148">
      <w:pPr>
        <w:spacing w:after="200"/>
        <w:ind w:left="720" w:firstLine="720"/>
        <w:rPr>
          <w:rFonts w:asciiTheme="majorBidi" w:hAnsiTheme="majorBidi" w:cstheme="majorBidi"/>
        </w:rPr>
      </w:pPr>
      <w:r w:rsidRPr="007E07A6">
        <w:rPr>
          <w:rFonts w:asciiTheme="majorBidi" w:hAnsiTheme="majorBidi" w:cstheme="majorBidi"/>
        </w:rPr>
        <w:t>The table below shows the learned model parameters for each regularization strength:</w:t>
      </w:r>
    </w:p>
    <w:tbl>
      <w:tblPr>
        <w:tblStyle w:val="GridTable4"/>
        <w:tblW w:w="5000" w:type="pct"/>
        <w:tblLook w:val="04A0" w:firstRow="1" w:lastRow="0" w:firstColumn="1" w:lastColumn="0" w:noHBand="0" w:noVBand="1"/>
      </w:tblPr>
      <w:tblGrid>
        <w:gridCol w:w="1192"/>
        <w:gridCol w:w="1985"/>
        <w:gridCol w:w="1987"/>
        <w:gridCol w:w="2191"/>
        <w:gridCol w:w="1995"/>
      </w:tblGrid>
      <w:tr w:rsidR="007E07A6" w:rsidRPr="007E07A6" w14:paraId="4309F0D5" w14:textId="77777777" w:rsidTr="00260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4B11D2FD"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λ</w:t>
            </w:r>
          </w:p>
        </w:tc>
        <w:tc>
          <w:tcPr>
            <w:tcW w:w="2000" w:type="dxa"/>
          </w:tcPr>
          <w:p w14:paraId="05D808F5"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θ₀ (bias)</w:t>
            </w:r>
          </w:p>
        </w:tc>
        <w:tc>
          <w:tcPr>
            <w:tcW w:w="2000" w:type="dxa"/>
          </w:tcPr>
          <w:p w14:paraId="4BDC58B3"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proofErr w:type="spellStart"/>
            <w:r w:rsidRPr="007E07A6">
              <w:rPr>
                <w:rFonts w:asciiTheme="majorBidi" w:hAnsiTheme="majorBidi" w:cstheme="majorBidi"/>
                <w:color w:val="auto"/>
                <w:sz w:val="22"/>
                <w:szCs w:val="22"/>
              </w:rPr>
              <w:t>θ_weight</w:t>
            </w:r>
            <w:proofErr w:type="spellEnd"/>
          </w:p>
        </w:tc>
        <w:tc>
          <w:tcPr>
            <w:tcW w:w="2200" w:type="dxa"/>
          </w:tcPr>
          <w:p w14:paraId="5F439F9F"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proofErr w:type="spellStart"/>
            <w:r w:rsidRPr="007E07A6">
              <w:rPr>
                <w:rFonts w:asciiTheme="majorBidi" w:hAnsiTheme="majorBidi" w:cstheme="majorBidi"/>
                <w:color w:val="auto"/>
                <w:sz w:val="22"/>
                <w:szCs w:val="22"/>
              </w:rPr>
              <w:t>θ_horsepower</w:t>
            </w:r>
            <w:proofErr w:type="spellEnd"/>
          </w:p>
        </w:tc>
        <w:tc>
          <w:tcPr>
            <w:tcW w:w="2000" w:type="dxa"/>
          </w:tcPr>
          <w:p w14:paraId="404F7360"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proofErr w:type="spellStart"/>
            <w:r w:rsidRPr="007E07A6">
              <w:rPr>
                <w:rFonts w:asciiTheme="majorBidi" w:hAnsiTheme="majorBidi" w:cstheme="majorBidi"/>
                <w:color w:val="auto"/>
                <w:sz w:val="22"/>
                <w:szCs w:val="22"/>
              </w:rPr>
              <w:t>θ_displacement</w:t>
            </w:r>
            <w:proofErr w:type="spellEnd"/>
          </w:p>
        </w:tc>
      </w:tr>
      <w:tr w:rsidR="007E07A6" w:rsidRPr="007E07A6" w14:paraId="77C43E65" w14:textId="77777777" w:rsidTr="00260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F68F5BD"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0.00</w:t>
            </w:r>
          </w:p>
        </w:tc>
        <w:tc>
          <w:tcPr>
            <w:tcW w:w="2000" w:type="dxa"/>
          </w:tcPr>
          <w:p w14:paraId="28A8561D"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23.5569</w:t>
            </w:r>
          </w:p>
        </w:tc>
        <w:tc>
          <w:tcPr>
            <w:tcW w:w="2000" w:type="dxa"/>
          </w:tcPr>
          <w:p w14:paraId="5CFC5327"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-4.2992</w:t>
            </w:r>
          </w:p>
        </w:tc>
        <w:tc>
          <w:tcPr>
            <w:tcW w:w="2200" w:type="dxa"/>
          </w:tcPr>
          <w:p w14:paraId="570ED6FC"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-1.4767</w:t>
            </w:r>
          </w:p>
        </w:tc>
        <w:tc>
          <w:tcPr>
            <w:tcW w:w="2000" w:type="dxa"/>
          </w:tcPr>
          <w:p w14:paraId="6F5A56E3"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-0.8004</w:t>
            </w:r>
          </w:p>
        </w:tc>
      </w:tr>
      <w:tr w:rsidR="007E07A6" w:rsidRPr="007E07A6" w14:paraId="6ACE0F52" w14:textId="77777777" w:rsidTr="0026072F">
        <w:tc>
          <w:tcPr>
            <w:cnfStyle w:val="001000000000" w:firstRow="0" w:lastRow="0" w:firstColumn="1" w:lastColumn="0" w:oddVBand="0" w:evenVBand="0" w:oddHBand="0" w:evenHBand="0" w:firstRowFirstColumn="0" w:firstRowLastColumn="0" w:lastRowFirstColumn="0" w:lastRowLastColumn="0"/>
            <w:tcW w:w="1200" w:type="dxa"/>
          </w:tcPr>
          <w:p w14:paraId="3E9A9351"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0.01</w:t>
            </w:r>
          </w:p>
        </w:tc>
        <w:tc>
          <w:tcPr>
            <w:tcW w:w="2000" w:type="dxa"/>
          </w:tcPr>
          <w:p w14:paraId="4B12502F"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23.5519</w:t>
            </w:r>
          </w:p>
        </w:tc>
        <w:tc>
          <w:tcPr>
            <w:tcW w:w="2000" w:type="dxa"/>
          </w:tcPr>
          <w:p w14:paraId="189AF909"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-4.0760</w:t>
            </w:r>
          </w:p>
        </w:tc>
        <w:tc>
          <w:tcPr>
            <w:tcW w:w="2200" w:type="dxa"/>
          </w:tcPr>
          <w:p w14:paraId="0C509F9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-1.4702</w:t>
            </w:r>
          </w:p>
        </w:tc>
        <w:tc>
          <w:tcPr>
            <w:tcW w:w="2000" w:type="dxa"/>
          </w:tcPr>
          <w:p w14:paraId="0C065A97"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-1.0018</w:t>
            </w:r>
          </w:p>
        </w:tc>
      </w:tr>
      <w:tr w:rsidR="007E07A6" w:rsidRPr="007E07A6" w14:paraId="4787C806" w14:textId="77777777" w:rsidTr="00260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E2EAD07"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0.10</w:t>
            </w:r>
          </w:p>
        </w:tc>
        <w:tc>
          <w:tcPr>
            <w:tcW w:w="2000" w:type="dxa"/>
          </w:tcPr>
          <w:p w14:paraId="5FB0E9A4"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23.5317</w:t>
            </w:r>
          </w:p>
        </w:tc>
        <w:tc>
          <w:tcPr>
            <w:tcW w:w="2000" w:type="dxa"/>
          </w:tcPr>
          <w:p w14:paraId="21001B69"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-3.1424</w:t>
            </w:r>
          </w:p>
        </w:tc>
        <w:tc>
          <w:tcPr>
            <w:tcW w:w="2200" w:type="dxa"/>
          </w:tcPr>
          <w:p w14:paraId="1C285507"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-1.5166</w:t>
            </w:r>
          </w:p>
        </w:tc>
        <w:tc>
          <w:tcPr>
            <w:tcW w:w="2000" w:type="dxa"/>
          </w:tcPr>
          <w:p w14:paraId="5252A4C4"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-1.6700</w:t>
            </w:r>
          </w:p>
        </w:tc>
      </w:tr>
      <w:tr w:rsidR="007E07A6" w:rsidRPr="007E07A6" w14:paraId="12F7B3F9" w14:textId="77777777" w:rsidTr="0026072F">
        <w:tc>
          <w:tcPr>
            <w:cnfStyle w:val="001000000000" w:firstRow="0" w:lastRow="0" w:firstColumn="1" w:lastColumn="0" w:oddVBand="0" w:evenVBand="0" w:oddHBand="0" w:evenHBand="0" w:firstRowFirstColumn="0" w:firstRowLastColumn="0" w:lastRowFirstColumn="0" w:lastRowLastColumn="0"/>
            <w:tcW w:w="1200" w:type="dxa"/>
          </w:tcPr>
          <w:p w14:paraId="3F115955"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1.00</w:t>
            </w:r>
          </w:p>
        </w:tc>
        <w:tc>
          <w:tcPr>
            <w:tcW w:w="2000" w:type="dxa"/>
          </w:tcPr>
          <w:p w14:paraId="179CF2D7"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23.5098</w:t>
            </w:r>
          </w:p>
        </w:tc>
        <w:tc>
          <w:tcPr>
            <w:tcW w:w="2000" w:type="dxa"/>
          </w:tcPr>
          <w:p w14:paraId="7B1CD73A"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-1.8436</w:t>
            </w:r>
          </w:p>
        </w:tc>
        <w:tc>
          <w:tcPr>
            <w:tcW w:w="2200" w:type="dxa"/>
          </w:tcPr>
          <w:p w14:paraId="1C79C3F5"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-1.3208</w:t>
            </w:r>
          </w:p>
        </w:tc>
        <w:tc>
          <w:tcPr>
            <w:tcW w:w="2000" w:type="dxa"/>
          </w:tcPr>
          <w:p w14:paraId="065F5976"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-1.6137</w:t>
            </w:r>
          </w:p>
        </w:tc>
      </w:tr>
    </w:tbl>
    <w:p w14:paraId="43C02276" w14:textId="77777777" w:rsidR="007E79C3" w:rsidRPr="007E07A6" w:rsidRDefault="00000000" w:rsidP="00D30120">
      <w:pPr>
        <w:spacing w:before="200" w:after="200"/>
        <w:ind w:left="1440"/>
        <w:rPr>
          <w:rFonts w:asciiTheme="majorBidi" w:hAnsiTheme="majorBidi" w:cstheme="majorBidi"/>
        </w:rPr>
      </w:pPr>
      <w:r w:rsidRPr="007E07A6">
        <w:rPr>
          <w:rFonts w:asciiTheme="majorBidi" w:hAnsiTheme="majorBidi" w:cstheme="majorBidi"/>
        </w:rPr>
        <w:t>Observations: As λ increases, coefficient magnitudes generally decrease (shrinkage effect). The bias term remains relatively stable across all λ values. The weight coefficient shows the most dramatic shrinkage, from -4.2992 (λ=0) to -1.8436 (λ=1), a reduction of 57%.</w:t>
      </w:r>
    </w:p>
    <w:p w14:paraId="3CF6DBE3"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drawing>
          <wp:inline distT="0" distB="0" distL="0" distR="0" wp14:anchorId="270C5D62" wp14:editId="20673153">
            <wp:extent cx="5238750" cy="2667000"/>
            <wp:effectExtent l="0" t="0" r="0" b="0"/>
            <wp:docPr id="1004899282" name="coeff_comparison" descr="Bar chart comparing coefficients" title="Coefficien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667000"/>
                    </a:xfrm>
                    <a:prstGeom prst="rect">
                      <a:avLst/>
                    </a:prstGeom>
                  </pic:spPr>
                </pic:pic>
              </a:graphicData>
            </a:graphic>
          </wp:inline>
        </w:drawing>
      </w:r>
    </w:p>
    <w:p w14:paraId="655E7731"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3: Ridge Regression Coefficients for Different λ Values</w:t>
      </w:r>
    </w:p>
    <w:p w14:paraId="740F89EF" w14:textId="77777777" w:rsidR="007E79C3" w:rsidRPr="007E07A6" w:rsidRDefault="00000000" w:rsidP="00085F92">
      <w:pPr>
        <w:pStyle w:val="Heading2"/>
        <w:ind w:firstLine="720"/>
        <w:rPr>
          <w:rFonts w:asciiTheme="majorBidi" w:hAnsiTheme="majorBidi" w:cstheme="majorBidi"/>
          <w:color w:val="auto"/>
        </w:rPr>
      </w:pPr>
      <w:r w:rsidRPr="007E07A6">
        <w:rPr>
          <w:rFonts w:asciiTheme="majorBidi" w:hAnsiTheme="majorBidi" w:cstheme="majorBidi"/>
          <w:color w:val="auto"/>
        </w:rPr>
        <w:t>3.3 Training and Testing Performance</w:t>
      </w:r>
    </w:p>
    <w:p w14:paraId="132B8EB0" w14:textId="77777777" w:rsidR="007E79C3" w:rsidRPr="007E07A6" w:rsidRDefault="00000000" w:rsidP="009516E3">
      <w:pPr>
        <w:spacing w:after="200"/>
        <w:ind w:left="720" w:firstLine="720"/>
        <w:rPr>
          <w:rFonts w:asciiTheme="majorBidi" w:hAnsiTheme="majorBidi" w:cstheme="majorBidi"/>
        </w:rPr>
      </w:pPr>
      <w:r w:rsidRPr="007E07A6">
        <w:rPr>
          <w:rFonts w:asciiTheme="majorBidi" w:hAnsiTheme="majorBidi" w:cstheme="majorBidi"/>
        </w:rPr>
        <w:lastRenderedPageBreak/>
        <w:t>The Mean Squared Error (MSE) values for training and testing sets across all λ values:</w:t>
      </w:r>
    </w:p>
    <w:tbl>
      <w:tblPr>
        <w:tblStyle w:val="GridTable4"/>
        <w:tblW w:w="5000" w:type="pct"/>
        <w:tblLook w:val="04A0" w:firstRow="1" w:lastRow="0" w:firstColumn="1" w:lastColumn="0" w:noHBand="0" w:noVBand="1"/>
      </w:tblPr>
      <w:tblGrid>
        <w:gridCol w:w="1499"/>
        <w:gridCol w:w="2497"/>
        <w:gridCol w:w="2497"/>
        <w:gridCol w:w="2857"/>
      </w:tblGrid>
      <w:tr w:rsidR="007E07A6" w:rsidRPr="007E07A6" w14:paraId="2E2317E5" w14:textId="77777777" w:rsidTr="00433B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90DA8F8"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λ</w:t>
            </w:r>
          </w:p>
        </w:tc>
        <w:tc>
          <w:tcPr>
            <w:tcW w:w="2500" w:type="dxa"/>
          </w:tcPr>
          <w:p w14:paraId="6C17D9F4"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Training MSE</w:t>
            </w:r>
          </w:p>
        </w:tc>
        <w:tc>
          <w:tcPr>
            <w:tcW w:w="2500" w:type="dxa"/>
          </w:tcPr>
          <w:p w14:paraId="6A1157C1"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Testing MSE</w:t>
            </w:r>
          </w:p>
        </w:tc>
        <w:tc>
          <w:tcPr>
            <w:tcW w:w="2860" w:type="dxa"/>
          </w:tcPr>
          <w:p w14:paraId="36607988"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Generalization Gap</w:t>
            </w:r>
          </w:p>
        </w:tc>
      </w:tr>
      <w:tr w:rsidR="007E07A6" w:rsidRPr="007E07A6" w14:paraId="4B5CF2BC" w14:textId="77777777" w:rsidTr="0043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3587C98"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0.00</w:t>
            </w:r>
          </w:p>
        </w:tc>
        <w:tc>
          <w:tcPr>
            <w:tcW w:w="2500" w:type="dxa"/>
          </w:tcPr>
          <w:p w14:paraId="44B082E0"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8.992443</w:t>
            </w:r>
          </w:p>
        </w:tc>
        <w:tc>
          <w:tcPr>
            <w:tcW w:w="2500" w:type="dxa"/>
          </w:tcPr>
          <w:p w14:paraId="429992EF"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8.639029</w:t>
            </w:r>
          </w:p>
        </w:tc>
        <w:tc>
          <w:tcPr>
            <w:tcW w:w="2860" w:type="dxa"/>
          </w:tcPr>
          <w:p w14:paraId="18A6A03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-0.353414</w:t>
            </w:r>
          </w:p>
        </w:tc>
      </w:tr>
      <w:tr w:rsidR="007E07A6" w:rsidRPr="007E07A6" w14:paraId="1A15E2AF" w14:textId="77777777" w:rsidTr="00433B7D">
        <w:tc>
          <w:tcPr>
            <w:cnfStyle w:val="001000000000" w:firstRow="0" w:lastRow="0" w:firstColumn="1" w:lastColumn="0" w:oddVBand="0" w:evenVBand="0" w:oddHBand="0" w:evenHBand="0" w:firstRowFirstColumn="0" w:firstRowLastColumn="0" w:lastRowFirstColumn="0" w:lastRowLastColumn="0"/>
            <w:tcW w:w="1500" w:type="dxa"/>
          </w:tcPr>
          <w:p w14:paraId="47D8FC33"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0.01</w:t>
            </w:r>
          </w:p>
        </w:tc>
        <w:tc>
          <w:tcPr>
            <w:tcW w:w="2500" w:type="dxa"/>
          </w:tcPr>
          <w:p w14:paraId="6A500B90"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9.003509</w:t>
            </w:r>
          </w:p>
        </w:tc>
        <w:tc>
          <w:tcPr>
            <w:tcW w:w="2500" w:type="dxa"/>
          </w:tcPr>
          <w:p w14:paraId="1BD887C1"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8.646744</w:t>
            </w:r>
          </w:p>
        </w:tc>
        <w:tc>
          <w:tcPr>
            <w:tcW w:w="2860" w:type="dxa"/>
          </w:tcPr>
          <w:p w14:paraId="5CDCB4ED"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-0.356764</w:t>
            </w:r>
          </w:p>
        </w:tc>
      </w:tr>
      <w:tr w:rsidR="007E07A6" w:rsidRPr="007E07A6" w14:paraId="559D01CF" w14:textId="77777777" w:rsidTr="00433B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4A60D58"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0.10</w:t>
            </w:r>
          </w:p>
        </w:tc>
        <w:tc>
          <w:tcPr>
            <w:tcW w:w="2500" w:type="dxa"/>
          </w:tcPr>
          <w:p w14:paraId="015AC489"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9.170811</w:t>
            </w:r>
          </w:p>
        </w:tc>
        <w:tc>
          <w:tcPr>
            <w:tcW w:w="2500" w:type="dxa"/>
          </w:tcPr>
          <w:p w14:paraId="12326DE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8.656173</w:t>
            </w:r>
          </w:p>
        </w:tc>
        <w:tc>
          <w:tcPr>
            <w:tcW w:w="2860" w:type="dxa"/>
          </w:tcPr>
          <w:p w14:paraId="33AED7E4"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-0.514638</w:t>
            </w:r>
          </w:p>
        </w:tc>
      </w:tr>
      <w:tr w:rsidR="007E07A6" w:rsidRPr="007E07A6" w14:paraId="7F788BFE" w14:textId="77777777" w:rsidTr="00433B7D">
        <w:tc>
          <w:tcPr>
            <w:cnfStyle w:val="001000000000" w:firstRow="0" w:lastRow="0" w:firstColumn="1" w:lastColumn="0" w:oddVBand="0" w:evenVBand="0" w:oddHBand="0" w:evenHBand="0" w:firstRowFirstColumn="0" w:firstRowLastColumn="0" w:lastRowFirstColumn="0" w:lastRowLastColumn="0"/>
            <w:tcW w:w="1500" w:type="dxa"/>
          </w:tcPr>
          <w:p w14:paraId="035B3855"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1.00</w:t>
            </w:r>
          </w:p>
        </w:tc>
        <w:tc>
          <w:tcPr>
            <w:tcW w:w="2500" w:type="dxa"/>
          </w:tcPr>
          <w:p w14:paraId="5D8CD3AB"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11.288157</w:t>
            </w:r>
          </w:p>
        </w:tc>
        <w:tc>
          <w:tcPr>
            <w:tcW w:w="2500" w:type="dxa"/>
          </w:tcPr>
          <w:p w14:paraId="7EA12933"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9.200484</w:t>
            </w:r>
          </w:p>
        </w:tc>
        <w:tc>
          <w:tcPr>
            <w:tcW w:w="2860" w:type="dxa"/>
          </w:tcPr>
          <w:p w14:paraId="07B680D1"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-2.087674</w:t>
            </w:r>
          </w:p>
        </w:tc>
      </w:tr>
    </w:tbl>
    <w:p w14:paraId="4E9F86B5" w14:textId="77777777" w:rsidR="007E79C3" w:rsidRPr="007E07A6" w:rsidRDefault="00000000" w:rsidP="0081268C">
      <w:pPr>
        <w:spacing w:before="200" w:after="200"/>
        <w:ind w:left="1440"/>
        <w:rPr>
          <w:rFonts w:asciiTheme="majorBidi" w:hAnsiTheme="majorBidi" w:cstheme="majorBidi"/>
        </w:rPr>
      </w:pPr>
      <w:r w:rsidRPr="007E07A6">
        <w:rPr>
          <w:rFonts w:asciiTheme="majorBidi" w:hAnsiTheme="majorBidi" w:cstheme="majorBidi"/>
        </w:rPr>
        <w:t>Key Finding: The unregularized model (λ = 0) achieves the best test MSE (8.639029). The negative generalization gap indicates the model generalizes well. As λ increases, both training and test MSE increase, with the gap widening significantly for λ = 1.</w:t>
      </w:r>
    </w:p>
    <w:p w14:paraId="58FFBC46"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drawing>
          <wp:inline distT="0" distB="0" distL="0" distR="0" wp14:anchorId="31DC0F63" wp14:editId="62471D12">
            <wp:extent cx="4762500" cy="2857500"/>
            <wp:effectExtent l="0" t="0" r="0" b="0"/>
            <wp:docPr id="1993517373" name="mse_comparison" descr="Bar chart comparing train and test MSE" title="MS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57500"/>
                    </a:xfrm>
                    <a:prstGeom prst="rect">
                      <a:avLst/>
                    </a:prstGeom>
                  </pic:spPr>
                </pic:pic>
              </a:graphicData>
            </a:graphic>
          </wp:inline>
        </w:drawing>
      </w:r>
    </w:p>
    <w:p w14:paraId="65E6A032"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4: Training vs Testing MSE for Different λ Values</w:t>
      </w:r>
    </w:p>
    <w:p w14:paraId="5B9C850A"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1EA8B989"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4. Convergence Analysis</w:t>
      </w:r>
    </w:p>
    <w:p w14:paraId="49E27BA2" w14:textId="77777777" w:rsidR="007E79C3" w:rsidRPr="007E07A6" w:rsidRDefault="00000000" w:rsidP="00522E38">
      <w:pPr>
        <w:pStyle w:val="Heading2"/>
        <w:ind w:firstLine="720"/>
        <w:rPr>
          <w:rFonts w:asciiTheme="majorBidi" w:hAnsiTheme="majorBidi" w:cstheme="majorBidi"/>
          <w:color w:val="auto"/>
        </w:rPr>
      </w:pPr>
      <w:r w:rsidRPr="007E07A6">
        <w:rPr>
          <w:rFonts w:asciiTheme="majorBidi" w:hAnsiTheme="majorBidi" w:cstheme="majorBidi"/>
          <w:color w:val="auto"/>
        </w:rPr>
        <w:t>4.1 SGD Training Convergence</w:t>
      </w:r>
    </w:p>
    <w:p w14:paraId="10ADDEE7" w14:textId="77777777" w:rsidR="007E79C3" w:rsidRPr="007E07A6" w:rsidRDefault="00000000" w:rsidP="00522E38">
      <w:pPr>
        <w:spacing w:after="200"/>
        <w:ind w:left="720" w:firstLine="720"/>
        <w:rPr>
          <w:rFonts w:asciiTheme="majorBidi" w:hAnsiTheme="majorBidi" w:cstheme="majorBidi"/>
        </w:rPr>
      </w:pPr>
      <w:r w:rsidRPr="007E07A6">
        <w:rPr>
          <w:rFonts w:asciiTheme="majorBidi" w:hAnsiTheme="majorBidi" w:cstheme="majorBidi"/>
        </w:rPr>
        <w:t>The convergence behavior of SGD for each regularization parameter is analyzed below:</w:t>
      </w:r>
    </w:p>
    <w:tbl>
      <w:tblPr>
        <w:tblStyle w:val="GridTable4"/>
        <w:tblW w:w="5000" w:type="pct"/>
        <w:tblLook w:val="04A0" w:firstRow="1" w:lastRow="0" w:firstColumn="1" w:lastColumn="0" w:noHBand="0" w:noVBand="1"/>
      </w:tblPr>
      <w:tblGrid>
        <w:gridCol w:w="1199"/>
        <w:gridCol w:w="1598"/>
        <w:gridCol w:w="1598"/>
        <w:gridCol w:w="1598"/>
        <w:gridCol w:w="1998"/>
        <w:gridCol w:w="1359"/>
      </w:tblGrid>
      <w:tr w:rsidR="007E07A6" w:rsidRPr="007E07A6" w14:paraId="1237F552" w14:textId="77777777" w:rsidTr="004F4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794D10B7"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λ</w:t>
            </w:r>
          </w:p>
        </w:tc>
        <w:tc>
          <w:tcPr>
            <w:tcW w:w="1600" w:type="dxa"/>
          </w:tcPr>
          <w:p w14:paraId="1C8743A7"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Initial MSE</w:t>
            </w:r>
          </w:p>
        </w:tc>
        <w:tc>
          <w:tcPr>
            <w:tcW w:w="1600" w:type="dxa"/>
          </w:tcPr>
          <w:p w14:paraId="0C3B2B39"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Final MSE</w:t>
            </w:r>
          </w:p>
        </w:tc>
        <w:tc>
          <w:tcPr>
            <w:tcW w:w="1600" w:type="dxa"/>
          </w:tcPr>
          <w:p w14:paraId="54F5DD1B"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Min MSE</w:t>
            </w:r>
          </w:p>
        </w:tc>
        <w:tc>
          <w:tcPr>
            <w:tcW w:w="2000" w:type="dxa"/>
          </w:tcPr>
          <w:p w14:paraId="773045DF"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Convergence Epoch</w:t>
            </w:r>
          </w:p>
        </w:tc>
        <w:tc>
          <w:tcPr>
            <w:tcW w:w="1360" w:type="dxa"/>
          </w:tcPr>
          <w:p w14:paraId="11F57FE3"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Reduction %</w:t>
            </w:r>
          </w:p>
        </w:tc>
      </w:tr>
      <w:tr w:rsidR="007E07A6" w:rsidRPr="007E07A6" w14:paraId="5C23471B" w14:textId="77777777" w:rsidTr="004F4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07CAF3B4"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0.00</w:t>
            </w:r>
          </w:p>
        </w:tc>
        <w:tc>
          <w:tcPr>
            <w:tcW w:w="1600" w:type="dxa"/>
          </w:tcPr>
          <w:p w14:paraId="0FF3FA9D"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9.6866</w:t>
            </w:r>
          </w:p>
        </w:tc>
        <w:tc>
          <w:tcPr>
            <w:tcW w:w="1600" w:type="dxa"/>
          </w:tcPr>
          <w:p w14:paraId="1DE211AF"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8.9924</w:t>
            </w:r>
          </w:p>
        </w:tc>
        <w:tc>
          <w:tcPr>
            <w:tcW w:w="1600" w:type="dxa"/>
          </w:tcPr>
          <w:p w14:paraId="04CD2658"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8.9333</w:t>
            </w:r>
          </w:p>
        </w:tc>
        <w:tc>
          <w:tcPr>
            <w:tcW w:w="2000" w:type="dxa"/>
          </w:tcPr>
          <w:p w14:paraId="4D44A12F"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140</w:t>
            </w:r>
          </w:p>
        </w:tc>
        <w:tc>
          <w:tcPr>
            <w:tcW w:w="1360" w:type="dxa"/>
          </w:tcPr>
          <w:p w14:paraId="5CE8702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7.17%</w:t>
            </w:r>
          </w:p>
        </w:tc>
      </w:tr>
      <w:tr w:rsidR="007E07A6" w:rsidRPr="007E07A6" w14:paraId="641A562D" w14:textId="77777777" w:rsidTr="004F436E">
        <w:tc>
          <w:tcPr>
            <w:cnfStyle w:val="001000000000" w:firstRow="0" w:lastRow="0" w:firstColumn="1" w:lastColumn="0" w:oddVBand="0" w:evenVBand="0" w:oddHBand="0" w:evenHBand="0" w:firstRowFirstColumn="0" w:firstRowLastColumn="0" w:lastRowFirstColumn="0" w:lastRowLastColumn="0"/>
            <w:tcW w:w="1200" w:type="dxa"/>
          </w:tcPr>
          <w:p w14:paraId="506BC6D3"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0.01</w:t>
            </w:r>
          </w:p>
        </w:tc>
        <w:tc>
          <w:tcPr>
            <w:tcW w:w="1600" w:type="dxa"/>
          </w:tcPr>
          <w:p w14:paraId="51B77BB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9.6946</w:t>
            </w:r>
          </w:p>
        </w:tc>
        <w:tc>
          <w:tcPr>
            <w:tcW w:w="1600" w:type="dxa"/>
          </w:tcPr>
          <w:p w14:paraId="07113CDA"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9.0035</w:t>
            </w:r>
          </w:p>
        </w:tc>
        <w:tc>
          <w:tcPr>
            <w:tcW w:w="1600" w:type="dxa"/>
          </w:tcPr>
          <w:p w14:paraId="3B581ADD"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8.9355</w:t>
            </w:r>
          </w:p>
        </w:tc>
        <w:tc>
          <w:tcPr>
            <w:tcW w:w="2000" w:type="dxa"/>
          </w:tcPr>
          <w:p w14:paraId="3E0B557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57</w:t>
            </w:r>
          </w:p>
        </w:tc>
        <w:tc>
          <w:tcPr>
            <w:tcW w:w="1360" w:type="dxa"/>
          </w:tcPr>
          <w:p w14:paraId="53D9C2FD"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7.13%</w:t>
            </w:r>
          </w:p>
        </w:tc>
      </w:tr>
      <w:tr w:rsidR="007E07A6" w:rsidRPr="007E07A6" w14:paraId="5F1BB316" w14:textId="77777777" w:rsidTr="004F4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168D643"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0.1</w:t>
            </w:r>
          </w:p>
        </w:tc>
        <w:tc>
          <w:tcPr>
            <w:tcW w:w="1600" w:type="dxa"/>
          </w:tcPr>
          <w:p w14:paraId="0DF0A0FC"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9.7835</w:t>
            </w:r>
          </w:p>
        </w:tc>
        <w:tc>
          <w:tcPr>
            <w:tcW w:w="1600" w:type="dxa"/>
          </w:tcPr>
          <w:p w14:paraId="635C9273"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9.1708</w:t>
            </w:r>
          </w:p>
        </w:tc>
        <w:tc>
          <w:tcPr>
            <w:tcW w:w="1600" w:type="dxa"/>
          </w:tcPr>
          <w:p w14:paraId="716B3ABD"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9.0002</w:t>
            </w:r>
          </w:p>
        </w:tc>
        <w:tc>
          <w:tcPr>
            <w:tcW w:w="2000" w:type="dxa"/>
          </w:tcPr>
          <w:p w14:paraId="39B95341"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61</w:t>
            </w:r>
          </w:p>
        </w:tc>
        <w:tc>
          <w:tcPr>
            <w:tcW w:w="1360" w:type="dxa"/>
          </w:tcPr>
          <w:p w14:paraId="15BBC25A"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6.26%</w:t>
            </w:r>
          </w:p>
        </w:tc>
      </w:tr>
      <w:tr w:rsidR="007E07A6" w:rsidRPr="007E07A6" w14:paraId="3704F8BC" w14:textId="77777777" w:rsidTr="004F436E">
        <w:tc>
          <w:tcPr>
            <w:cnfStyle w:val="001000000000" w:firstRow="0" w:lastRow="0" w:firstColumn="1" w:lastColumn="0" w:oddVBand="0" w:evenVBand="0" w:oddHBand="0" w:evenHBand="0" w:firstRowFirstColumn="0" w:firstRowLastColumn="0" w:lastRowFirstColumn="0" w:lastRowLastColumn="0"/>
            <w:tcW w:w="1200" w:type="dxa"/>
          </w:tcPr>
          <w:p w14:paraId="44B23C44"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1.00</w:t>
            </w:r>
          </w:p>
        </w:tc>
        <w:tc>
          <w:tcPr>
            <w:tcW w:w="1600" w:type="dxa"/>
          </w:tcPr>
          <w:p w14:paraId="04BEDE6A"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11.4901</w:t>
            </w:r>
          </w:p>
        </w:tc>
        <w:tc>
          <w:tcPr>
            <w:tcW w:w="1600" w:type="dxa"/>
          </w:tcPr>
          <w:p w14:paraId="29673697"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11.2882</w:t>
            </w:r>
          </w:p>
        </w:tc>
        <w:tc>
          <w:tcPr>
            <w:tcW w:w="1600" w:type="dxa"/>
          </w:tcPr>
          <w:p w14:paraId="77A60D87"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9.5834</w:t>
            </w:r>
          </w:p>
        </w:tc>
        <w:tc>
          <w:tcPr>
            <w:tcW w:w="2000" w:type="dxa"/>
          </w:tcPr>
          <w:p w14:paraId="3861E99B"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w:t>
            </w:r>
          </w:p>
        </w:tc>
        <w:tc>
          <w:tcPr>
            <w:tcW w:w="1360" w:type="dxa"/>
          </w:tcPr>
          <w:p w14:paraId="1F4BB900"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1.76%</w:t>
            </w:r>
          </w:p>
        </w:tc>
      </w:tr>
    </w:tbl>
    <w:p w14:paraId="54C725ED" w14:textId="77777777" w:rsidR="007E79C3" w:rsidRPr="007E07A6" w:rsidRDefault="00000000" w:rsidP="00394241">
      <w:pPr>
        <w:spacing w:before="200" w:after="200"/>
        <w:ind w:left="1440"/>
        <w:rPr>
          <w:rFonts w:asciiTheme="majorBidi" w:hAnsiTheme="majorBidi" w:cstheme="majorBidi"/>
        </w:rPr>
      </w:pPr>
      <w:r w:rsidRPr="007E07A6">
        <w:rPr>
          <w:rFonts w:asciiTheme="majorBidi" w:hAnsiTheme="majorBidi" w:cstheme="majorBidi"/>
        </w:rPr>
        <w:t xml:space="preserve">Observations: Lower λ values show smoother convergence with greater cost reduction. Higher λ values converge faster (earlier epochs) </w:t>
      </w:r>
      <w:proofErr w:type="gramStart"/>
      <w:r w:rsidRPr="007E07A6">
        <w:rPr>
          <w:rFonts w:asciiTheme="majorBidi" w:hAnsiTheme="majorBidi" w:cstheme="majorBidi"/>
        </w:rPr>
        <w:t>but to</w:t>
      </w:r>
      <w:proofErr w:type="gramEnd"/>
      <w:r w:rsidRPr="007E07A6">
        <w:rPr>
          <w:rFonts w:asciiTheme="majorBidi" w:hAnsiTheme="majorBidi" w:cstheme="majorBidi"/>
        </w:rPr>
        <w:t xml:space="preserve"> higher final costs. The λ = 1 case shows minimal improvement (1.76% reduction), indicating the regularization penalty dominates the optimization.</w:t>
      </w:r>
    </w:p>
    <w:p w14:paraId="7706E8EF"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drawing>
          <wp:inline distT="0" distB="0" distL="0" distR="0" wp14:anchorId="5D332466" wp14:editId="0E0851F2">
            <wp:extent cx="5238750" cy="3048000"/>
            <wp:effectExtent l="0" t="0" r="0" b="0"/>
            <wp:docPr id="1247773462" name="sgd_convergence" descr="Line plot of MSE over epochs" title="SGD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048000"/>
                    </a:xfrm>
                    <a:prstGeom prst="rect">
                      <a:avLst/>
                    </a:prstGeom>
                  </pic:spPr>
                </pic:pic>
              </a:graphicData>
            </a:graphic>
          </wp:inline>
        </w:drawing>
      </w:r>
    </w:p>
    <w:p w14:paraId="5F2311FB"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5: Ridge Regression SGD Convergence - Training Loss vs Epochs</w:t>
      </w:r>
    </w:p>
    <w:p w14:paraId="5F75BF72"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lastRenderedPageBreak/>
        <w:drawing>
          <wp:inline distT="0" distB="0" distL="0" distR="0" wp14:anchorId="703C722D" wp14:editId="59F50A34">
            <wp:extent cx="5238750" cy="3810000"/>
            <wp:effectExtent l="0" t="0" r="0" b="0"/>
            <wp:docPr id="1679678831" name="sgd_convergence_detailed" descr="Detailed convergence analysis" title="SGD Convergence Det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810000"/>
                    </a:xfrm>
                    <a:prstGeom prst="rect">
                      <a:avLst/>
                    </a:prstGeom>
                  </pic:spPr>
                </pic:pic>
              </a:graphicData>
            </a:graphic>
          </wp:inline>
        </w:drawing>
      </w:r>
    </w:p>
    <w:p w14:paraId="433E5C85"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6: Detailed Convergence Analysis for Each λ Value</w:t>
      </w:r>
    </w:p>
    <w:p w14:paraId="4A702791"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4BAAC9EE"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5. Coefficient Stability Analysis</w:t>
      </w:r>
    </w:p>
    <w:p w14:paraId="72118AA5" w14:textId="77777777" w:rsidR="007E79C3" w:rsidRPr="007E07A6" w:rsidRDefault="00000000" w:rsidP="002565EB">
      <w:pPr>
        <w:pStyle w:val="Heading2"/>
        <w:ind w:firstLine="720"/>
        <w:rPr>
          <w:rFonts w:asciiTheme="majorBidi" w:hAnsiTheme="majorBidi" w:cstheme="majorBidi"/>
          <w:color w:val="auto"/>
        </w:rPr>
      </w:pPr>
      <w:r w:rsidRPr="007E07A6">
        <w:rPr>
          <w:rFonts w:asciiTheme="majorBidi" w:hAnsiTheme="majorBidi" w:cstheme="majorBidi"/>
          <w:color w:val="auto"/>
        </w:rPr>
        <w:t>5.1 Coefficient Changes with Regularization</w:t>
      </w:r>
    </w:p>
    <w:p w14:paraId="2600DE52" w14:textId="77777777" w:rsidR="007E79C3" w:rsidRPr="007E07A6" w:rsidRDefault="00000000" w:rsidP="00933E9B">
      <w:pPr>
        <w:spacing w:after="200"/>
        <w:ind w:left="1440"/>
        <w:rPr>
          <w:rFonts w:asciiTheme="majorBidi" w:hAnsiTheme="majorBidi" w:cstheme="majorBidi"/>
        </w:rPr>
      </w:pPr>
      <w:r w:rsidRPr="007E07A6">
        <w:rPr>
          <w:rFonts w:asciiTheme="majorBidi" w:hAnsiTheme="majorBidi" w:cstheme="majorBidi"/>
        </w:rPr>
        <w:t>The table below shows how coefficients change from the unregularized model (λ = 0) to regularized versions:</w:t>
      </w:r>
    </w:p>
    <w:tbl>
      <w:tblPr>
        <w:tblStyle w:val="GridTable4"/>
        <w:tblW w:w="5000" w:type="pct"/>
        <w:tblLook w:val="04A0" w:firstRow="1" w:lastRow="0" w:firstColumn="1" w:lastColumn="0" w:noHBand="0" w:noVBand="1"/>
      </w:tblPr>
      <w:tblGrid>
        <w:gridCol w:w="1451"/>
        <w:gridCol w:w="1250"/>
        <w:gridCol w:w="1124"/>
        <w:gridCol w:w="1019"/>
        <w:gridCol w:w="1124"/>
        <w:gridCol w:w="1129"/>
        <w:gridCol w:w="1124"/>
        <w:gridCol w:w="1129"/>
      </w:tblGrid>
      <w:tr w:rsidR="007E07A6" w:rsidRPr="007E07A6" w14:paraId="1D7CF488" w14:textId="77777777" w:rsidTr="002A2B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A5DA55E"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Coefficient</w:t>
            </w:r>
          </w:p>
        </w:tc>
        <w:tc>
          <w:tcPr>
            <w:tcW w:w="1300" w:type="dxa"/>
          </w:tcPr>
          <w:p w14:paraId="459DB5C1"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λ=0 (baseline)</w:t>
            </w:r>
          </w:p>
        </w:tc>
        <w:tc>
          <w:tcPr>
            <w:tcW w:w="1200" w:type="dxa"/>
          </w:tcPr>
          <w:p w14:paraId="4E528634"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λ=0.01</w:t>
            </w:r>
          </w:p>
        </w:tc>
        <w:tc>
          <w:tcPr>
            <w:tcW w:w="1000" w:type="dxa"/>
          </w:tcPr>
          <w:p w14:paraId="4EF3519B"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Change %</w:t>
            </w:r>
          </w:p>
        </w:tc>
        <w:tc>
          <w:tcPr>
            <w:tcW w:w="1200" w:type="dxa"/>
          </w:tcPr>
          <w:p w14:paraId="678E838B"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λ=0.1</w:t>
            </w:r>
          </w:p>
        </w:tc>
        <w:tc>
          <w:tcPr>
            <w:tcW w:w="1000" w:type="dxa"/>
          </w:tcPr>
          <w:p w14:paraId="61595C56"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Change %</w:t>
            </w:r>
          </w:p>
        </w:tc>
        <w:tc>
          <w:tcPr>
            <w:tcW w:w="1200" w:type="dxa"/>
          </w:tcPr>
          <w:p w14:paraId="3C383E36"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λ=1</w:t>
            </w:r>
          </w:p>
        </w:tc>
        <w:tc>
          <w:tcPr>
            <w:tcW w:w="1060" w:type="dxa"/>
          </w:tcPr>
          <w:p w14:paraId="54B777D4"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Change %</w:t>
            </w:r>
          </w:p>
        </w:tc>
      </w:tr>
      <w:tr w:rsidR="007E07A6" w:rsidRPr="007E07A6" w14:paraId="16C015DC" w14:textId="77777777" w:rsidTr="002A2B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DBDCA30"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bias</w:t>
            </w:r>
          </w:p>
        </w:tc>
        <w:tc>
          <w:tcPr>
            <w:tcW w:w="1300" w:type="dxa"/>
          </w:tcPr>
          <w:p w14:paraId="550289E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23.5569</w:t>
            </w:r>
          </w:p>
        </w:tc>
        <w:tc>
          <w:tcPr>
            <w:tcW w:w="1200" w:type="dxa"/>
          </w:tcPr>
          <w:p w14:paraId="5D711D10"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23.5519</w:t>
            </w:r>
          </w:p>
        </w:tc>
        <w:tc>
          <w:tcPr>
            <w:tcW w:w="1000" w:type="dxa"/>
          </w:tcPr>
          <w:p w14:paraId="5774C6DA"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-0.02%</w:t>
            </w:r>
          </w:p>
        </w:tc>
        <w:tc>
          <w:tcPr>
            <w:tcW w:w="1200" w:type="dxa"/>
          </w:tcPr>
          <w:p w14:paraId="35FD8372"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23.5317</w:t>
            </w:r>
          </w:p>
        </w:tc>
        <w:tc>
          <w:tcPr>
            <w:tcW w:w="1000" w:type="dxa"/>
          </w:tcPr>
          <w:p w14:paraId="59A8759E"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-0.11%</w:t>
            </w:r>
          </w:p>
        </w:tc>
        <w:tc>
          <w:tcPr>
            <w:tcW w:w="1200" w:type="dxa"/>
          </w:tcPr>
          <w:p w14:paraId="2EB519FF"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23.5098</w:t>
            </w:r>
          </w:p>
        </w:tc>
        <w:tc>
          <w:tcPr>
            <w:tcW w:w="1060" w:type="dxa"/>
          </w:tcPr>
          <w:p w14:paraId="74B31F2E"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-0.20%</w:t>
            </w:r>
          </w:p>
        </w:tc>
      </w:tr>
      <w:tr w:rsidR="007E07A6" w:rsidRPr="007E07A6" w14:paraId="6D90C29B" w14:textId="77777777" w:rsidTr="002A2BD7">
        <w:tc>
          <w:tcPr>
            <w:cnfStyle w:val="001000000000" w:firstRow="0" w:lastRow="0" w:firstColumn="1" w:lastColumn="0" w:oddVBand="0" w:evenVBand="0" w:oddHBand="0" w:evenHBand="0" w:firstRowFirstColumn="0" w:firstRowLastColumn="0" w:lastRowFirstColumn="0" w:lastRowLastColumn="0"/>
            <w:tcW w:w="1400" w:type="dxa"/>
          </w:tcPr>
          <w:p w14:paraId="62134CFF"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weight</w:t>
            </w:r>
          </w:p>
        </w:tc>
        <w:tc>
          <w:tcPr>
            <w:tcW w:w="1300" w:type="dxa"/>
          </w:tcPr>
          <w:p w14:paraId="197DB5B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-4.2992</w:t>
            </w:r>
          </w:p>
        </w:tc>
        <w:tc>
          <w:tcPr>
            <w:tcW w:w="1200" w:type="dxa"/>
          </w:tcPr>
          <w:p w14:paraId="06B02617"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-4.0760</w:t>
            </w:r>
          </w:p>
        </w:tc>
        <w:tc>
          <w:tcPr>
            <w:tcW w:w="1000" w:type="dxa"/>
          </w:tcPr>
          <w:p w14:paraId="2EB1EB37"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-5.19%</w:t>
            </w:r>
          </w:p>
        </w:tc>
        <w:tc>
          <w:tcPr>
            <w:tcW w:w="1200" w:type="dxa"/>
          </w:tcPr>
          <w:p w14:paraId="7A9972EC"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-3.1424</w:t>
            </w:r>
          </w:p>
        </w:tc>
        <w:tc>
          <w:tcPr>
            <w:tcW w:w="1000" w:type="dxa"/>
          </w:tcPr>
          <w:p w14:paraId="6BDAAEAF"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-26.91%</w:t>
            </w:r>
          </w:p>
        </w:tc>
        <w:tc>
          <w:tcPr>
            <w:tcW w:w="1200" w:type="dxa"/>
          </w:tcPr>
          <w:p w14:paraId="3F6C5F98"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-1.8436</w:t>
            </w:r>
          </w:p>
        </w:tc>
        <w:tc>
          <w:tcPr>
            <w:tcW w:w="1060" w:type="dxa"/>
          </w:tcPr>
          <w:p w14:paraId="3B9C12FA"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-57.12%</w:t>
            </w:r>
          </w:p>
        </w:tc>
      </w:tr>
      <w:tr w:rsidR="007E07A6" w:rsidRPr="007E07A6" w14:paraId="7E03C3CE" w14:textId="77777777" w:rsidTr="002A2B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6586A094"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horsepower</w:t>
            </w:r>
          </w:p>
        </w:tc>
        <w:tc>
          <w:tcPr>
            <w:tcW w:w="1300" w:type="dxa"/>
          </w:tcPr>
          <w:p w14:paraId="78CB39BC"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-1.4767</w:t>
            </w:r>
          </w:p>
        </w:tc>
        <w:tc>
          <w:tcPr>
            <w:tcW w:w="1200" w:type="dxa"/>
          </w:tcPr>
          <w:p w14:paraId="2772D7AF"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-1.4702</w:t>
            </w:r>
          </w:p>
        </w:tc>
        <w:tc>
          <w:tcPr>
            <w:tcW w:w="1000" w:type="dxa"/>
          </w:tcPr>
          <w:p w14:paraId="7BC92E1C"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-0.44%</w:t>
            </w:r>
          </w:p>
        </w:tc>
        <w:tc>
          <w:tcPr>
            <w:tcW w:w="1200" w:type="dxa"/>
          </w:tcPr>
          <w:p w14:paraId="6FFAEAB2"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-1.5166</w:t>
            </w:r>
          </w:p>
        </w:tc>
        <w:tc>
          <w:tcPr>
            <w:tcW w:w="1000" w:type="dxa"/>
          </w:tcPr>
          <w:p w14:paraId="080A98B1"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+2.70%</w:t>
            </w:r>
          </w:p>
        </w:tc>
        <w:tc>
          <w:tcPr>
            <w:tcW w:w="1200" w:type="dxa"/>
          </w:tcPr>
          <w:p w14:paraId="199072AE"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-1.3208</w:t>
            </w:r>
          </w:p>
        </w:tc>
        <w:tc>
          <w:tcPr>
            <w:tcW w:w="1060" w:type="dxa"/>
          </w:tcPr>
          <w:p w14:paraId="558C2F69"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-10.56%</w:t>
            </w:r>
          </w:p>
        </w:tc>
      </w:tr>
      <w:tr w:rsidR="007E07A6" w:rsidRPr="007E07A6" w14:paraId="21D27A47" w14:textId="77777777" w:rsidTr="002A2BD7">
        <w:tc>
          <w:tcPr>
            <w:cnfStyle w:val="001000000000" w:firstRow="0" w:lastRow="0" w:firstColumn="1" w:lastColumn="0" w:oddVBand="0" w:evenVBand="0" w:oddHBand="0" w:evenHBand="0" w:firstRowFirstColumn="0" w:firstRowLastColumn="0" w:lastRowFirstColumn="0" w:lastRowLastColumn="0"/>
            <w:tcW w:w="1400" w:type="dxa"/>
          </w:tcPr>
          <w:p w14:paraId="717BAEEB"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displacement</w:t>
            </w:r>
          </w:p>
        </w:tc>
        <w:tc>
          <w:tcPr>
            <w:tcW w:w="1300" w:type="dxa"/>
          </w:tcPr>
          <w:p w14:paraId="30F25B98"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-0.8004</w:t>
            </w:r>
          </w:p>
        </w:tc>
        <w:tc>
          <w:tcPr>
            <w:tcW w:w="1200" w:type="dxa"/>
          </w:tcPr>
          <w:p w14:paraId="5CB09130"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-1.0018</w:t>
            </w:r>
          </w:p>
        </w:tc>
        <w:tc>
          <w:tcPr>
            <w:tcW w:w="1000" w:type="dxa"/>
          </w:tcPr>
          <w:p w14:paraId="7CBEB666"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+25.17%</w:t>
            </w:r>
          </w:p>
        </w:tc>
        <w:tc>
          <w:tcPr>
            <w:tcW w:w="1200" w:type="dxa"/>
          </w:tcPr>
          <w:p w14:paraId="3B6870B3"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-1.6700</w:t>
            </w:r>
          </w:p>
        </w:tc>
        <w:tc>
          <w:tcPr>
            <w:tcW w:w="1000" w:type="dxa"/>
          </w:tcPr>
          <w:p w14:paraId="30B8506E"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+108.65%</w:t>
            </w:r>
          </w:p>
        </w:tc>
        <w:tc>
          <w:tcPr>
            <w:tcW w:w="1200" w:type="dxa"/>
          </w:tcPr>
          <w:p w14:paraId="29F257CA"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-1.6137</w:t>
            </w:r>
          </w:p>
        </w:tc>
        <w:tc>
          <w:tcPr>
            <w:tcW w:w="1060" w:type="dxa"/>
          </w:tcPr>
          <w:p w14:paraId="511EB354"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+101.62%</w:t>
            </w:r>
          </w:p>
        </w:tc>
      </w:tr>
    </w:tbl>
    <w:p w14:paraId="22A9CAB0" w14:textId="77777777" w:rsidR="007E79C3" w:rsidRPr="007E07A6" w:rsidRDefault="00000000" w:rsidP="00216E4F">
      <w:pPr>
        <w:spacing w:before="200" w:after="200"/>
        <w:ind w:left="1440"/>
        <w:rPr>
          <w:rFonts w:asciiTheme="majorBidi" w:hAnsiTheme="majorBidi" w:cstheme="majorBidi"/>
        </w:rPr>
      </w:pPr>
      <w:r w:rsidRPr="007E07A6">
        <w:rPr>
          <w:rFonts w:asciiTheme="majorBidi" w:hAnsiTheme="majorBidi" w:cstheme="majorBidi"/>
        </w:rPr>
        <w:t>Key Observations: The weight coefficient shows the most dramatic shrinkage, decreasing by 57% at λ = 1. Interestingly, the displacement coefficient increases in magnitude with regularization, suggesting that regularization redistributes predictive power among correlated features.</w:t>
      </w:r>
    </w:p>
    <w:p w14:paraId="66D1940F" w14:textId="77777777" w:rsidR="007E79C3" w:rsidRPr="007E07A6" w:rsidRDefault="00000000" w:rsidP="003514FA">
      <w:pPr>
        <w:pStyle w:val="Heading2"/>
        <w:ind w:firstLine="720"/>
        <w:rPr>
          <w:rFonts w:asciiTheme="majorBidi" w:hAnsiTheme="majorBidi" w:cstheme="majorBidi"/>
          <w:color w:val="auto"/>
        </w:rPr>
      </w:pPr>
      <w:r w:rsidRPr="007E07A6">
        <w:rPr>
          <w:rFonts w:asciiTheme="majorBidi" w:hAnsiTheme="majorBidi" w:cstheme="majorBidi"/>
          <w:color w:val="auto"/>
        </w:rPr>
        <w:t>5.2 Coefficient Norm and Variance</w:t>
      </w:r>
    </w:p>
    <w:p w14:paraId="1129E04A" w14:textId="77777777" w:rsidR="007E79C3" w:rsidRPr="007E07A6" w:rsidRDefault="00000000" w:rsidP="009A2997">
      <w:pPr>
        <w:spacing w:after="200"/>
        <w:ind w:left="720" w:firstLine="720"/>
        <w:rPr>
          <w:rFonts w:asciiTheme="majorBidi" w:hAnsiTheme="majorBidi" w:cstheme="majorBidi"/>
        </w:rPr>
      </w:pPr>
      <w:r w:rsidRPr="007E07A6">
        <w:rPr>
          <w:rFonts w:asciiTheme="majorBidi" w:hAnsiTheme="majorBidi" w:cstheme="majorBidi"/>
        </w:rPr>
        <w:t>The L2 norm and variance of coefficients (excluding bias) demonstrate the shrinkage effect:</w:t>
      </w:r>
    </w:p>
    <w:tbl>
      <w:tblPr>
        <w:tblStyle w:val="GridTable4"/>
        <w:tblW w:w="5000" w:type="pct"/>
        <w:tblLook w:val="04A0" w:firstRow="1" w:lastRow="0" w:firstColumn="1" w:lastColumn="0" w:noHBand="0" w:noVBand="1"/>
      </w:tblPr>
      <w:tblGrid>
        <w:gridCol w:w="1499"/>
        <w:gridCol w:w="2497"/>
        <w:gridCol w:w="2497"/>
        <w:gridCol w:w="2857"/>
      </w:tblGrid>
      <w:tr w:rsidR="007E07A6" w:rsidRPr="007E07A6" w14:paraId="01E69EC6" w14:textId="77777777" w:rsidTr="005B1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E8E2C63"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λ</w:t>
            </w:r>
          </w:p>
        </w:tc>
        <w:tc>
          <w:tcPr>
            <w:tcW w:w="2500" w:type="dxa"/>
          </w:tcPr>
          <w:p w14:paraId="7F497999"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Coefficient L2-Norm</w:t>
            </w:r>
          </w:p>
        </w:tc>
        <w:tc>
          <w:tcPr>
            <w:tcW w:w="2500" w:type="dxa"/>
          </w:tcPr>
          <w:p w14:paraId="40CAE628"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Coefficient Variance</w:t>
            </w:r>
          </w:p>
        </w:tc>
        <w:tc>
          <w:tcPr>
            <w:tcW w:w="2860" w:type="dxa"/>
          </w:tcPr>
          <w:p w14:paraId="42EC64DF"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Interpretation</w:t>
            </w:r>
          </w:p>
        </w:tc>
      </w:tr>
      <w:tr w:rsidR="007E07A6" w:rsidRPr="007E07A6" w14:paraId="3E794FAE" w14:textId="77777777" w:rsidTr="005B1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765CAA7"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0.00</w:t>
            </w:r>
          </w:p>
        </w:tc>
        <w:tc>
          <w:tcPr>
            <w:tcW w:w="2500" w:type="dxa"/>
          </w:tcPr>
          <w:p w14:paraId="671C2F67"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4.6157</w:t>
            </w:r>
          </w:p>
        </w:tc>
        <w:tc>
          <w:tcPr>
            <w:tcW w:w="2500" w:type="dxa"/>
          </w:tcPr>
          <w:p w14:paraId="3F535EDF"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2.2962</w:t>
            </w:r>
          </w:p>
        </w:tc>
        <w:tc>
          <w:tcPr>
            <w:tcW w:w="2860" w:type="dxa"/>
          </w:tcPr>
          <w:p w14:paraId="7C6B611B"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Highest variance, no regularization</w:t>
            </w:r>
          </w:p>
        </w:tc>
      </w:tr>
      <w:tr w:rsidR="007E07A6" w:rsidRPr="007E07A6" w14:paraId="53DA0374" w14:textId="77777777" w:rsidTr="005B110A">
        <w:tc>
          <w:tcPr>
            <w:cnfStyle w:val="001000000000" w:firstRow="0" w:lastRow="0" w:firstColumn="1" w:lastColumn="0" w:oddVBand="0" w:evenVBand="0" w:oddHBand="0" w:evenHBand="0" w:firstRowFirstColumn="0" w:firstRowLastColumn="0" w:lastRowFirstColumn="0" w:lastRowLastColumn="0"/>
            <w:tcW w:w="1500" w:type="dxa"/>
          </w:tcPr>
          <w:p w14:paraId="4EF29E40"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0.01</w:t>
            </w:r>
          </w:p>
        </w:tc>
        <w:tc>
          <w:tcPr>
            <w:tcW w:w="2500" w:type="dxa"/>
          </w:tcPr>
          <w:p w14:paraId="4CADE77F"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4.4474</w:t>
            </w:r>
          </w:p>
        </w:tc>
        <w:tc>
          <w:tcPr>
            <w:tcW w:w="2500" w:type="dxa"/>
          </w:tcPr>
          <w:p w14:paraId="4696E2B4"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1.8289</w:t>
            </w:r>
          </w:p>
        </w:tc>
        <w:tc>
          <w:tcPr>
            <w:tcW w:w="2860" w:type="dxa"/>
          </w:tcPr>
          <w:p w14:paraId="2583FEFD"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Slight reduction in variance</w:t>
            </w:r>
          </w:p>
        </w:tc>
      </w:tr>
      <w:tr w:rsidR="007E07A6" w:rsidRPr="007E07A6" w14:paraId="2A9B5160" w14:textId="77777777" w:rsidTr="005B1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DC36748"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0.10</w:t>
            </w:r>
          </w:p>
        </w:tc>
        <w:tc>
          <w:tcPr>
            <w:tcW w:w="2500" w:type="dxa"/>
          </w:tcPr>
          <w:p w14:paraId="7C5E35CE"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3.8683</w:t>
            </w:r>
          </w:p>
        </w:tc>
        <w:tc>
          <w:tcPr>
            <w:tcW w:w="2500" w:type="dxa"/>
          </w:tcPr>
          <w:p w14:paraId="45431B65"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0.5372</w:t>
            </w:r>
          </w:p>
        </w:tc>
        <w:tc>
          <w:tcPr>
            <w:tcW w:w="2860" w:type="dxa"/>
          </w:tcPr>
          <w:p w14:paraId="3A7EB96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Significant variance reduction</w:t>
            </w:r>
          </w:p>
        </w:tc>
      </w:tr>
      <w:tr w:rsidR="007E07A6" w:rsidRPr="007E07A6" w14:paraId="2B9DC326" w14:textId="77777777" w:rsidTr="005B110A">
        <w:tc>
          <w:tcPr>
            <w:cnfStyle w:val="001000000000" w:firstRow="0" w:lastRow="0" w:firstColumn="1" w:lastColumn="0" w:oddVBand="0" w:evenVBand="0" w:oddHBand="0" w:evenHBand="0" w:firstRowFirstColumn="0" w:firstRowLastColumn="0" w:lastRowFirstColumn="0" w:lastRowLastColumn="0"/>
            <w:tcW w:w="1500" w:type="dxa"/>
          </w:tcPr>
          <w:p w14:paraId="238DA91E"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1.00</w:t>
            </w:r>
          </w:p>
        </w:tc>
        <w:tc>
          <w:tcPr>
            <w:tcW w:w="2500" w:type="dxa"/>
          </w:tcPr>
          <w:p w14:paraId="0C9DA431"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2.7834</w:t>
            </w:r>
          </w:p>
        </w:tc>
        <w:tc>
          <w:tcPr>
            <w:tcW w:w="2500" w:type="dxa"/>
          </w:tcPr>
          <w:p w14:paraId="16B0996F"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0.0458</w:t>
            </w:r>
          </w:p>
        </w:tc>
        <w:tc>
          <w:tcPr>
            <w:tcW w:w="2860" w:type="dxa"/>
          </w:tcPr>
          <w:p w14:paraId="0FFB028E"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Coefficients nearly equalized</w:t>
            </w:r>
          </w:p>
        </w:tc>
      </w:tr>
    </w:tbl>
    <w:p w14:paraId="5E54602B" w14:textId="77777777" w:rsidR="007E79C3" w:rsidRPr="007E07A6" w:rsidRDefault="00000000" w:rsidP="00031406">
      <w:pPr>
        <w:spacing w:before="200" w:after="200"/>
        <w:ind w:left="1440"/>
        <w:rPr>
          <w:rFonts w:asciiTheme="majorBidi" w:hAnsiTheme="majorBidi" w:cstheme="majorBidi"/>
        </w:rPr>
      </w:pPr>
      <w:r w:rsidRPr="007E07A6">
        <w:rPr>
          <w:rFonts w:asciiTheme="majorBidi" w:hAnsiTheme="majorBidi" w:cstheme="majorBidi"/>
        </w:rPr>
        <w:t>This demonstrates how Ridge Regression shrinks coefficients toward each other, reducing the variance from 2.30 (λ=0) to 0.05 (λ=1), a 98% reduction.</w:t>
      </w:r>
    </w:p>
    <w:p w14:paraId="65FA49E1"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lastRenderedPageBreak/>
        <w:drawing>
          <wp:inline distT="0" distB="0" distL="0" distR="0" wp14:anchorId="28954F6C" wp14:editId="0314B69C">
            <wp:extent cx="5238750" cy="3048000"/>
            <wp:effectExtent l="0" t="0" r="0" b="0"/>
            <wp:docPr id="1398641553" name="coefficient_path" descr="Regularization path showing coefficient shrinkage" title="Coefficien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048000"/>
                    </a:xfrm>
                    <a:prstGeom prst="rect">
                      <a:avLst/>
                    </a:prstGeom>
                  </pic:spPr>
                </pic:pic>
              </a:graphicData>
            </a:graphic>
          </wp:inline>
        </w:drawing>
      </w:r>
    </w:p>
    <w:p w14:paraId="4DF12B08"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7: Regularization Path - Coefficient Shrinkage with Increasing λ</w:t>
      </w:r>
    </w:p>
    <w:p w14:paraId="380CBA22"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5B4D773A"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6. Bias-Variance Tradeoff Analysis</w:t>
      </w:r>
    </w:p>
    <w:p w14:paraId="45E3D3D9" w14:textId="77777777" w:rsidR="007E79C3" w:rsidRPr="007E07A6" w:rsidRDefault="00000000" w:rsidP="0005098C">
      <w:pPr>
        <w:pStyle w:val="Heading2"/>
        <w:ind w:firstLine="720"/>
        <w:rPr>
          <w:rFonts w:asciiTheme="majorBidi" w:hAnsiTheme="majorBidi" w:cstheme="majorBidi"/>
          <w:color w:val="auto"/>
        </w:rPr>
      </w:pPr>
      <w:r w:rsidRPr="007E07A6">
        <w:rPr>
          <w:rFonts w:asciiTheme="majorBidi" w:hAnsiTheme="majorBidi" w:cstheme="majorBidi"/>
          <w:color w:val="auto"/>
        </w:rPr>
        <w:t>6.1 Theoretical Background</w:t>
      </w:r>
    </w:p>
    <w:p w14:paraId="5042F543" w14:textId="77777777" w:rsidR="007E79C3" w:rsidRDefault="00000000" w:rsidP="007457EE">
      <w:pPr>
        <w:spacing w:after="200"/>
        <w:ind w:left="1440"/>
        <w:rPr>
          <w:rFonts w:asciiTheme="majorBidi" w:hAnsiTheme="majorBidi" w:cstheme="majorBidi"/>
        </w:rPr>
      </w:pPr>
      <w:r w:rsidRPr="007E07A6">
        <w:rPr>
          <w:rFonts w:asciiTheme="majorBidi" w:hAnsiTheme="majorBidi" w:cstheme="majorBidi"/>
        </w:rPr>
        <w:t>The bias-variance tradeoff is fundamental to understanding regularization. The expected prediction error can be decomposed as:</w:t>
      </w:r>
    </w:p>
    <w:p w14:paraId="60522CDD" w14:textId="2DDF06BF" w:rsidR="0066740F" w:rsidRPr="007E07A6" w:rsidRDefault="0066740F" w:rsidP="007457EE">
      <w:pPr>
        <w:spacing w:after="200"/>
        <w:ind w:left="1440"/>
        <w:rPr>
          <w:rFonts w:asciiTheme="majorBidi" w:hAnsiTheme="majorBidi" w:cstheme="majorBidi"/>
        </w:rPr>
      </w:pPr>
      <m:oMathPara>
        <m:oMath>
          <m:r>
            <m:rPr>
              <m:nor/>
            </m:rPr>
            <w:rPr>
              <w:rFonts w:ascii="Cambria Math" w:hAnsi="Cambria Math" w:cstheme="majorBidi"/>
            </w:rPr>
            <m:t>Expected Error</m:t>
          </m:r>
          <m:r>
            <w:rPr>
              <w:rFonts w:ascii="Cambria Math" w:hAnsi="Cambria Math" w:cstheme="majorBidi"/>
            </w:rPr>
            <m:t>=</m:t>
          </m:r>
          <m:sSup>
            <m:sSupPr>
              <m:ctrlPr>
                <w:rPr>
                  <w:rFonts w:ascii="Cambria Math" w:hAnsi="Cambria Math" w:cstheme="majorBidi"/>
                  <w:i/>
                </w:rPr>
              </m:ctrlPr>
            </m:sSupPr>
            <m:e>
              <m:r>
                <m:rPr>
                  <m:nor/>
                </m:rPr>
                <w:rPr>
                  <w:rFonts w:ascii="Cambria Math" w:hAnsi="Cambria Math" w:cstheme="majorBidi"/>
                </w:rPr>
                <m:t>Bias</m:t>
              </m:r>
            </m:e>
            <m:sup>
              <m:r>
                <w:rPr>
                  <w:rFonts w:ascii="Cambria Math" w:hAnsi="Cambria Math" w:cstheme="majorBidi"/>
                </w:rPr>
                <m:t>2</m:t>
              </m:r>
            </m:sup>
          </m:sSup>
          <m:r>
            <w:rPr>
              <w:rFonts w:ascii="Cambria Math" w:hAnsi="Cambria Math" w:cstheme="majorBidi"/>
            </w:rPr>
            <m:t>+</m:t>
          </m:r>
          <m:r>
            <m:rPr>
              <m:nor/>
            </m:rPr>
            <w:rPr>
              <w:rFonts w:ascii="Cambria Math" w:hAnsi="Cambria Math" w:cstheme="majorBidi"/>
            </w:rPr>
            <m:t>Variance</m:t>
          </m:r>
          <m:r>
            <w:rPr>
              <w:rFonts w:ascii="Cambria Math" w:hAnsi="Cambria Math" w:cstheme="majorBidi"/>
            </w:rPr>
            <m:t>+</m:t>
          </m:r>
          <m:r>
            <m:rPr>
              <m:nor/>
            </m:rPr>
            <w:rPr>
              <w:rFonts w:ascii="Cambria Math" w:hAnsi="Cambria Math" w:cstheme="majorBidi"/>
            </w:rPr>
            <m:t>Irreducible Noise</m:t>
          </m:r>
        </m:oMath>
      </m:oMathPara>
    </w:p>
    <w:p w14:paraId="16BB66DE" w14:textId="77777777" w:rsidR="007E79C3" w:rsidRPr="007E07A6" w:rsidRDefault="00000000" w:rsidP="007457EE">
      <w:pPr>
        <w:spacing w:after="200"/>
        <w:ind w:left="1440"/>
        <w:rPr>
          <w:rFonts w:asciiTheme="majorBidi" w:hAnsiTheme="majorBidi" w:cstheme="majorBidi"/>
        </w:rPr>
      </w:pPr>
      <w:r w:rsidRPr="007E07A6">
        <w:rPr>
          <w:rFonts w:asciiTheme="majorBidi" w:hAnsiTheme="majorBidi" w:cstheme="majorBidi"/>
        </w:rPr>
        <w:t>As the regularization parameter λ increases:</w:t>
      </w:r>
    </w:p>
    <w:p w14:paraId="2E661B8E" w14:textId="77777777" w:rsidR="007E79C3" w:rsidRPr="007E07A6" w:rsidRDefault="00000000" w:rsidP="007457EE">
      <w:pPr>
        <w:spacing w:after="80"/>
        <w:ind w:left="1440"/>
        <w:rPr>
          <w:rFonts w:asciiTheme="majorBidi" w:hAnsiTheme="majorBidi" w:cstheme="majorBidi"/>
        </w:rPr>
      </w:pPr>
      <w:r w:rsidRPr="007E07A6">
        <w:rPr>
          <w:rFonts w:asciiTheme="majorBidi" w:hAnsiTheme="majorBidi" w:cstheme="majorBidi"/>
        </w:rPr>
        <w:t>•  Bias increases: The model becomes systematically different from the true relationship</w:t>
      </w:r>
    </w:p>
    <w:p w14:paraId="1E3BE650" w14:textId="77777777" w:rsidR="007E79C3" w:rsidRPr="007E07A6" w:rsidRDefault="00000000" w:rsidP="007457EE">
      <w:pPr>
        <w:spacing w:after="80"/>
        <w:ind w:left="1440"/>
        <w:rPr>
          <w:rFonts w:asciiTheme="majorBidi" w:hAnsiTheme="majorBidi" w:cstheme="majorBidi"/>
        </w:rPr>
      </w:pPr>
      <w:r w:rsidRPr="007E07A6">
        <w:rPr>
          <w:rFonts w:asciiTheme="majorBidi" w:hAnsiTheme="majorBidi" w:cstheme="majorBidi"/>
        </w:rPr>
        <w:t>•  Variance decreases: The model becomes less sensitive to training data variations</w:t>
      </w:r>
    </w:p>
    <w:p w14:paraId="7AFF48BA" w14:textId="77777777" w:rsidR="007E79C3" w:rsidRPr="007E07A6" w:rsidRDefault="00000000" w:rsidP="007457EE">
      <w:pPr>
        <w:spacing w:after="200"/>
        <w:ind w:left="1440"/>
        <w:rPr>
          <w:rFonts w:asciiTheme="majorBidi" w:hAnsiTheme="majorBidi" w:cstheme="majorBidi"/>
        </w:rPr>
      </w:pPr>
      <w:r w:rsidRPr="007E07A6">
        <w:rPr>
          <w:rFonts w:asciiTheme="majorBidi" w:hAnsiTheme="majorBidi" w:cstheme="majorBidi"/>
        </w:rPr>
        <w:t>•  Optimal λ: The value that minimizes total error (typically where test error is lowest)</w:t>
      </w:r>
    </w:p>
    <w:p w14:paraId="2E95F438" w14:textId="77777777" w:rsidR="007E79C3" w:rsidRPr="007E07A6" w:rsidRDefault="00000000" w:rsidP="008237E5">
      <w:pPr>
        <w:pStyle w:val="Heading2"/>
        <w:ind w:firstLine="720"/>
        <w:rPr>
          <w:rFonts w:asciiTheme="majorBidi" w:hAnsiTheme="majorBidi" w:cstheme="majorBidi"/>
          <w:color w:val="auto"/>
        </w:rPr>
      </w:pPr>
      <w:r w:rsidRPr="007E07A6">
        <w:rPr>
          <w:rFonts w:asciiTheme="majorBidi" w:hAnsiTheme="majorBidi" w:cstheme="majorBidi"/>
          <w:color w:val="auto"/>
        </w:rPr>
        <w:t>6.2 Observed Tradeoff in Our Experiment</w:t>
      </w:r>
    </w:p>
    <w:p w14:paraId="49C6CA81" w14:textId="77777777" w:rsidR="007E79C3" w:rsidRPr="007E07A6" w:rsidRDefault="00000000" w:rsidP="00FD0F37">
      <w:pPr>
        <w:spacing w:after="200"/>
        <w:ind w:left="720" w:firstLine="720"/>
        <w:rPr>
          <w:rFonts w:asciiTheme="majorBidi" w:hAnsiTheme="majorBidi" w:cstheme="majorBidi"/>
        </w:rPr>
      </w:pPr>
      <w:r w:rsidRPr="007E07A6">
        <w:rPr>
          <w:rFonts w:asciiTheme="majorBidi" w:hAnsiTheme="majorBidi" w:cstheme="majorBidi"/>
        </w:rPr>
        <w:t>In our experiment, we observe the following pattern:</w:t>
      </w:r>
    </w:p>
    <w:tbl>
      <w:tblPr>
        <w:tblStyle w:val="GridTable4"/>
        <w:tblW w:w="5000" w:type="pct"/>
        <w:tblLook w:val="04A0" w:firstRow="1" w:lastRow="0" w:firstColumn="1" w:lastColumn="0" w:noHBand="0" w:noVBand="1"/>
      </w:tblPr>
      <w:tblGrid>
        <w:gridCol w:w="1499"/>
        <w:gridCol w:w="2497"/>
        <w:gridCol w:w="1998"/>
        <w:gridCol w:w="3356"/>
      </w:tblGrid>
      <w:tr w:rsidR="007E07A6" w:rsidRPr="007E07A6" w14:paraId="054D4816" w14:textId="77777777" w:rsidTr="00516F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A539F9C"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λ</w:t>
            </w:r>
          </w:p>
        </w:tc>
        <w:tc>
          <w:tcPr>
            <w:tcW w:w="2500" w:type="dxa"/>
          </w:tcPr>
          <w:p w14:paraId="251F2154"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Train MSE (Bias²)</w:t>
            </w:r>
          </w:p>
        </w:tc>
        <w:tc>
          <w:tcPr>
            <w:tcW w:w="2000" w:type="dxa"/>
          </w:tcPr>
          <w:p w14:paraId="364E5E72"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Test MSE</w:t>
            </w:r>
          </w:p>
        </w:tc>
        <w:tc>
          <w:tcPr>
            <w:tcW w:w="3360" w:type="dxa"/>
          </w:tcPr>
          <w:p w14:paraId="778A0777"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Bias-Variance Balance</w:t>
            </w:r>
          </w:p>
        </w:tc>
      </w:tr>
      <w:tr w:rsidR="007E07A6" w:rsidRPr="007E07A6" w14:paraId="78684A1F" w14:textId="77777777" w:rsidTr="00516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0D31E2E"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0.00</w:t>
            </w:r>
          </w:p>
        </w:tc>
        <w:tc>
          <w:tcPr>
            <w:tcW w:w="2500" w:type="dxa"/>
          </w:tcPr>
          <w:p w14:paraId="3E39884D"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8.992</w:t>
            </w:r>
          </w:p>
        </w:tc>
        <w:tc>
          <w:tcPr>
            <w:tcW w:w="2000" w:type="dxa"/>
          </w:tcPr>
          <w:p w14:paraId="402ED7A7"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8.639</w:t>
            </w:r>
          </w:p>
        </w:tc>
        <w:tc>
          <w:tcPr>
            <w:tcW w:w="3360" w:type="dxa"/>
          </w:tcPr>
          <w:p w14:paraId="6013F343"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Low bias, higher variance</w:t>
            </w:r>
          </w:p>
        </w:tc>
      </w:tr>
      <w:tr w:rsidR="007E07A6" w:rsidRPr="007E07A6" w14:paraId="2D0BF728" w14:textId="77777777" w:rsidTr="00516FE4">
        <w:tc>
          <w:tcPr>
            <w:cnfStyle w:val="001000000000" w:firstRow="0" w:lastRow="0" w:firstColumn="1" w:lastColumn="0" w:oddVBand="0" w:evenVBand="0" w:oddHBand="0" w:evenHBand="0" w:firstRowFirstColumn="0" w:firstRowLastColumn="0" w:lastRowFirstColumn="0" w:lastRowLastColumn="0"/>
            <w:tcW w:w="1500" w:type="dxa"/>
          </w:tcPr>
          <w:p w14:paraId="53F07FF8"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0.01</w:t>
            </w:r>
          </w:p>
        </w:tc>
        <w:tc>
          <w:tcPr>
            <w:tcW w:w="2500" w:type="dxa"/>
          </w:tcPr>
          <w:p w14:paraId="4C6A3EE9"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9.004</w:t>
            </w:r>
          </w:p>
        </w:tc>
        <w:tc>
          <w:tcPr>
            <w:tcW w:w="2000" w:type="dxa"/>
          </w:tcPr>
          <w:p w14:paraId="22FC471D"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8.647</w:t>
            </w:r>
          </w:p>
        </w:tc>
        <w:tc>
          <w:tcPr>
            <w:tcW w:w="3360" w:type="dxa"/>
          </w:tcPr>
          <w:p w14:paraId="4340EE8A"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Slight bias increase</w:t>
            </w:r>
          </w:p>
        </w:tc>
      </w:tr>
      <w:tr w:rsidR="007E07A6" w:rsidRPr="007E07A6" w14:paraId="7BDD2809" w14:textId="77777777" w:rsidTr="00516F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F1576E6"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0.10</w:t>
            </w:r>
          </w:p>
        </w:tc>
        <w:tc>
          <w:tcPr>
            <w:tcW w:w="2500" w:type="dxa"/>
          </w:tcPr>
          <w:p w14:paraId="357F2654"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9.171</w:t>
            </w:r>
          </w:p>
        </w:tc>
        <w:tc>
          <w:tcPr>
            <w:tcW w:w="2000" w:type="dxa"/>
          </w:tcPr>
          <w:p w14:paraId="69EE3702"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8.656</w:t>
            </w:r>
          </w:p>
        </w:tc>
        <w:tc>
          <w:tcPr>
            <w:tcW w:w="3360" w:type="dxa"/>
          </w:tcPr>
          <w:p w14:paraId="72C14767"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Moderate bias increase</w:t>
            </w:r>
          </w:p>
        </w:tc>
      </w:tr>
      <w:tr w:rsidR="007E07A6" w:rsidRPr="007E07A6" w14:paraId="0C6F9EBE" w14:textId="77777777" w:rsidTr="00516FE4">
        <w:tc>
          <w:tcPr>
            <w:cnfStyle w:val="001000000000" w:firstRow="0" w:lastRow="0" w:firstColumn="1" w:lastColumn="0" w:oddVBand="0" w:evenVBand="0" w:oddHBand="0" w:evenHBand="0" w:firstRowFirstColumn="0" w:firstRowLastColumn="0" w:lastRowFirstColumn="0" w:lastRowLastColumn="0"/>
            <w:tcW w:w="1500" w:type="dxa"/>
          </w:tcPr>
          <w:p w14:paraId="6E55D794"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1.00</w:t>
            </w:r>
          </w:p>
        </w:tc>
        <w:tc>
          <w:tcPr>
            <w:tcW w:w="2500" w:type="dxa"/>
          </w:tcPr>
          <w:p w14:paraId="6E3C41C6"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11.288</w:t>
            </w:r>
          </w:p>
        </w:tc>
        <w:tc>
          <w:tcPr>
            <w:tcW w:w="2000" w:type="dxa"/>
          </w:tcPr>
          <w:p w14:paraId="18B4304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9.200</w:t>
            </w:r>
          </w:p>
        </w:tc>
        <w:tc>
          <w:tcPr>
            <w:tcW w:w="3360" w:type="dxa"/>
          </w:tcPr>
          <w:p w14:paraId="53AC1A09"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High bias, low variance</w:t>
            </w:r>
          </w:p>
        </w:tc>
      </w:tr>
    </w:tbl>
    <w:p w14:paraId="31299FD6" w14:textId="77777777" w:rsidR="007E79C3" w:rsidRPr="007E07A6" w:rsidRDefault="00000000" w:rsidP="00BA6401">
      <w:pPr>
        <w:spacing w:before="200" w:after="200"/>
        <w:ind w:left="1440"/>
        <w:rPr>
          <w:rFonts w:asciiTheme="majorBidi" w:hAnsiTheme="majorBidi" w:cstheme="majorBidi"/>
        </w:rPr>
      </w:pPr>
      <w:r w:rsidRPr="007E07A6">
        <w:rPr>
          <w:rFonts w:asciiTheme="majorBidi" w:hAnsiTheme="majorBidi" w:cstheme="majorBidi"/>
        </w:rPr>
        <w:t xml:space="preserve">Analysis: For this dataset, the unregularized model (λ = 0) achieves the best test performance. This suggests the model complexity is appropriate for the data, and the multicollinearity, while present, does not severely impact generalization. </w:t>
      </w:r>
      <w:proofErr w:type="gramStart"/>
      <w:r w:rsidRPr="007E07A6">
        <w:rPr>
          <w:rFonts w:asciiTheme="majorBidi" w:hAnsiTheme="majorBidi" w:cstheme="majorBidi"/>
        </w:rPr>
        <w:t>The test</w:t>
      </w:r>
      <w:proofErr w:type="gramEnd"/>
      <w:r w:rsidRPr="007E07A6">
        <w:rPr>
          <w:rFonts w:asciiTheme="majorBidi" w:hAnsiTheme="majorBidi" w:cstheme="majorBidi"/>
        </w:rPr>
        <w:t xml:space="preserve"> MSE increases monotonically with λ, indicating the bias introduced by regularization outweighs the variance reduction benefits for this specific train-test split.</w:t>
      </w:r>
    </w:p>
    <w:p w14:paraId="24E5B327"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lastRenderedPageBreak/>
        <w:drawing>
          <wp:inline distT="0" distB="0" distL="0" distR="0" wp14:anchorId="4CAE2004" wp14:editId="4F0F0CC6">
            <wp:extent cx="4762500" cy="2857500"/>
            <wp:effectExtent l="0" t="0" r="0" b="0"/>
            <wp:docPr id="1322904018" name="bias_variance" descr="Plot showing bias-variance tradeoff" title="Bias-Variance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857500"/>
                    </a:xfrm>
                    <a:prstGeom prst="rect">
                      <a:avLst/>
                    </a:prstGeom>
                  </pic:spPr>
                </pic:pic>
              </a:graphicData>
            </a:graphic>
          </wp:inline>
        </w:drawing>
      </w:r>
    </w:p>
    <w:p w14:paraId="1B16B3EA"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8: Bias-Variance Tradeoff in Ridge Regression</w:t>
      </w:r>
    </w:p>
    <w:p w14:paraId="5100DC31"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290C28E1"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7. Discussion and Analysis</w:t>
      </w:r>
    </w:p>
    <w:p w14:paraId="52891ADA" w14:textId="77777777" w:rsidR="007E79C3" w:rsidRPr="007E07A6" w:rsidRDefault="00000000" w:rsidP="00F32130">
      <w:pPr>
        <w:pStyle w:val="Heading2"/>
        <w:ind w:firstLine="720"/>
        <w:rPr>
          <w:rFonts w:asciiTheme="majorBidi" w:hAnsiTheme="majorBidi" w:cstheme="majorBidi"/>
          <w:color w:val="auto"/>
        </w:rPr>
      </w:pPr>
      <w:r w:rsidRPr="007E07A6">
        <w:rPr>
          <w:rFonts w:asciiTheme="majorBidi" w:hAnsiTheme="majorBidi" w:cstheme="majorBidi"/>
          <w:color w:val="auto"/>
        </w:rPr>
        <w:t>7.1 How Ridge Regression Mitigates Multicollinearity</w:t>
      </w:r>
    </w:p>
    <w:p w14:paraId="70D7F23C" w14:textId="77777777" w:rsidR="007E79C3" w:rsidRPr="007E07A6" w:rsidRDefault="00000000" w:rsidP="00E94738">
      <w:pPr>
        <w:spacing w:after="200"/>
        <w:ind w:left="1440"/>
        <w:rPr>
          <w:rFonts w:asciiTheme="majorBidi" w:hAnsiTheme="majorBidi" w:cstheme="majorBidi"/>
        </w:rPr>
      </w:pPr>
      <w:r w:rsidRPr="007E07A6">
        <w:rPr>
          <w:rFonts w:asciiTheme="majorBidi" w:hAnsiTheme="majorBidi" w:cstheme="majorBidi"/>
        </w:rPr>
        <w:t>Ridge Regression addresses multicollinearity through several mechanisms:</w:t>
      </w:r>
    </w:p>
    <w:p w14:paraId="2774EE38" w14:textId="77777777" w:rsidR="007E79C3" w:rsidRPr="007E07A6" w:rsidRDefault="00000000" w:rsidP="00E94738">
      <w:pPr>
        <w:spacing w:after="80"/>
        <w:ind w:left="1440"/>
        <w:rPr>
          <w:rFonts w:asciiTheme="majorBidi" w:hAnsiTheme="majorBidi" w:cstheme="majorBidi"/>
        </w:rPr>
      </w:pPr>
      <w:r w:rsidRPr="007E07A6">
        <w:rPr>
          <w:rFonts w:asciiTheme="majorBidi" w:hAnsiTheme="majorBidi" w:cstheme="majorBidi"/>
          <w:b/>
          <w:bCs/>
        </w:rPr>
        <w:t xml:space="preserve">1. Coefficient Shrinkage: </w:t>
      </w:r>
      <w:r w:rsidRPr="007E07A6">
        <w:rPr>
          <w:rFonts w:asciiTheme="majorBidi" w:hAnsiTheme="majorBidi" w:cstheme="majorBidi"/>
        </w:rPr>
        <w:t>The L2 penalty term (λ × ∑θⱼ²) shrinks coefficient magnitudes toward zero. In our experiment, the L2-norm of coefficients decreased from 4.62 (λ=0) to 2.78 (λ=1), representing a 40% reduction.</w:t>
      </w:r>
    </w:p>
    <w:p w14:paraId="4BE3AF16" w14:textId="77777777" w:rsidR="007E79C3" w:rsidRPr="007E07A6" w:rsidRDefault="00000000" w:rsidP="00E94738">
      <w:pPr>
        <w:spacing w:after="80"/>
        <w:ind w:left="1440"/>
        <w:rPr>
          <w:rFonts w:asciiTheme="majorBidi" w:hAnsiTheme="majorBidi" w:cstheme="majorBidi"/>
        </w:rPr>
      </w:pPr>
      <w:r w:rsidRPr="007E07A6">
        <w:rPr>
          <w:rFonts w:asciiTheme="majorBidi" w:hAnsiTheme="majorBidi" w:cstheme="majorBidi"/>
          <w:b/>
          <w:bCs/>
        </w:rPr>
        <w:t xml:space="preserve">2. Variance Reduction: </w:t>
      </w:r>
      <w:r w:rsidRPr="007E07A6">
        <w:rPr>
          <w:rFonts w:asciiTheme="majorBidi" w:hAnsiTheme="majorBidi" w:cstheme="majorBidi"/>
        </w:rPr>
        <w:t>By shrinking coefficients, Ridge Regression reduces the variance of estimates. The coefficient variance dropped from 2.30 to 0.05 (98% reduction), demonstrating dramatically more stable estimates.</w:t>
      </w:r>
    </w:p>
    <w:p w14:paraId="78C0C989" w14:textId="77777777" w:rsidR="007E79C3" w:rsidRPr="007E07A6" w:rsidRDefault="00000000" w:rsidP="00E94738">
      <w:pPr>
        <w:spacing w:after="80"/>
        <w:ind w:left="1440"/>
        <w:rPr>
          <w:rFonts w:asciiTheme="majorBidi" w:hAnsiTheme="majorBidi" w:cstheme="majorBidi"/>
        </w:rPr>
      </w:pPr>
      <w:r w:rsidRPr="007E07A6">
        <w:rPr>
          <w:rFonts w:asciiTheme="majorBidi" w:hAnsiTheme="majorBidi" w:cstheme="majorBidi"/>
          <w:b/>
          <w:bCs/>
        </w:rPr>
        <w:t xml:space="preserve">3. Predictive Power Redistribution: </w:t>
      </w:r>
      <w:r w:rsidRPr="007E07A6">
        <w:rPr>
          <w:rFonts w:asciiTheme="majorBidi" w:hAnsiTheme="majorBidi" w:cstheme="majorBidi"/>
        </w:rPr>
        <w:t>Highly correlated features share predictive power more evenly. We observed the displacement coefficient magnitude increased while weight decreased, suggesting a rebalancing of influence among correlated predictors.</w:t>
      </w:r>
    </w:p>
    <w:p w14:paraId="17009837" w14:textId="77777777" w:rsidR="007E79C3" w:rsidRPr="007E07A6" w:rsidRDefault="00000000" w:rsidP="00FD0121">
      <w:pPr>
        <w:pStyle w:val="Heading2"/>
        <w:spacing w:before="400"/>
        <w:ind w:firstLine="720"/>
        <w:rPr>
          <w:rFonts w:asciiTheme="majorBidi" w:hAnsiTheme="majorBidi" w:cstheme="majorBidi"/>
          <w:color w:val="auto"/>
        </w:rPr>
      </w:pPr>
      <w:r w:rsidRPr="007E07A6">
        <w:rPr>
          <w:rFonts w:asciiTheme="majorBidi" w:hAnsiTheme="majorBidi" w:cstheme="majorBidi"/>
          <w:color w:val="auto"/>
        </w:rPr>
        <w:t>7.2 Practical Implications</w:t>
      </w:r>
    </w:p>
    <w:p w14:paraId="0CDC2ACF" w14:textId="77777777" w:rsidR="007E79C3" w:rsidRPr="007E07A6" w:rsidRDefault="00000000" w:rsidP="00DE7EFC">
      <w:pPr>
        <w:spacing w:after="200"/>
        <w:ind w:left="1440"/>
        <w:rPr>
          <w:rFonts w:asciiTheme="majorBidi" w:hAnsiTheme="majorBidi" w:cstheme="majorBidi"/>
        </w:rPr>
      </w:pPr>
      <w:r w:rsidRPr="007E07A6">
        <w:rPr>
          <w:rFonts w:asciiTheme="majorBidi" w:hAnsiTheme="majorBidi" w:cstheme="majorBidi"/>
        </w:rPr>
        <w:t>Based on our analysis, we can draw the following practical conclusions:</w:t>
      </w:r>
    </w:p>
    <w:p w14:paraId="7562FCD8" w14:textId="77777777" w:rsidR="007E79C3" w:rsidRPr="007E07A6" w:rsidRDefault="00000000" w:rsidP="00DE7EFC">
      <w:pPr>
        <w:spacing w:after="80"/>
        <w:ind w:left="1440"/>
        <w:rPr>
          <w:rFonts w:asciiTheme="majorBidi" w:hAnsiTheme="majorBidi" w:cstheme="majorBidi"/>
        </w:rPr>
      </w:pPr>
      <w:r w:rsidRPr="007E07A6">
        <w:rPr>
          <w:rFonts w:asciiTheme="majorBidi" w:hAnsiTheme="majorBidi" w:cstheme="majorBidi"/>
        </w:rPr>
        <w:t>•  For this specific dataset and train-test split, the unregularized model performs best</w:t>
      </w:r>
    </w:p>
    <w:p w14:paraId="718AECC4" w14:textId="77777777" w:rsidR="007E79C3" w:rsidRPr="007E07A6" w:rsidRDefault="00000000" w:rsidP="00DE7EFC">
      <w:pPr>
        <w:spacing w:after="80"/>
        <w:ind w:left="1440"/>
        <w:rPr>
          <w:rFonts w:asciiTheme="majorBidi" w:hAnsiTheme="majorBidi" w:cstheme="majorBidi"/>
        </w:rPr>
      </w:pPr>
      <w:r w:rsidRPr="007E07A6">
        <w:rPr>
          <w:rFonts w:asciiTheme="majorBidi" w:hAnsiTheme="majorBidi" w:cstheme="majorBidi"/>
        </w:rPr>
        <w:t>•  Cross-validation should be used to determine optimal λ for new datasets</w:t>
      </w:r>
    </w:p>
    <w:p w14:paraId="79AA169B" w14:textId="77777777" w:rsidR="007E79C3" w:rsidRPr="007E07A6" w:rsidRDefault="00000000" w:rsidP="00DE7EFC">
      <w:pPr>
        <w:spacing w:after="80"/>
        <w:ind w:left="1440"/>
        <w:rPr>
          <w:rFonts w:asciiTheme="majorBidi" w:hAnsiTheme="majorBidi" w:cstheme="majorBidi"/>
        </w:rPr>
      </w:pPr>
      <w:r w:rsidRPr="007E07A6">
        <w:rPr>
          <w:rFonts w:asciiTheme="majorBidi" w:hAnsiTheme="majorBidi" w:cstheme="majorBidi"/>
        </w:rPr>
        <w:t>•  The presence of multicollinearity (VIF &gt; 5) justifies considering regularization</w:t>
      </w:r>
    </w:p>
    <w:p w14:paraId="0D323ECF" w14:textId="77777777" w:rsidR="007E79C3" w:rsidRPr="007E07A6" w:rsidRDefault="00000000" w:rsidP="00DE7EFC">
      <w:pPr>
        <w:spacing w:after="200"/>
        <w:ind w:left="1440"/>
        <w:rPr>
          <w:rFonts w:asciiTheme="majorBidi" w:hAnsiTheme="majorBidi" w:cstheme="majorBidi"/>
        </w:rPr>
      </w:pPr>
      <w:r w:rsidRPr="007E07A6">
        <w:rPr>
          <w:rFonts w:asciiTheme="majorBidi" w:hAnsiTheme="majorBidi" w:cstheme="majorBidi"/>
        </w:rPr>
        <w:t>•  Small λ values (0.01, 0.1) provide good coefficient stability with minimal bias increase</w:t>
      </w:r>
    </w:p>
    <w:p w14:paraId="5BA04079" w14:textId="77777777" w:rsidR="007E79C3" w:rsidRPr="007E07A6" w:rsidRDefault="00000000">
      <w:pPr>
        <w:spacing w:before="200" w:after="100"/>
        <w:jc w:val="center"/>
        <w:rPr>
          <w:rFonts w:asciiTheme="majorBidi" w:hAnsiTheme="majorBidi" w:cstheme="majorBidi"/>
        </w:rPr>
      </w:pPr>
      <w:r w:rsidRPr="007E07A6">
        <w:rPr>
          <w:rFonts w:asciiTheme="majorBidi" w:hAnsiTheme="majorBidi" w:cstheme="majorBidi"/>
          <w:noProof/>
        </w:rPr>
        <w:lastRenderedPageBreak/>
        <w:drawing>
          <wp:inline distT="0" distB="0" distL="0" distR="0" wp14:anchorId="0F69F82D" wp14:editId="6F628D91">
            <wp:extent cx="5238750" cy="3524250"/>
            <wp:effectExtent l="0" t="0" r="0" b="0"/>
            <wp:docPr id="267399451" name="regression_lines" descr="Regression lines for different lambda values" title="Regressi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524250"/>
                    </a:xfrm>
                    <a:prstGeom prst="rect">
                      <a:avLst/>
                    </a:prstGeom>
                  </pic:spPr>
                </pic:pic>
              </a:graphicData>
            </a:graphic>
          </wp:inline>
        </w:drawing>
      </w:r>
    </w:p>
    <w:p w14:paraId="2DD6416B" w14:textId="77777777" w:rsidR="007E79C3" w:rsidRPr="007E07A6" w:rsidRDefault="00000000">
      <w:pPr>
        <w:spacing w:after="200"/>
        <w:jc w:val="center"/>
        <w:rPr>
          <w:rFonts w:asciiTheme="majorBidi" w:hAnsiTheme="majorBidi" w:cstheme="majorBidi"/>
        </w:rPr>
      </w:pPr>
      <w:r w:rsidRPr="007E07A6">
        <w:rPr>
          <w:rFonts w:asciiTheme="majorBidi" w:hAnsiTheme="majorBidi" w:cstheme="majorBidi"/>
          <w:i/>
          <w:iCs/>
          <w:sz w:val="22"/>
          <w:szCs w:val="22"/>
        </w:rPr>
        <w:t>Figure 9: Ridge Regression Lines for Different λ Values (Weight vs MPG)</w:t>
      </w:r>
    </w:p>
    <w:p w14:paraId="0F986916" w14:textId="77777777" w:rsidR="007E79C3" w:rsidRPr="007E07A6" w:rsidRDefault="00000000">
      <w:pPr>
        <w:rPr>
          <w:rFonts w:asciiTheme="majorBidi" w:hAnsiTheme="majorBidi" w:cstheme="majorBidi"/>
        </w:rPr>
      </w:pPr>
      <w:r w:rsidRPr="007E07A6">
        <w:rPr>
          <w:rFonts w:asciiTheme="majorBidi" w:hAnsiTheme="majorBidi" w:cstheme="majorBidi"/>
        </w:rPr>
        <w:br w:type="page"/>
      </w:r>
    </w:p>
    <w:p w14:paraId="650421D8" w14:textId="77777777" w:rsidR="007E79C3" w:rsidRPr="007E07A6" w:rsidRDefault="00000000">
      <w:pPr>
        <w:pStyle w:val="Heading1"/>
        <w:rPr>
          <w:rFonts w:asciiTheme="majorBidi" w:hAnsiTheme="majorBidi" w:cstheme="majorBidi"/>
          <w:color w:val="auto"/>
        </w:rPr>
      </w:pPr>
      <w:r w:rsidRPr="007E07A6">
        <w:rPr>
          <w:rFonts w:asciiTheme="majorBidi" w:hAnsiTheme="majorBidi" w:cstheme="majorBidi"/>
          <w:color w:val="auto"/>
        </w:rPr>
        <w:lastRenderedPageBreak/>
        <w:t>8. Conclusions</w:t>
      </w:r>
    </w:p>
    <w:p w14:paraId="6A9345CA" w14:textId="77777777" w:rsidR="007E79C3" w:rsidRPr="007E07A6" w:rsidRDefault="00000000" w:rsidP="00AA4685">
      <w:pPr>
        <w:spacing w:after="200"/>
        <w:ind w:left="720"/>
        <w:rPr>
          <w:rFonts w:asciiTheme="majorBidi" w:hAnsiTheme="majorBidi" w:cstheme="majorBidi"/>
        </w:rPr>
      </w:pPr>
      <w:r w:rsidRPr="007E07A6">
        <w:rPr>
          <w:rFonts w:asciiTheme="majorBidi" w:hAnsiTheme="majorBidi" w:cstheme="majorBidi"/>
        </w:rPr>
        <w:t>This bonus section successfully implemented and analyzed Ridge Regression with SGD on the Auto MPG dataset. The key findings are:</w:t>
      </w:r>
    </w:p>
    <w:p w14:paraId="2EE94CEC" w14:textId="77777777" w:rsidR="007E79C3" w:rsidRPr="007E07A6" w:rsidRDefault="00000000" w:rsidP="000832E5">
      <w:pPr>
        <w:pStyle w:val="Heading2"/>
        <w:ind w:left="720"/>
        <w:rPr>
          <w:rFonts w:asciiTheme="majorBidi" w:hAnsiTheme="majorBidi" w:cstheme="majorBidi"/>
          <w:color w:val="auto"/>
        </w:rPr>
      </w:pPr>
      <w:r w:rsidRPr="007E07A6">
        <w:rPr>
          <w:rFonts w:asciiTheme="majorBidi" w:hAnsiTheme="majorBidi" w:cstheme="majorBidi"/>
          <w:color w:val="auto"/>
        </w:rPr>
        <w:t>8.1 Key Findings</w:t>
      </w:r>
    </w:p>
    <w:p w14:paraId="4738BAD9" w14:textId="77777777" w:rsidR="007E79C3" w:rsidRPr="007E07A6" w:rsidRDefault="00000000" w:rsidP="00B44764">
      <w:pPr>
        <w:spacing w:after="80"/>
        <w:ind w:left="1440"/>
        <w:rPr>
          <w:rFonts w:asciiTheme="majorBidi" w:hAnsiTheme="majorBidi" w:cstheme="majorBidi"/>
        </w:rPr>
      </w:pPr>
      <w:r w:rsidRPr="007E07A6">
        <w:rPr>
          <w:rFonts w:asciiTheme="majorBidi" w:hAnsiTheme="majorBidi" w:cstheme="majorBidi"/>
        </w:rPr>
        <w:t>1. Multicollinearity is significant in the dataset, with all VIF values above 5</w:t>
      </w:r>
    </w:p>
    <w:p w14:paraId="6664EAC0" w14:textId="77777777" w:rsidR="007E79C3" w:rsidRPr="007E07A6" w:rsidRDefault="00000000" w:rsidP="00B44764">
      <w:pPr>
        <w:spacing w:after="80"/>
        <w:ind w:left="1440"/>
        <w:rPr>
          <w:rFonts w:asciiTheme="majorBidi" w:hAnsiTheme="majorBidi" w:cstheme="majorBidi"/>
        </w:rPr>
      </w:pPr>
      <w:r w:rsidRPr="007E07A6">
        <w:rPr>
          <w:rFonts w:asciiTheme="majorBidi" w:hAnsiTheme="majorBidi" w:cstheme="majorBidi"/>
        </w:rPr>
        <w:t>2. Ridge Regression effectively shrinks coefficients and reduces variance</w:t>
      </w:r>
    </w:p>
    <w:p w14:paraId="488EB25F" w14:textId="77777777" w:rsidR="007E79C3" w:rsidRPr="007E07A6" w:rsidRDefault="00000000" w:rsidP="00B44764">
      <w:pPr>
        <w:spacing w:after="80"/>
        <w:ind w:left="1440"/>
        <w:rPr>
          <w:rFonts w:asciiTheme="majorBidi" w:hAnsiTheme="majorBidi" w:cstheme="majorBidi"/>
        </w:rPr>
      </w:pPr>
      <w:r w:rsidRPr="007E07A6">
        <w:rPr>
          <w:rFonts w:asciiTheme="majorBidi" w:hAnsiTheme="majorBidi" w:cstheme="majorBidi"/>
        </w:rPr>
        <w:t>3. For this dataset, λ = 0 achieved the best test MSE of 8.639029</w:t>
      </w:r>
    </w:p>
    <w:p w14:paraId="255DD28F" w14:textId="77777777" w:rsidR="007E79C3" w:rsidRPr="007E07A6" w:rsidRDefault="00000000" w:rsidP="00B44764">
      <w:pPr>
        <w:spacing w:after="80"/>
        <w:ind w:left="1440"/>
        <w:rPr>
          <w:rFonts w:asciiTheme="majorBidi" w:hAnsiTheme="majorBidi" w:cstheme="majorBidi"/>
        </w:rPr>
      </w:pPr>
      <w:r w:rsidRPr="007E07A6">
        <w:rPr>
          <w:rFonts w:asciiTheme="majorBidi" w:hAnsiTheme="majorBidi" w:cstheme="majorBidi"/>
        </w:rPr>
        <w:t xml:space="preserve">4. Higher λ values introduce </w:t>
      </w:r>
      <w:proofErr w:type="gramStart"/>
      <w:r w:rsidRPr="007E07A6">
        <w:rPr>
          <w:rFonts w:asciiTheme="majorBidi" w:hAnsiTheme="majorBidi" w:cstheme="majorBidi"/>
        </w:rPr>
        <w:t>bias</w:t>
      </w:r>
      <w:proofErr w:type="gramEnd"/>
      <w:r w:rsidRPr="007E07A6">
        <w:rPr>
          <w:rFonts w:asciiTheme="majorBidi" w:hAnsiTheme="majorBidi" w:cstheme="majorBidi"/>
        </w:rPr>
        <w:t xml:space="preserve"> that </w:t>
      </w:r>
      <w:proofErr w:type="gramStart"/>
      <w:r w:rsidRPr="007E07A6">
        <w:rPr>
          <w:rFonts w:asciiTheme="majorBidi" w:hAnsiTheme="majorBidi" w:cstheme="majorBidi"/>
        </w:rPr>
        <w:t>outweighs</w:t>
      </w:r>
      <w:proofErr w:type="gramEnd"/>
      <w:r w:rsidRPr="007E07A6">
        <w:rPr>
          <w:rFonts w:asciiTheme="majorBidi" w:hAnsiTheme="majorBidi" w:cstheme="majorBidi"/>
        </w:rPr>
        <w:t xml:space="preserve"> variance reduction benefits</w:t>
      </w:r>
    </w:p>
    <w:p w14:paraId="1B638EF2" w14:textId="77777777" w:rsidR="007E79C3" w:rsidRPr="007E07A6" w:rsidRDefault="00000000" w:rsidP="00B44764">
      <w:pPr>
        <w:spacing w:after="200"/>
        <w:ind w:left="1440"/>
        <w:rPr>
          <w:rFonts w:asciiTheme="majorBidi" w:hAnsiTheme="majorBidi" w:cstheme="majorBidi"/>
        </w:rPr>
      </w:pPr>
      <w:r w:rsidRPr="007E07A6">
        <w:rPr>
          <w:rFonts w:asciiTheme="majorBidi" w:hAnsiTheme="majorBidi" w:cstheme="majorBidi"/>
        </w:rPr>
        <w:t>5. SGD converges effectively for all λ values tested</w:t>
      </w:r>
    </w:p>
    <w:p w14:paraId="556F88F8" w14:textId="77777777" w:rsidR="007E79C3" w:rsidRPr="007E07A6" w:rsidRDefault="00000000" w:rsidP="00EF727E">
      <w:pPr>
        <w:pStyle w:val="Heading2"/>
        <w:ind w:firstLine="720"/>
        <w:rPr>
          <w:rFonts w:asciiTheme="majorBidi" w:hAnsiTheme="majorBidi" w:cstheme="majorBidi"/>
          <w:color w:val="auto"/>
        </w:rPr>
      </w:pPr>
      <w:r w:rsidRPr="007E07A6">
        <w:rPr>
          <w:rFonts w:asciiTheme="majorBidi" w:hAnsiTheme="majorBidi" w:cstheme="majorBidi"/>
          <w:color w:val="auto"/>
        </w:rPr>
        <w:t>8.2 Summary Results Table</w:t>
      </w:r>
    </w:p>
    <w:tbl>
      <w:tblPr>
        <w:tblStyle w:val="GridTable4"/>
        <w:tblW w:w="5000" w:type="pct"/>
        <w:tblLook w:val="04A0" w:firstRow="1" w:lastRow="0" w:firstColumn="1" w:lastColumn="0" w:noHBand="0" w:noVBand="1"/>
      </w:tblPr>
      <w:tblGrid>
        <w:gridCol w:w="2199"/>
        <w:gridCol w:w="1698"/>
        <w:gridCol w:w="1698"/>
        <w:gridCol w:w="1698"/>
        <w:gridCol w:w="2057"/>
      </w:tblGrid>
      <w:tr w:rsidR="007E07A6" w:rsidRPr="007E07A6" w14:paraId="6DC4CDF8" w14:textId="77777777" w:rsidTr="004275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2E66EA2" w14:textId="77777777" w:rsidR="007E79C3" w:rsidRPr="007E07A6" w:rsidRDefault="00000000">
            <w:pPr>
              <w:jc w:val="center"/>
              <w:rPr>
                <w:rFonts w:asciiTheme="majorBidi" w:hAnsiTheme="majorBidi" w:cstheme="majorBidi"/>
                <w:color w:val="auto"/>
              </w:rPr>
            </w:pPr>
            <w:r w:rsidRPr="007E07A6">
              <w:rPr>
                <w:rFonts w:asciiTheme="majorBidi" w:hAnsiTheme="majorBidi" w:cstheme="majorBidi"/>
                <w:color w:val="auto"/>
                <w:sz w:val="22"/>
                <w:szCs w:val="22"/>
              </w:rPr>
              <w:t>Metric</w:t>
            </w:r>
          </w:p>
        </w:tc>
        <w:tc>
          <w:tcPr>
            <w:tcW w:w="1700" w:type="dxa"/>
          </w:tcPr>
          <w:p w14:paraId="4D2EFCD7"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 = 0</w:t>
            </w:r>
          </w:p>
        </w:tc>
        <w:tc>
          <w:tcPr>
            <w:tcW w:w="1700" w:type="dxa"/>
          </w:tcPr>
          <w:p w14:paraId="1EA6A298"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 = 0.01</w:t>
            </w:r>
          </w:p>
        </w:tc>
        <w:tc>
          <w:tcPr>
            <w:tcW w:w="1700" w:type="dxa"/>
          </w:tcPr>
          <w:p w14:paraId="79B85691"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 = 0.1</w:t>
            </w:r>
          </w:p>
        </w:tc>
        <w:tc>
          <w:tcPr>
            <w:tcW w:w="2060" w:type="dxa"/>
          </w:tcPr>
          <w:p w14:paraId="2FDDDF1B" w14:textId="77777777" w:rsidR="007E79C3" w:rsidRPr="007E07A6"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auto"/>
              </w:rPr>
            </w:pPr>
            <w:r w:rsidRPr="007E07A6">
              <w:rPr>
                <w:rFonts w:asciiTheme="majorBidi" w:hAnsiTheme="majorBidi" w:cstheme="majorBidi"/>
                <w:color w:val="auto"/>
                <w:sz w:val="22"/>
                <w:szCs w:val="22"/>
              </w:rPr>
              <w:t>λ = 1</w:t>
            </w:r>
          </w:p>
        </w:tc>
      </w:tr>
      <w:tr w:rsidR="007E07A6" w:rsidRPr="007E07A6" w14:paraId="6BB91835" w14:textId="77777777" w:rsidTr="004275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21EA805"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Test MSE</w:t>
            </w:r>
          </w:p>
        </w:tc>
        <w:tc>
          <w:tcPr>
            <w:tcW w:w="1700" w:type="dxa"/>
          </w:tcPr>
          <w:p w14:paraId="5D208448"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8.6390</w:t>
            </w:r>
          </w:p>
        </w:tc>
        <w:tc>
          <w:tcPr>
            <w:tcW w:w="1700" w:type="dxa"/>
          </w:tcPr>
          <w:p w14:paraId="437FAE6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8.6467</w:t>
            </w:r>
          </w:p>
        </w:tc>
        <w:tc>
          <w:tcPr>
            <w:tcW w:w="1700" w:type="dxa"/>
          </w:tcPr>
          <w:p w14:paraId="14525CA5"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8.6562</w:t>
            </w:r>
          </w:p>
        </w:tc>
        <w:tc>
          <w:tcPr>
            <w:tcW w:w="2060" w:type="dxa"/>
          </w:tcPr>
          <w:p w14:paraId="36B8D466"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9.2005</w:t>
            </w:r>
          </w:p>
        </w:tc>
      </w:tr>
      <w:tr w:rsidR="007E07A6" w:rsidRPr="007E07A6" w14:paraId="22D97513" w14:textId="77777777" w:rsidTr="00427533">
        <w:tc>
          <w:tcPr>
            <w:cnfStyle w:val="001000000000" w:firstRow="0" w:lastRow="0" w:firstColumn="1" w:lastColumn="0" w:oddVBand="0" w:evenVBand="0" w:oddHBand="0" w:evenHBand="0" w:firstRowFirstColumn="0" w:firstRowLastColumn="0" w:lastRowFirstColumn="0" w:lastRowLastColumn="0"/>
            <w:tcW w:w="2200" w:type="dxa"/>
          </w:tcPr>
          <w:p w14:paraId="36E28A36"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Coef. L2-Norm</w:t>
            </w:r>
          </w:p>
        </w:tc>
        <w:tc>
          <w:tcPr>
            <w:tcW w:w="1700" w:type="dxa"/>
          </w:tcPr>
          <w:p w14:paraId="2BDD154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4.6157</w:t>
            </w:r>
          </w:p>
        </w:tc>
        <w:tc>
          <w:tcPr>
            <w:tcW w:w="1700" w:type="dxa"/>
          </w:tcPr>
          <w:p w14:paraId="5B853E12"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4.4474</w:t>
            </w:r>
          </w:p>
        </w:tc>
        <w:tc>
          <w:tcPr>
            <w:tcW w:w="1700" w:type="dxa"/>
          </w:tcPr>
          <w:p w14:paraId="21AB221D"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3.8683</w:t>
            </w:r>
          </w:p>
        </w:tc>
        <w:tc>
          <w:tcPr>
            <w:tcW w:w="2060" w:type="dxa"/>
          </w:tcPr>
          <w:p w14:paraId="3D4889C1"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2.7834</w:t>
            </w:r>
          </w:p>
        </w:tc>
      </w:tr>
      <w:tr w:rsidR="007E07A6" w:rsidRPr="007E07A6" w14:paraId="1110ACFA" w14:textId="77777777" w:rsidTr="004275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B6D2A14"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Coef. Variance</w:t>
            </w:r>
          </w:p>
        </w:tc>
        <w:tc>
          <w:tcPr>
            <w:tcW w:w="1700" w:type="dxa"/>
          </w:tcPr>
          <w:p w14:paraId="75F40260"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2.2962</w:t>
            </w:r>
          </w:p>
        </w:tc>
        <w:tc>
          <w:tcPr>
            <w:tcW w:w="1700" w:type="dxa"/>
          </w:tcPr>
          <w:p w14:paraId="2D0C1729"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1.8289</w:t>
            </w:r>
          </w:p>
        </w:tc>
        <w:tc>
          <w:tcPr>
            <w:tcW w:w="1700" w:type="dxa"/>
          </w:tcPr>
          <w:p w14:paraId="43E14427"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0.5372</w:t>
            </w:r>
          </w:p>
        </w:tc>
        <w:tc>
          <w:tcPr>
            <w:tcW w:w="2060" w:type="dxa"/>
          </w:tcPr>
          <w:p w14:paraId="34007837" w14:textId="77777777" w:rsidR="007E79C3" w:rsidRPr="007E07A6" w:rsidRDefault="0000000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0.0458</w:t>
            </w:r>
          </w:p>
        </w:tc>
      </w:tr>
      <w:tr w:rsidR="007E07A6" w:rsidRPr="007E07A6" w14:paraId="2CE4018A" w14:textId="77777777" w:rsidTr="00427533">
        <w:tc>
          <w:tcPr>
            <w:cnfStyle w:val="001000000000" w:firstRow="0" w:lastRow="0" w:firstColumn="1" w:lastColumn="0" w:oddVBand="0" w:evenVBand="0" w:oddHBand="0" w:evenHBand="0" w:firstRowFirstColumn="0" w:firstRowLastColumn="0" w:lastRowFirstColumn="0" w:lastRowLastColumn="0"/>
            <w:tcW w:w="2200" w:type="dxa"/>
          </w:tcPr>
          <w:p w14:paraId="47C8A1E0" w14:textId="77777777" w:rsidR="007E79C3" w:rsidRPr="007E07A6" w:rsidRDefault="00000000">
            <w:pPr>
              <w:jc w:val="center"/>
              <w:rPr>
                <w:rFonts w:asciiTheme="majorBidi" w:hAnsiTheme="majorBidi" w:cstheme="majorBidi"/>
              </w:rPr>
            </w:pPr>
            <w:r w:rsidRPr="007E07A6">
              <w:rPr>
                <w:rFonts w:asciiTheme="majorBidi" w:hAnsiTheme="majorBidi" w:cstheme="majorBidi"/>
                <w:sz w:val="22"/>
                <w:szCs w:val="22"/>
              </w:rPr>
              <w:t>Convergence Epoch</w:t>
            </w:r>
          </w:p>
        </w:tc>
        <w:tc>
          <w:tcPr>
            <w:tcW w:w="1700" w:type="dxa"/>
          </w:tcPr>
          <w:p w14:paraId="76F6EAE9"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140</w:t>
            </w:r>
          </w:p>
        </w:tc>
        <w:tc>
          <w:tcPr>
            <w:tcW w:w="1700" w:type="dxa"/>
          </w:tcPr>
          <w:p w14:paraId="799ED2FE"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57</w:t>
            </w:r>
          </w:p>
        </w:tc>
        <w:tc>
          <w:tcPr>
            <w:tcW w:w="1700" w:type="dxa"/>
          </w:tcPr>
          <w:p w14:paraId="5D115F45"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61</w:t>
            </w:r>
          </w:p>
        </w:tc>
        <w:tc>
          <w:tcPr>
            <w:tcW w:w="2060" w:type="dxa"/>
          </w:tcPr>
          <w:p w14:paraId="7E80C3C9" w14:textId="77777777" w:rsidR="007E79C3" w:rsidRPr="007E07A6" w:rsidRDefault="0000000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E07A6">
              <w:rPr>
                <w:rFonts w:asciiTheme="majorBidi" w:hAnsiTheme="majorBidi" w:cstheme="majorBidi"/>
                <w:sz w:val="22"/>
                <w:szCs w:val="22"/>
              </w:rPr>
              <w:t>2</w:t>
            </w:r>
          </w:p>
        </w:tc>
      </w:tr>
    </w:tbl>
    <w:p w14:paraId="421BC700" w14:textId="77777777" w:rsidR="007E79C3" w:rsidRPr="007E07A6" w:rsidRDefault="00000000" w:rsidP="009F23FD">
      <w:pPr>
        <w:pStyle w:val="Heading2"/>
        <w:spacing w:before="400"/>
        <w:ind w:firstLine="720"/>
        <w:rPr>
          <w:rFonts w:asciiTheme="majorBidi" w:hAnsiTheme="majorBidi" w:cstheme="majorBidi"/>
          <w:color w:val="auto"/>
        </w:rPr>
      </w:pPr>
      <w:r w:rsidRPr="007E07A6">
        <w:rPr>
          <w:rFonts w:asciiTheme="majorBidi" w:hAnsiTheme="majorBidi" w:cstheme="majorBidi"/>
          <w:color w:val="auto"/>
        </w:rPr>
        <w:t>8.3 Recommendations</w:t>
      </w:r>
    </w:p>
    <w:p w14:paraId="3EAE29DC" w14:textId="77777777" w:rsidR="007E79C3" w:rsidRPr="007E07A6" w:rsidRDefault="00000000" w:rsidP="00C10052">
      <w:pPr>
        <w:spacing w:after="80"/>
        <w:ind w:left="1440"/>
        <w:rPr>
          <w:rFonts w:asciiTheme="majorBidi" w:hAnsiTheme="majorBidi" w:cstheme="majorBidi"/>
        </w:rPr>
      </w:pPr>
      <w:r w:rsidRPr="007E07A6">
        <w:rPr>
          <w:rFonts w:asciiTheme="majorBidi" w:hAnsiTheme="majorBidi" w:cstheme="majorBidi"/>
        </w:rPr>
        <w:t>•  Use k-fold cross-validation for robust λ selection in production environments</w:t>
      </w:r>
    </w:p>
    <w:p w14:paraId="3A88B51D" w14:textId="77777777" w:rsidR="007E79C3" w:rsidRPr="007E07A6" w:rsidRDefault="00000000" w:rsidP="00C10052">
      <w:pPr>
        <w:spacing w:after="80"/>
        <w:ind w:left="1440"/>
        <w:rPr>
          <w:rFonts w:asciiTheme="majorBidi" w:hAnsiTheme="majorBidi" w:cstheme="majorBidi"/>
        </w:rPr>
      </w:pPr>
      <w:r w:rsidRPr="007E07A6">
        <w:rPr>
          <w:rFonts w:asciiTheme="majorBidi" w:hAnsiTheme="majorBidi" w:cstheme="majorBidi"/>
        </w:rPr>
        <w:t>•  Consider Grid Search or Bayesian Optimization for hyperparameter tuning</w:t>
      </w:r>
    </w:p>
    <w:p w14:paraId="2998EB5C" w14:textId="77777777" w:rsidR="007E79C3" w:rsidRPr="007E07A6" w:rsidRDefault="00000000" w:rsidP="00C10052">
      <w:pPr>
        <w:spacing w:after="80"/>
        <w:ind w:left="1440"/>
        <w:rPr>
          <w:rFonts w:asciiTheme="majorBidi" w:hAnsiTheme="majorBidi" w:cstheme="majorBidi"/>
        </w:rPr>
      </w:pPr>
      <w:r w:rsidRPr="007E07A6">
        <w:rPr>
          <w:rFonts w:asciiTheme="majorBidi" w:hAnsiTheme="majorBidi" w:cstheme="majorBidi"/>
        </w:rPr>
        <w:t>•  Monitor both training and test metrics to detect overfitting/underfitting</w:t>
      </w:r>
    </w:p>
    <w:p w14:paraId="47CB40F3" w14:textId="57FB5CE1" w:rsidR="007E79C3" w:rsidRPr="007E07A6" w:rsidRDefault="00000000" w:rsidP="00C10052">
      <w:pPr>
        <w:spacing w:after="200"/>
        <w:ind w:left="1440"/>
        <w:rPr>
          <w:rFonts w:asciiTheme="majorBidi" w:hAnsiTheme="majorBidi" w:cstheme="majorBidi"/>
        </w:rPr>
      </w:pPr>
      <w:r w:rsidRPr="007E07A6">
        <w:rPr>
          <w:rFonts w:asciiTheme="majorBidi" w:hAnsiTheme="majorBidi" w:cstheme="majorBidi"/>
        </w:rPr>
        <w:t>•  Apply feature selection or dimensionality reduction if multicollinearity remains problematic</w:t>
      </w:r>
    </w:p>
    <w:sectPr w:rsidR="007E79C3" w:rsidRPr="007E07A6" w:rsidSect="008D4710">
      <w:headerReference w:type="default" r:id="rId17"/>
      <w:footerReference w:type="default" r:id="rId1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3A452" w14:textId="77777777" w:rsidR="00A55135" w:rsidRDefault="00A55135">
      <w:r>
        <w:separator/>
      </w:r>
    </w:p>
  </w:endnote>
  <w:endnote w:type="continuationSeparator" w:id="0">
    <w:p w14:paraId="3F591B33" w14:textId="77777777" w:rsidR="00A55135" w:rsidRDefault="00A55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FAD9D" w14:textId="77777777" w:rsidR="007E79C3"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E7BA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16D1" w14:textId="77777777" w:rsidR="00A55135" w:rsidRDefault="00A55135">
      <w:r>
        <w:separator/>
      </w:r>
    </w:p>
  </w:footnote>
  <w:footnote w:type="continuationSeparator" w:id="0">
    <w:p w14:paraId="46391B0C" w14:textId="77777777" w:rsidR="00A55135" w:rsidRDefault="00A55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7DAF" w14:textId="616FC390" w:rsidR="007E79C3" w:rsidRDefault="007E79C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202B9"/>
    <w:multiLevelType w:val="hybridMultilevel"/>
    <w:tmpl w:val="9B1CF872"/>
    <w:lvl w:ilvl="0" w:tplc="FA5C4B9E">
      <w:start w:val="1"/>
      <w:numFmt w:val="bullet"/>
      <w:lvlText w:val="●"/>
      <w:lvlJc w:val="left"/>
      <w:pPr>
        <w:ind w:left="720" w:hanging="360"/>
      </w:pPr>
    </w:lvl>
    <w:lvl w:ilvl="1" w:tplc="76CE483A">
      <w:start w:val="1"/>
      <w:numFmt w:val="bullet"/>
      <w:lvlText w:val="○"/>
      <w:lvlJc w:val="left"/>
      <w:pPr>
        <w:ind w:left="1440" w:hanging="360"/>
      </w:pPr>
    </w:lvl>
    <w:lvl w:ilvl="2" w:tplc="6D6EA552">
      <w:start w:val="1"/>
      <w:numFmt w:val="bullet"/>
      <w:lvlText w:val="■"/>
      <w:lvlJc w:val="left"/>
      <w:pPr>
        <w:ind w:left="2160" w:hanging="360"/>
      </w:pPr>
    </w:lvl>
    <w:lvl w:ilvl="3" w:tplc="B9AEFEEA">
      <w:start w:val="1"/>
      <w:numFmt w:val="bullet"/>
      <w:lvlText w:val="●"/>
      <w:lvlJc w:val="left"/>
      <w:pPr>
        <w:ind w:left="2880" w:hanging="360"/>
      </w:pPr>
    </w:lvl>
    <w:lvl w:ilvl="4" w:tplc="1CAEA71E">
      <w:start w:val="1"/>
      <w:numFmt w:val="bullet"/>
      <w:lvlText w:val="○"/>
      <w:lvlJc w:val="left"/>
      <w:pPr>
        <w:ind w:left="3600" w:hanging="360"/>
      </w:pPr>
    </w:lvl>
    <w:lvl w:ilvl="5" w:tplc="A342BAEA">
      <w:start w:val="1"/>
      <w:numFmt w:val="bullet"/>
      <w:lvlText w:val="■"/>
      <w:lvlJc w:val="left"/>
      <w:pPr>
        <w:ind w:left="4320" w:hanging="360"/>
      </w:pPr>
    </w:lvl>
    <w:lvl w:ilvl="6" w:tplc="3A065E2A">
      <w:start w:val="1"/>
      <w:numFmt w:val="bullet"/>
      <w:lvlText w:val="●"/>
      <w:lvlJc w:val="left"/>
      <w:pPr>
        <w:ind w:left="5040" w:hanging="360"/>
      </w:pPr>
    </w:lvl>
    <w:lvl w:ilvl="7" w:tplc="C90432F2">
      <w:start w:val="1"/>
      <w:numFmt w:val="bullet"/>
      <w:lvlText w:val="●"/>
      <w:lvlJc w:val="left"/>
      <w:pPr>
        <w:ind w:left="5760" w:hanging="360"/>
      </w:pPr>
    </w:lvl>
    <w:lvl w:ilvl="8" w:tplc="CC6A7FAE">
      <w:start w:val="1"/>
      <w:numFmt w:val="bullet"/>
      <w:lvlText w:val="●"/>
      <w:lvlJc w:val="left"/>
      <w:pPr>
        <w:ind w:left="6480" w:hanging="360"/>
      </w:pPr>
    </w:lvl>
  </w:abstractNum>
  <w:num w:numId="1" w16cid:durableId="133719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9C3"/>
    <w:rsid w:val="000107AF"/>
    <w:rsid w:val="00031406"/>
    <w:rsid w:val="0005098C"/>
    <w:rsid w:val="000832E5"/>
    <w:rsid w:val="00085F92"/>
    <w:rsid w:val="00197B17"/>
    <w:rsid w:val="00216E4F"/>
    <w:rsid w:val="002475BA"/>
    <w:rsid w:val="002565EB"/>
    <w:rsid w:val="0026072F"/>
    <w:rsid w:val="002A2BD7"/>
    <w:rsid w:val="00306148"/>
    <w:rsid w:val="003514FA"/>
    <w:rsid w:val="00382659"/>
    <w:rsid w:val="00394241"/>
    <w:rsid w:val="00427533"/>
    <w:rsid w:val="00433B7D"/>
    <w:rsid w:val="004E7A42"/>
    <w:rsid w:val="004F436E"/>
    <w:rsid w:val="00512F1B"/>
    <w:rsid w:val="00516FE4"/>
    <w:rsid w:val="00522E38"/>
    <w:rsid w:val="00575B44"/>
    <w:rsid w:val="00591D06"/>
    <w:rsid w:val="005A0F02"/>
    <w:rsid w:val="005B110A"/>
    <w:rsid w:val="006468D6"/>
    <w:rsid w:val="0066740F"/>
    <w:rsid w:val="007457EE"/>
    <w:rsid w:val="007974C5"/>
    <w:rsid w:val="007E07A6"/>
    <w:rsid w:val="007E79C3"/>
    <w:rsid w:val="007E7BA9"/>
    <w:rsid w:val="0081268C"/>
    <w:rsid w:val="00813E43"/>
    <w:rsid w:val="008237E5"/>
    <w:rsid w:val="008D4710"/>
    <w:rsid w:val="0090649F"/>
    <w:rsid w:val="00933E9B"/>
    <w:rsid w:val="009516E3"/>
    <w:rsid w:val="009A1A83"/>
    <w:rsid w:val="009A2997"/>
    <w:rsid w:val="009A4982"/>
    <w:rsid w:val="009F23FD"/>
    <w:rsid w:val="00A55135"/>
    <w:rsid w:val="00AA4685"/>
    <w:rsid w:val="00AB202E"/>
    <w:rsid w:val="00B41941"/>
    <w:rsid w:val="00B44764"/>
    <w:rsid w:val="00BA6401"/>
    <w:rsid w:val="00BA723E"/>
    <w:rsid w:val="00C10052"/>
    <w:rsid w:val="00C53C7E"/>
    <w:rsid w:val="00C53C95"/>
    <w:rsid w:val="00C71594"/>
    <w:rsid w:val="00CE7D0C"/>
    <w:rsid w:val="00D30120"/>
    <w:rsid w:val="00D35960"/>
    <w:rsid w:val="00D40392"/>
    <w:rsid w:val="00D93EF9"/>
    <w:rsid w:val="00DE7EFC"/>
    <w:rsid w:val="00E33BA9"/>
    <w:rsid w:val="00E94738"/>
    <w:rsid w:val="00EF727E"/>
    <w:rsid w:val="00F32130"/>
    <w:rsid w:val="00FD0121"/>
    <w:rsid w:val="00FD0F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2B8E"/>
  <w15:docId w15:val="{62D64B94-683F-47E0-9525-A7EEB42E7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3E50"/>
      <w:sz w:val="36"/>
      <w:szCs w:val="36"/>
    </w:rPr>
  </w:style>
  <w:style w:type="paragraph" w:styleId="Heading2">
    <w:name w:val="heading 2"/>
    <w:uiPriority w:val="9"/>
    <w:unhideWhenUsed/>
    <w:qFormat/>
    <w:pPr>
      <w:spacing w:before="280" w:after="160"/>
      <w:outlineLvl w:val="1"/>
    </w:pPr>
    <w:rPr>
      <w:b/>
      <w:bCs/>
      <w:color w:val="34495E"/>
      <w:sz w:val="30"/>
      <w:szCs w:val="30"/>
    </w:rPr>
  </w:style>
  <w:style w:type="paragraph" w:styleId="Heading3">
    <w:name w:val="heading 3"/>
    <w:uiPriority w:val="9"/>
    <w:unhideWhenUsed/>
    <w:qFormat/>
    <w:pPr>
      <w:spacing w:before="200" w:after="120"/>
      <w:outlineLvl w:val="2"/>
    </w:pPr>
    <w:rPr>
      <w:b/>
      <w:bCs/>
      <w:color w:val="5D6D7E"/>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CE7D0C"/>
    <w:rPr>
      <w:sz w:val="56"/>
      <w:szCs w:val="56"/>
    </w:rPr>
  </w:style>
  <w:style w:type="paragraph" w:styleId="Header">
    <w:name w:val="header"/>
    <w:basedOn w:val="Normal"/>
    <w:link w:val="HeaderChar"/>
    <w:uiPriority w:val="99"/>
    <w:unhideWhenUsed/>
    <w:rsid w:val="008D4710"/>
    <w:pPr>
      <w:tabs>
        <w:tab w:val="center" w:pos="4680"/>
        <w:tab w:val="right" w:pos="9360"/>
      </w:tabs>
    </w:pPr>
  </w:style>
  <w:style w:type="character" w:customStyle="1" w:styleId="HeaderChar">
    <w:name w:val="Header Char"/>
    <w:basedOn w:val="DefaultParagraphFont"/>
    <w:link w:val="Header"/>
    <w:uiPriority w:val="99"/>
    <w:rsid w:val="008D4710"/>
  </w:style>
  <w:style w:type="paragraph" w:styleId="Footer">
    <w:name w:val="footer"/>
    <w:basedOn w:val="Normal"/>
    <w:link w:val="FooterChar"/>
    <w:uiPriority w:val="99"/>
    <w:unhideWhenUsed/>
    <w:rsid w:val="008D4710"/>
    <w:pPr>
      <w:tabs>
        <w:tab w:val="center" w:pos="4680"/>
        <w:tab w:val="right" w:pos="9360"/>
      </w:tabs>
    </w:pPr>
  </w:style>
  <w:style w:type="character" w:customStyle="1" w:styleId="FooterChar">
    <w:name w:val="Footer Char"/>
    <w:basedOn w:val="DefaultParagraphFont"/>
    <w:link w:val="Footer"/>
    <w:uiPriority w:val="99"/>
    <w:rsid w:val="008D4710"/>
  </w:style>
  <w:style w:type="table" w:styleId="GridTable4">
    <w:name w:val="Grid Table 4"/>
    <w:basedOn w:val="TableNormal"/>
    <w:uiPriority w:val="49"/>
    <w:rsid w:val="002475B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B419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1699</Words>
  <Characters>9687</Characters>
  <Application>Microsoft Office Word</Application>
  <DocSecurity>0</DocSecurity>
  <Lines>80</Lines>
  <Paragraphs>22</Paragraphs>
  <ScaleCrop>false</ScaleCrop>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Z</cp:lastModifiedBy>
  <cp:revision>65</cp:revision>
  <dcterms:created xsi:type="dcterms:W3CDTF">2026-01-06T07:31:00Z</dcterms:created>
  <dcterms:modified xsi:type="dcterms:W3CDTF">2026-01-06T07:48:00Z</dcterms:modified>
</cp:coreProperties>
</file>