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Bidi" w:hAnsiTheme="majorBidi" w:cstheme="majorBidi"/>
        </w:rPr>
        <w:alias w:val="Table of Contents"/>
        <w:id w:val="-129021174"/>
        <w:showingPlcHdr/>
      </w:sdtPr>
      <w:sdtContent>
        <w:p w14:paraId="1C6E9388" w14:textId="7D0B5A96" w:rsidR="00666510" w:rsidRPr="007F71FD" w:rsidRDefault="00F31246" w:rsidP="00F31246">
          <w:pPr>
            <w:rPr>
              <w:rFonts w:asciiTheme="majorBidi" w:hAnsiTheme="majorBidi" w:cstheme="majorBidi"/>
            </w:rPr>
          </w:pPr>
          <w:r w:rsidRPr="007F71FD">
            <w:rPr>
              <w:rFonts w:asciiTheme="majorBidi" w:hAnsiTheme="majorBidi" w:cstheme="majorBidi"/>
            </w:rPr>
            <w:t xml:space="preserve">     </w:t>
          </w:r>
        </w:p>
      </w:sdtContent>
    </w:sdt>
    <w:p w14:paraId="1F6DC81D" w14:textId="77777777" w:rsidR="00F31246" w:rsidRPr="007F71FD" w:rsidRDefault="00F31246" w:rsidP="00F31246">
      <w:pPr>
        <w:pStyle w:val="Title"/>
        <w:spacing w:before="240" w:after="360"/>
        <w:jc w:val="center"/>
        <w:rPr>
          <w:rFonts w:asciiTheme="majorBidi" w:eastAsia="Times New Roman" w:hAnsiTheme="majorBidi" w:cstheme="majorBidi"/>
          <w:b/>
          <w:bCs/>
          <w:sz w:val="48"/>
          <w:szCs w:val="48"/>
        </w:rPr>
      </w:pPr>
      <w:r w:rsidRPr="007F71FD">
        <w:rPr>
          <w:rFonts w:asciiTheme="majorBidi" w:eastAsia="Times New Roman" w:hAnsiTheme="majorBidi" w:cstheme="majorBidi"/>
          <w:b/>
          <w:bCs/>
          <w:sz w:val="48"/>
          <w:szCs w:val="48"/>
        </w:rPr>
        <w:t>In the Name of God</w:t>
      </w:r>
    </w:p>
    <w:p w14:paraId="51A2C77E" w14:textId="77777777" w:rsidR="00F31246" w:rsidRPr="007F71FD" w:rsidRDefault="00F31246" w:rsidP="00F31246">
      <w:pPr>
        <w:rPr>
          <w:rFonts w:asciiTheme="majorBidi" w:hAnsiTheme="majorBidi" w:cstheme="majorBidi"/>
          <w:b/>
          <w:bCs/>
          <w:sz w:val="56"/>
          <w:szCs w:val="56"/>
        </w:rPr>
      </w:pPr>
    </w:p>
    <w:p w14:paraId="6CCC0722" w14:textId="77777777" w:rsidR="00F31246" w:rsidRPr="007F71FD" w:rsidRDefault="00F31246" w:rsidP="00F31246">
      <w:pPr>
        <w:rPr>
          <w:rFonts w:asciiTheme="majorBidi" w:hAnsiTheme="majorBidi" w:cstheme="majorBidi"/>
          <w:b/>
          <w:bCs/>
          <w:sz w:val="56"/>
          <w:szCs w:val="56"/>
        </w:rPr>
      </w:pPr>
    </w:p>
    <w:p w14:paraId="6A3AA5CD" w14:textId="77777777" w:rsidR="00F31246" w:rsidRPr="007F71FD" w:rsidRDefault="00F31246" w:rsidP="00F31246">
      <w:pPr>
        <w:jc w:val="center"/>
        <w:rPr>
          <w:rFonts w:asciiTheme="majorBidi" w:hAnsiTheme="majorBidi" w:cstheme="majorBidi"/>
          <w:b/>
          <w:bCs/>
          <w:sz w:val="56"/>
          <w:szCs w:val="56"/>
        </w:rPr>
      </w:pPr>
      <w:r w:rsidRPr="007F71FD">
        <w:rPr>
          <w:rFonts w:asciiTheme="majorBidi" w:hAnsiTheme="majorBidi" w:cstheme="majorBidi"/>
          <w:b/>
          <w:bCs/>
          <w:noProof/>
          <w:sz w:val="56"/>
          <w:szCs w:val="56"/>
        </w:rPr>
        <w:drawing>
          <wp:inline distT="0" distB="0" distL="0" distR="0" wp14:anchorId="774B5512" wp14:editId="200B8218">
            <wp:extent cx="3550920" cy="3665220"/>
            <wp:effectExtent l="0" t="0" r="0" b="0"/>
            <wp:docPr id="1646923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50920" cy="3665220"/>
                    </a:xfrm>
                    <a:prstGeom prst="rect">
                      <a:avLst/>
                    </a:prstGeom>
                    <a:noFill/>
                    <a:ln>
                      <a:noFill/>
                    </a:ln>
                  </pic:spPr>
                </pic:pic>
              </a:graphicData>
            </a:graphic>
          </wp:inline>
        </w:drawing>
      </w:r>
    </w:p>
    <w:p w14:paraId="66F78C73" w14:textId="77777777" w:rsidR="00F31246" w:rsidRPr="007F71FD" w:rsidRDefault="00F31246" w:rsidP="00F31246">
      <w:pPr>
        <w:rPr>
          <w:rFonts w:asciiTheme="majorBidi" w:hAnsiTheme="majorBidi" w:cstheme="majorBidi"/>
          <w:b/>
          <w:bCs/>
          <w:sz w:val="56"/>
          <w:szCs w:val="56"/>
        </w:rPr>
      </w:pPr>
    </w:p>
    <w:p w14:paraId="41D415F5" w14:textId="77777777" w:rsidR="00F31246" w:rsidRPr="007F71FD" w:rsidRDefault="00F31246" w:rsidP="00F31246">
      <w:pPr>
        <w:pStyle w:val="Title"/>
        <w:spacing w:before="240" w:after="360"/>
        <w:jc w:val="center"/>
        <w:rPr>
          <w:rFonts w:asciiTheme="majorBidi" w:eastAsia="Times New Roman" w:hAnsiTheme="majorBidi" w:cstheme="majorBidi"/>
          <w:b/>
          <w:bCs/>
          <w:sz w:val="48"/>
          <w:szCs w:val="48"/>
        </w:rPr>
      </w:pPr>
      <w:r w:rsidRPr="007F71FD">
        <w:rPr>
          <w:rFonts w:asciiTheme="majorBidi" w:eastAsia="Times New Roman" w:hAnsiTheme="majorBidi" w:cstheme="majorBidi"/>
          <w:b/>
          <w:bCs/>
          <w:sz w:val="48"/>
          <w:szCs w:val="48"/>
        </w:rPr>
        <w:t>Navid Zare</w:t>
      </w:r>
    </w:p>
    <w:p w14:paraId="005B2D5A" w14:textId="77777777" w:rsidR="00F31246" w:rsidRPr="007F71FD" w:rsidRDefault="00F31246" w:rsidP="00F31246">
      <w:pPr>
        <w:pStyle w:val="Title"/>
        <w:spacing w:before="240" w:after="360"/>
        <w:jc w:val="center"/>
        <w:rPr>
          <w:rFonts w:asciiTheme="majorBidi" w:eastAsia="Times New Roman" w:hAnsiTheme="majorBidi" w:cstheme="majorBidi"/>
          <w:b/>
          <w:bCs/>
          <w:sz w:val="48"/>
          <w:szCs w:val="48"/>
        </w:rPr>
      </w:pPr>
      <w:r w:rsidRPr="007F71FD">
        <w:rPr>
          <w:rFonts w:asciiTheme="majorBidi" w:eastAsia="Times New Roman" w:hAnsiTheme="majorBidi" w:cstheme="majorBidi"/>
          <w:b/>
          <w:bCs/>
          <w:sz w:val="48"/>
          <w:szCs w:val="48"/>
        </w:rPr>
        <w:t>40435071</w:t>
      </w:r>
    </w:p>
    <w:p w14:paraId="44E784E6" w14:textId="77777777" w:rsidR="00F31246" w:rsidRPr="007F71FD" w:rsidRDefault="00F31246" w:rsidP="00F31246">
      <w:pPr>
        <w:rPr>
          <w:rFonts w:asciiTheme="majorBidi" w:hAnsiTheme="majorBidi" w:cstheme="majorBidi"/>
          <w:b/>
          <w:bCs/>
          <w:sz w:val="56"/>
          <w:szCs w:val="56"/>
        </w:rPr>
      </w:pPr>
    </w:p>
    <w:p w14:paraId="00E25609" w14:textId="77777777" w:rsidR="00F31246" w:rsidRPr="007F71FD" w:rsidRDefault="00F31246" w:rsidP="00F31246">
      <w:pPr>
        <w:bidi/>
        <w:jc w:val="center"/>
        <w:rPr>
          <w:rFonts w:asciiTheme="majorBidi" w:eastAsia="Times New Roman" w:hAnsiTheme="majorBidi" w:cstheme="majorBidi"/>
          <w:i/>
          <w:iCs/>
          <w:sz w:val="24"/>
          <w:szCs w:val="24"/>
        </w:rPr>
      </w:pPr>
      <w:r w:rsidRPr="007F71FD">
        <w:rPr>
          <w:rFonts w:asciiTheme="majorBidi" w:eastAsia="Times New Roman" w:hAnsiTheme="majorBidi" w:cstheme="majorBidi"/>
          <w:i/>
          <w:iCs/>
          <w:sz w:val="24"/>
          <w:szCs w:val="24"/>
        </w:rPr>
        <w:t>Statistical Pattern Recognition</w:t>
      </w:r>
    </w:p>
    <w:p w14:paraId="591E7DE7" w14:textId="3518FC2F" w:rsidR="00666510" w:rsidRPr="007F71FD" w:rsidRDefault="00F31246" w:rsidP="00F31246">
      <w:pPr>
        <w:jc w:val="center"/>
        <w:rPr>
          <w:rFonts w:asciiTheme="majorBidi" w:hAnsiTheme="majorBidi" w:cstheme="majorBidi"/>
        </w:rPr>
        <w:sectPr w:rsidR="00666510" w:rsidRPr="007F71FD" w:rsidSect="00F31246">
          <w:headerReference w:type="default" r:id="rId8"/>
          <w:footerReference w:type="default" r:id="rId9"/>
          <w:pgSz w:w="12240" w:h="15840"/>
          <w:pgMar w:top="1440" w:right="1440" w:bottom="1440" w:left="1440" w:header="708" w:footer="708" w:gutter="0"/>
          <w:cols w:space="720"/>
          <w:titlePg/>
          <w:docGrid w:linePitch="360"/>
        </w:sectPr>
      </w:pPr>
      <w:r w:rsidRPr="007F71FD">
        <w:rPr>
          <w:rFonts w:asciiTheme="majorBidi" w:eastAsia="Times New Roman" w:hAnsiTheme="majorBidi" w:cstheme="majorBidi"/>
          <w:i/>
          <w:iCs/>
          <w:sz w:val="24"/>
          <w:szCs w:val="24"/>
        </w:rPr>
        <w:t>Bayesian Classification &amp; Dimensionality Reduction</w:t>
      </w:r>
    </w:p>
    <w:p w14:paraId="01D0FB49" w14:textId="77777777" w:rsidR="00666510" w:rsidRPr="007F71FD" w:rsidRDefault="00000000" w:rsidP="006F0A42">
      <w:pPr>
        <w:pStyle w:val="Heading1"/>
        <w:rPr>
          <w:rFonts w:asciiTheme="majorBidi" w:hAnsiTheme="majorBidi" w:cstheme="majorBidi"/>
          <w:color w:val="auto"/>
        </w:rPr>
      </w:pPr>
      <w:bookmarkStart w:id="0" w:name="_Toc221373829"/>
      <w:r w:rsidRPr="007F71FD">
        <w:rPr>
          <w:rFonts w:asciiTheme="majorBidi" w:hAnsiTheme="majorBidi" w:cstheme="majorBidi"/>
          <w:color w:val="auto"/>
        </w:rPr>
        <w:lastRenderedPageBreak/>
        <w:t>1. Introduction</w:t>
      </w:r>
      <w:bookmarkEnd w:id="0"/>
    </w:p>
    <w:p w14:paraId="4944D65E" w14:textId="77777777" w:rsidR="00666510" w:rsidRPr="007F71FD" w:rsidRDefault="00000000" w:rsidP="006F0A42">
      <w:pPr>
        <w:spacing w:after="160" w:line="300" w:lineRule="auto"/>
        <w:ind w:left="720"/>
        <w:jc w:val="both"/>
        <w:rPr>
          <w:rFonts w:asciiTheme="majorBidi" w:hAnsiTheme="majorBidi" w:cstheme="majorBidi"/>
        </w:rPr>
      </w:pPr>
      <w:r w:rsidRPr="007F71FD">
        <w:rPr>
          <w:rFonts w:asciiTheme="majorBidi" w:hAnsiTheme="majorBidi" w:cstheme="majorBidi"/>
        </w:rPr>
        <w:t>This report presents a comprehensive study of two fundamental topics in statistical pattern recognition: binary classification using Bayesian classifiers and dimensionality reduction using Principal Component Analysis (PCA) and Fisher Linear Discriminant Analysis (Fisher LDA). The primary objective is to develop a thorough understanding of the theoretical foundations of these algorithms, implement them from scratch using only numerical computing libraries, and perform rigorous statistical and conceptual analyses of the results.</w:t>
      </w:r>
    </w:p>
    <w:p w14:paraId="70E0AC7D" w14:textId="77777777" w:rsidR="00666510" w:rsidRPr="007F71FD" w:rsidRDefault="00000000" w:rsidP="006F0A42">
      <w:pPr>
        <w:spacing w:after="160" w:line="300" w:lineRule="auto"/>
        <w:ind w:left="720"/>
        <w:jc w:val="both"/>
        <w:rPr>
          <w:rFonts w:asciiTheme="majorBidi" w:hAnsiTheme="majorBidi" w:cstheme="majorBidi"/>
        </w:rPr>
      </w:pPr>
      <w:r w:rsidRPr="007F71FD">
        <w:rPr>
          <w:rFonts w:asciiTheme="majorBidi" w:hAnsiTheme="majorBidi" w:cstheme="majorBidi"/>
        </w:rPr>
        <w:t>The first part of this work addresses binary classification on the Breast Cancer Wisconsin (Diagnostic) dataset using three generative Bayesian classifiers: Gaussian Naive Bayes (GNB), Linear Discriminant Analysis (LDA), and Quadratic Discriminant Analysis (QDA). These classifiers differ in their assumptions about the class-conditional covariance structure, which directly affects decision boundary geometry and model complexity. A detailed analysis of covariance matrix conditioning, variance-based feature selection, and classification performance is conducted.</w:t>
      </w:r>
    </w:p>
    <w:p w14:paraId="76462E2B" w14:textId="77777777" w:rsidR="00666510" w:rsidRPr="007F71FD" w:rsidRDefault="00000000" w:rsidP="006F0A42">
      <w:pPr>
        <w:spacing w:after="160" w:line="300" w:lineRule="auto"/>
        <w:ind w:left="720"/>
        <w:jc w:val="both"/>
        <w:rPr>
          <w:rFonts w:asciiTheme="majorBidi" w:hAnsiTheme="majorBidi" w:cstheme="majorBidi"/>
        </w:rPr>
      </w:pPr>
      <w:r w:rsidRPr="007F71FD">
        <w:rPr>
          <w:rFonts w:asciiTheme="majorBidi" w:hAnsiTheme="majorBidi" w:cstheme="majorBidi"/>
        </w:rPr>
        <w:t>The second part investigates dimensionality reduction techniques applied to the ORL face database for face recognition. PCA is employed as an unsupervised method to identify directions of maximum variance, while Fisher LDA is utilized as a supervised technique to maximize class separability. The interplay between dimensionality reduction and classification accuracy is examined across varying numbers of retained components.</w:t>
      </w:r>
    </w:p>
    <w:p w14:paraId="7D662413" w14:textId="77777777" w:rsidR="00666510" w:rsidRPr="007F71FD" w:rsidRDefault="00000000" w:rsidP="006F0A42">
      <w:pPr>
        <w:pStyle w:val="Heading1"/>
        <w:rPr>
          <w:rFonts w:asciiTheme="majorBidi" w:hAnsiTheme="majorBidi" w:cstheme="majorBidi"/>
          <w:color w:val="auto"/>
        </w:rPr>
      </w:pPr>
      <w:bookmarkStart w:id="1" w:name="_Toc221373830"/>
      <w:r w:rsidRPr="007F71FD">
        <w:rPr>
          <w:rFonts w:asciiTheme="majorBidi" w:hAnsiTheme="majorBidi" w:cstheme="majorBidi"/>
          <w:color w:val="auto"/>
        </w:rPr>
        <w:t>2. Part 1: Binary Classification Using Bayesian Classifiers</w:t>
      </w:r>
      <w:bookmarkEnd w:id="1"/>
    </w:p>
    <w:p w14:paraId="5282E1DD" w14:textId="77777777" w:rsidR="00666510" w:rsidRPr="007F71FD" w:rsidRDefault="00000000" w:rsidP="006F0A42">
      <w:pPr>
        <w:pStyle w:val="Heading2"/>
        <w:ind w:firstLine="720"/>
        <w:rPr>
          <w:rFonts w:asciiTheme="majorBidi" w:hAnsiTheme="majorBidi" w:cstheme="majorBidi"/>
          <w:color w:val="auto"/>
        </w:rPr>
      </w:pPr>
      <w:bookmarkStart w:id="2" w:name="_Toc221373831"/>
      <w:r w:rsidRPr="007F71FD">
        <w:rPr>
          <w:rFonts w:asciiTheme="majorBidi" w:hAnsiTheme="majorBidi" w:cstheme="majorBidi"/>
          <w:color w:val="auto"/>
        </w:rPr>
        <w:t>2.1 Understanding the Data</w:t>
      </w:r>
      <w:bookmarkEnd w:id="2"/>
    </w:p>
    <w:p w14:paraId="021FC9F5" w14:textId="77777777" w:rsidR="00666510" w:rsidRPr="007F71FD" w:rsidRDefault="00000000" w:rsidP="006F0A42">
      <w:pPr>
        <w:pStyle w:val="Heading3"/>
        <w:ind w:left="720" w:firstLine="720"/>
        <w:rPr>
          <w:rFonts w:asciiTheme="majorBidi" w:hAnsiTheme="majorBidi" w:cstheme="majorBidi"/>
          <w:color w:val="auto"/>
        </w:rPr>
      </w:pPr>
      <w:bookmarkStart w:id="3" w:name="_Toc221373832"/>
      <w:r w:rsidRPr="007F71FD">
        <w:rPr>
          <w:rFonts w:asciiTheme="majorBidi" w:hAnsiTheme="majorBidi" w:cstheme="majorBidi"/>
          <w:color w:val="auto"/>
        </w:rPr>
        <w:t>2.1.1 Dataset Overview</w:t>
      </w:r>
      <w:bookmarkEnd w:id="3"/>
    </w:p>
    <w:p w14:paraId="18937A59" w14:textId="77777777" w:rsidR="00666510" w:rsidRPr="007F71FD" w:rsidRDefault="00000000" w:rsidP="006F0A42">
      <w:pPr>
        <w:spacing w:after="160" w:line="300" w:lineRule="auto"/>
        <w:ind w:left="2160"/>
        <w:jc w:val="both"/>
        <w:rPr>
          <w:rFonts w:asciiTheme="majorBidi" w:hAnsiTheme="majorBidi" w:cstheme="majorBidi"/>
        </w:rPr>
      </w:pPr>
      <w:r w:rsidRPr="007F71FD">
        <w:rPr>
          <w:rFonts w:asciiTheme="majorBidi" w:hAnsiTheme="majorBidi" w:cstheme="majorBidi"/>
        </w:rPr>
        <w:t>The Breast Cancer Wisconsin (Diagnostic) dataset was loaded and inspected. It comprises 569 samples described by 30 continuous numerical features extracted from digitized images of fine needle aspirate (FNA) of breast masses. Each sample is labeled as either Malignant (M) or Benign (B), constituting a binary classification problem. The features capture ten real-valued characteristics (radius, texture, perimeter, area, smoothness, compactness, concavity, concave points, symmetry, and fractal dimension), each computed as the mean, standard error, and worst (largest) value across the cell nuclei present in the image.</w:t>
      </w:r>
    </w:p>
    <w:tbl>
      <w:tblPr>
        <w:tblStyle w:val="GridTable7Colorful"/>
        <w:tblW w:w="9360" w:type="dxa"/>
        <w:tblLook w:val="0400" w:firstRow="0" w:lastRow="0" w:firstColumn="0" w:lastColumn="0" w:noHBand="0" w:noVBand="1"/>
      </w:tblPr>
      <w:tblGrid>
        <w:gridCol w:w="4680"/>
        <w:gridCol w:w="4680"/>
      </w:tblGrid>
      <w:tr w:rsidR="00A30EA2" w:rsidRPr="007F71FD" w14:paraId="083366C7" w14:textId="77777777" w:rsidTr="00B506DB">
        <w:trPr>
          <w:cnfStyle w:val="000000100000" w:firstRow="0" w:lastRow="0" w:firstColumn="0" w:lastColumn="0" w:oddVBand="0" w:evenVBand="0" w:oddHBand="1" w:evenHBand="0" w:firstRowFirstColumn="0" w:firstRowLastColumn="0" w:lastRowFirstColumn="0" w:lastRowLastColumn="0"/>
        </w:trPr>
        <w:tc>
          <w:tcPr>
            <w:tcW w:w="4680" w:type="dxa"/>
          </w:tcPr>
          <w:p w14:paraId="6CC9609A"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b/>
                <w:bCs/>
                <w:color w:val="auto"/>
                <w:sz w:val="20"/>
                <w:szCs w:val="20"/>
              </w:rPr>
              <w:t>Property</w:t>
            </w:r>
          </w:p>
        </w:tc>
        <w:tc>
          <w:tcPr>
            <w:tcW w:w="4680" w:type="dxa"/>
          </w:tcPr>
          <w:p w14:paraId="048BF49A"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b/>
                <w:bCs/>
                <w:color w:val="auto"/>
                <w:sz w:val="20"/>
                <w:szCs w:val="20"/>
              </w:rPr>
              <w:t>Value</w:t>
            </w:r>
          </w:p>
        </w:tc>
      </w:tr>
      <w:tr w:rsidR="00A30EA2" w:rsidRPr="007F71FD" w14:paraId="78A34823" w14:textId="77777777" w:rsidTr="00B506DB">
        <w:tc>
          <w:tcPr>
            <w:tcW w:w="4680" w:type="dxa"/>
          </w:tcPr>
          <w:p w14:paraId="36FAA7ED"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Number of Samples</w:t>
            </w:r>
          </w:p>
        </w:tc>
        <w:tc>
          <w:tcPr>
            <w:tcW w:w="4680" w:type="dxa"/>
          </w:tcPr>
          <w:p w14:paraId="4908FB73"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569</w:t>
            </w:r>
          </w:p>
        </w:tc>
      </w:tr>
      <w:tr w:rsidR="00A30EA2" w:rsidRPr="007F71FD" w14:paraId="50389C16" w14:textId="77777777" w:rsidTr="00B506DB">
        <w:trPr>
          <w:cnfStyle w:val="000000100000" w:firstRow="0" w:lastRow="0" w:firstColumn="0" w:lastColumn="0" w:oddVBand="0" w:evenVBand="0" w:oddHBand="1" w:evenHBand="0" w:firstRowFirstColumn="0" w:firstRowLastColumn="0" w:lastRowFirstColumn="0" w:lastRowLastColumn="0"/>
        </w:trPr>
        <w:tc>
          <w:tcPr>
            <w:tcW w:w="4680" w:type="dxa"/>
          </w:tcPr>
          <w:p w14:paraId="2B134CFE"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Number of Features</w:t>
            </w:r>
          </w:p>
        </w:tc>
        <w:tc>
          <w:tcPr>
            <w:tcW w:w="4680" w:type="dxa"/>
          </w:tcPr>
          <w:p w14:paraId="1E7D83DE"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30</w:t>
            </w:r>
          </w:p>
        </w:tc>
      </w:tr>
      <w:tr w:rsidR="00A30EA2" w:rsidRPr="007F71FD" w14:paraId="490B3A4E" w14:textId="77777777" w:rsidTr="00B506DB">
        <w:tc>
          <w:tcPr>
            <w:tcW w:w="4680" w:type="dxa"/>
          </w:tcPr>
          <w:p w14:paraId="26C8D9ED"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Number of Classes</w:t>
            </w:r>
          </w:p>
        </w:tc>
        <w:tc>
          <w:tcPr>
            <w:tcW w:w="4680" w:type="dxa"/>
          </w:tcPr>
          <w:p w14:paraId="025D1C16"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2 (M, B)</w:t>
            </w:r>
          </w:p>
        </w:tc>
      </w:tr>
      <w:tr w:rsidR="00A30EA2" w:rsidRPr="007F71FD" w14:paraId="01BB5565" w14:textId="77777777" w:rsidTr="00B506DB">
        <w:trPr>
          <w:cnfStyle w:val="000000100000" w:firstRow="0" w:lastRow="0" w:firstColumn="0" w:lastColumn="0" w:oddVBand="0" w:evenVBand="0" w:oddHBand="1" w:evenHBand="0" w:firstRowFirstColumn="0" w:firstRowLastColumn="0" w:lastRowFirstColumn="0" w:lastRowLastColumn="0"/>
        </w:trPr>
        <w:tc>
          <w:tcPr>
            <w:tcW w:w="4680" w:type="dxa"/>
          </w:tcPr>
          <w:p w14:paraId="4EC892A9"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Benign Samples</w:t>
            </w:r>
          </w:p>
        </w:tc>
        <w:tc>
          <w:tcPr>
            <w:tcW w:w="4680" w:type="dxa"/>
          </w:tcPr>
          <w:p w14:paraId="7FAF4371"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357 (62.74%)</w:t>
            </w:r>
          </w:p>
        </w:tc>
      </w:tr>
      <w:tr w:rsidR="00A30EA2" w:rsidRPr="007F71FD" w14:paraId="29C92CB7" w14:textId="77777777" w:rsidTr="00B506DB">
        <w:tc>
          <w:tcPr>
            <w:tcW w:w="4680" w:type="dxa"/>
          </w:tcPr>
          <w:p w14:paraId="0AC7A33D"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lastRenderedPageBreak/>
              <w:t>Malignant Samples</w:t>
            </w:r>
          </w:p>
        </w:tc>
        <w:tc>
          <w:tcPr>
            <w:tcW w:w="4680" w:type="dxa"/>
          </w:tcPr>
          <w:p w14:paraId="27CE20B3"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212 (37.26%)</w:t>
            </w:r>
          </w:p>
        </w:tc>
      </w:tr>
    </w:tbl>
    <w:p w14:paraId="25C52DD4" w14:textId="77777777" w:rsidR="00666510" w:rsidRPr="007F71FD" w:rsidRDefault="00000000">
      <w:pPr>
        <w:spacing w:before="80" w:after="240"/>
        <w:jc w:val="center"/>
        <w:rPr>
          <w:rFonts w:asciiTheme="majorBidi" w:hAnsiTheme="majorBidi" w:cstheme="majorBidi"/>
        </w:rPr>
      </w:pPr>
      <w:r w:rsidRPr="007F71FD">
        <w:rPr>
          <w:rFonts w:asciiTheme="majorBidi" w:hAnsiTheme="majorBidi" w:cstheme="majorBidi"/>
          <w:i/>
          <w:iCs/>
          <w:sz w:val="20"/>
          <w:szCs w:val="20"/>
        </w:rPr>
        <w:t>Table 1: Breast Cancer Wisconsin dataset summary statistics.</w:t>
      </w:r>
    </w:p>
    <w:p w14:paraId="187BE8D6" w14:textId="77777777" w:rsidR="00666510" w:rsidRPr="007F71FD" w:rsidRDefault="00000000" w:rsidP="006F0A42">
      <w:pPr>
        <w:pStyle w:val="Heading3"/>
        <w:ind w:left="720" w:firstLine="720"/>
        <w:rPr>
          <w:rFonts w:asciiTheme="majorBidi" w:hAnsiTheme="majorBidi" w:cstheme="majorBidi"/>
          <w:color w:val="auto"/>
        </w:rPr>
      </w:pPr>
      <w:bookmarkStart w:id="4" w:name="_Toc221373833"/>
      <w:r w:rsidRPr="007F71FD">
        <w:rPr>
          <w:rFonts w:asciiTheme="majorBidi" w:hAnsiTheme="majorBidi" w:cstheme="majorBidi"/>
          <w:color w:val="auto"/>
        </w:rPr>
        <w:t>2.1.2 Class Distribution and Imbalance</w:t>
      </w:r>
      <w:bookmarkEnd w:id="4"/>
    </w:p>
    <w:p w14:paraId="64A00829" w14:textId="77777777" w:rsidR="00666510" w:rsidRPr="007F71FD" w:rsidRDefault="00000000" w:rsidP="006F0A42">
      <w:pPr>
        <w:spacing w:after="160" w:line="300" w:lineRule="auto"/>
        <w:ind w:left="2160"/>
        <w:jc w:val="both"/>
        <w:rPr>
          <w:rFonts w:asciiTheme="majorBidi" w:hAnsiTheme="majorBidi" w:cstheme="majorBidi"/>
        </w:rPr>
      </w:pPr>
      <w:r w:rsidRPr="007F71FD">
        <w:rPr>
          <w:rFonts w:asciiTheme="majorBidi" w:hAnsiTheme="majorBidi" w:cstheme="majorBidi"/>
        </w:rPr>
        <w:t xml:space="preserve">The class distribution reveals a moderate imbalance with a ratio of approximately 1.68:1 in favor of the benign class. While this imbalance is not extreme, it has meaningful implications for Bayesian classifiers. The class prior probabilities, which enter directly into the posterior computation via Bayes’ rule, will reflect this imbalance. In particular, the classifier may be biased toward predicting the majority class (Benign) in ambiguous cases, potentially reducing recall for the malignant class. This is an important consideration in a medical diagnostic context </w:t>
      </w:r>
      <w:proofErr w:type="gramStart"/>
      <w:r w:rsidRPr="007F71FD">
        <w:rPr>
          <w:rFonts w:asciiTheme="majorBidi" w:hAnsiTheme="majorBidi" w:cstheme="majorBidi"/>
        </w:rPr>
        <w:t>where</w:t>
      </w:r>
      <w:proofErr w:type="gramEnd"/>
      <w:r w:rsidRPr="007F71FD">
        <w:rPr>
          <w:rFonts w:asciiTheme="majorBidi" w:hAnsiTheme="majorBidi" w:cstheme="majorBidi"/>
        </w:rPr>
        <w:t xml:space="preserve"> failing to detect malignancy (false negative) carries significant clinical consequences.</w:t>
      </w:r>
    </w:p>
    <w:p w14:paraId="6A65E7BE" w14:textId="77777777" w:rsidR="00666510" w:rsidRPr="007F71FD" w:rsidRDefault="00000000" w:rsidP="00262556">
      <w:pPr>
        <w:pStyle w:val="Heading3"/>
        <w:ind w:left="720" w:firstLine="720"/>
        <w:rPr>
          <w:rFonts w:asciiTheme="majorBidi" w:hAnsiTheme="majorBidi" w:cstheme="majorBidi"/>
          <w:color w:val="auto"/>
        </w:rPr>
      </w:pPr>
      <w:bookmarkStart w:id="5" w:name="_Toc221373834"/>
      <w:r w:rsidRPr="007F71FD">
        <w:rPr>
          <w:rFonts w:asciiTheme="majorBidi" w:hAnsiTheme="majorBidi" w:cstheme="majorBidi"/>
          <w:color w:val="auto"/>
        </w:rPr>
        <w:t>2.1.3 Exploratory Visual Analysis</w:t>
      </w:r>
      <w:bookmarkEnd w:id="5"/>
    </w:p>
    <w:p w14:paraId="62785A42" w14:textId="77777777" w:rsidR="00666510" w:rsidRPr="007F71FD" w:rsidRDefault="00000000" w:rsidP="00B506DB">
      <w:pPr>
        <w:spacing w:after="160" w:line="300" w:lineRule="auto"/>
        <w:ind w:left="1440"/>
        <w:jc w:val="both"/>
        <w:rPr>
          <w:rFonts w:asciiTheme="majorBidi" w:hAnsiTheme="majorBidi" w:cstheme="majorBidi"/>
        </w:rPr>
      </w:pPr>
      <w:r w:rsidRPr="007F71FD">
        <w:rPr>
          <w:rFonts w:asciiTheme="majorBidi" w:hAnsiTheme="majorBidi" w:cstheme="majorBidi"/>
        </w:rPr>
        <w:t>Class-wise histograms were plotted for a subset of features to assess the distributional characteristics of each class. As shown in Figure 1, features such as mean radius, mean concavity, and worst area exhibit clear separation between the benign and malignant distributions, suggesting strong discriminative power. Other features display more overlapping distributions, indicating lower individual classification utility.</w:t>
      </w:r>
    </w:p>
    <w:p w14:paraId="3E2B87F1" w14:textId="77777777" w:rsidR="00666510" w:rsidRPr="007F71FD" w:rsidRDefault="00000000">
      <w:pPr>
        <w:spacing w:before="120" w:after="40"/>
        <w:jc w:val="center"/>
        <w:rPr>
          <w:rFonts w:asciiTheme="majorBidi" w:hAnsiTheme="majorBidi" w:cstheme="majorBidi"/>
        </w:rPr>
      </w:pPr>
      <w:r w:rsidRPr="007F71FD">
        <w:rPr>
          <w:rFonts w:asciiTheme="majorBidi" w:hAnsiTheme="majorBidi" w:cstheme="majorBidi"/>
          <w:noProof/>
        </w:rPr>
        <w:lastRenderedPageBreak/>
        <w:drawing>
          <wp:anchor distT="0" distB="0" distL="114300" distR="114300" simplePos="0" relativeHeight="251658240" behindDoc="1" locked="0" layoutInCell="1" allowOverlap="1" wp14:anchorId="2E677DD8" wp14:editId="3010E861">
            <wp:simplePos x="0" y="0"/>
            <wp:positionH relativeFrom="margin">
              <wp:align>center</wp:align>
            </wp:positionH>
            <wp:positionV relativeFrom="paragraph">
              <wp:posOffset>0</wp:posOffset>
            </wp:positionV>
            <wp:extent cx="7304405" cy="5829300"/>
            <wp:effectExtent l="0" t="0" r="0" b="0"/>
            <wp:wrapTight wrapText="bothSides">
              <wp:wrapPolygon edited="0">
                <wp:start x="0" y="0"/>
                <wp:lineTo x="0" y="21529"/>
                <wp:lineTo x="21519" y="21529"/>
                <wp:lineTo x="21519" y="0"/>
                <wp:lineTo x="0" y="0"/>
              </wp:wrapPolygon>
            </wp:wrapTight>
            <wp:docPr id="1" name="1_1_3_feature_histograms.png" descr="1_1_3_feature_histograms.png" title="1_1_3_feature_histogra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304405" cy="5829300"/>
                    </a:xfrm>
                    <a:prstGeom prst="rect">
                      <a:avLst/>
                    </a:prstGeom>
                  </pic:spPr>
                </pic:pic>
              </a:graphicData>
            </a:graphic>
            <wp14:sizeRelH relativeFrom="margin">
              <wp14:pctWidth>0</wp14:pctWidth>
            </wp14:sizeRelH>
            <wp14:sizeRelV relativeFrom="margin">
              <wp14:pctHeight>0</wp14:pctHeight>
            </wp14:sizeRelV>
          </wp:anchor>
        </w:drawing>
      </w:r>
    </w:p>
    <w:p w14:paraId="270B0CF5" w14:textId="77777777" w:rsidR="00666510" w:rsidRPr="007F71FD" w:rsidRDefault="00000000">
      <w:pPr>
        <w:spacing w:before="80" w:after="240"/>
        <w:jc w:val="center"/>
        <w:rPr>
          <w:rFonts w:asciiTheme="majorBidi" w:hAnsiTheme="majorBidi" w:cstheme="majorBidi"/>
        </w:rPr>
      </w:pPr>
      <w:r w:rsidRPr="007F71FD">
        <w:rPr>
          <w:rFonts w:asciiTheme="majorBidi" w:hAnsiTheme="majorBidi" w:cstheme="majorBidi"/>
          <w:i/>
          <w:iCs/>
          <w:sz w:val="20"/>
          <w:szCs w:val="20"/>
        </w:rPr>
        <w:t>Figure 1: Class-wise histograms for selected features showing distributional separation between benign and malignant classes.</w:t>
      </w:r>
    </w:p>
    <w:p w14:paraId="6DFCD5C3" w14:textId="77777777" w:rsidR="00666510" w:rsidRPr="007F71FD" w:rsidRDefault="00000000" w:rsidP="00B506DB">
      <w:pPr>
        <w:spacing w:after="160" w:line="300" w:lineRule="auto"/>
        <w:ind w:left="1440"/>
        <w:jc w:val="both"/>
        <w:rPr>
          <w:rFonts w:asciiTheme="majorBidi" w:hAnsiTheme="majorBidi" w:cstheme="majorBidi"/>
        </w:rPr>
      </w:pPr>
      <w:r w:rsidRPr="007F71FD">
        <w:rPr>
          <w:rFonts w:asciiTheme="majorBidi" w:hAnsiTheme="majorBidi" w:cstheme="majorBidi"/>
        </w:rPr>
        <w:t>The feature correlation matrix, visualized as a heatmap in Figure 2, reveals substantial inter-feature correlations, particularly among geometric features (radius, perimeter, area) within the same statistical category (mean, standard error, worst).</w:t>
      </w:r>
    </w:p>
    <w:p w14:paraId="17A193FA" w14:textId="77777777" w:rsidR="00666510" w:rsidRPr="007F71FD" w:rsidRDefault="00000000">
      <w:pPr>
        <w:spacing w:before="120" w:after="40"/>
        <w:jc w:val="center"/>
        <w:rPr>
          <w:rFonts w:asciiTheme="majorBidi" w:hAnsiTheme="majorBidi" w:cstheme="majorBidi"/>
        </w:rPr>
      </w:pPr>
      <w:r w:rsidRPr="007F71FD">
        <w:rPr>
          <w:rFonts w:asciiTheme="majorBidi" w:hAnsiTheme="majorBidi" w:cstheme="majorBidi"/>
          <w:noProof/>
        </w:rPr>
        <w:lastRenderedPageBreak/>
        <w:drawing>
          <wp:inline distT="0" distB="0" distL="0" distR="0" wp14:anchorId="45E2591A" wp14:editId="0038C173">
            <wp:extent cx="6114710" cy="5478780"/>
            <wp:effectExtent l="0" t="0" r="635" b="7620"/>
            <wp:docPr id="1434842520" name="1_1_3_correlation_heatmap.png" descr="1_1_3_correlation_heatmap.png" title="1_1_3_correlation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23192" cy="5486380"/>
                    </a:xfrm>
                    <a:prstGeom prst="rect">
                      <a:avLst/>
                    </a:prstGeom>
                  </pic:spPr>
                </pic:pic>
              </a:graphicData>
            </a:graphic>
          </wp:inline>
        </w:drawing>
      </w:r>
    </w:p>
    <w:p w14:paraId="2CB6944B" w14:textId="77777777" w:rsidR="00666510" w:rsidRPr="007F71FD" w:rsidRDefault="00000000">
      <w:pPr>
        <w:spacing w:before="80" w:after="240"/>
        <w:jc w:val="center"/>
        <w:rPr>
          <w:rFonts w:asciiTheme="majorBidi" w:hAnsiTheme="majorBidi" w:cstheme="majorBidi"/>
        </w:rPr>
      </w:pPr>
      <w:r w:rsidRPr="007F71FD">
        <w:rPr>
          <w:rFonts w:asciiTheme="majorBidi" w:hAnsiTheme="majorBidi" w:cstheme="majorBidi"/>
          <w:i/>
          <w:iCs/>
          <w:sz w:val="20"/>
          <w:szCs w:val="20"/>
        </w:rPr>
        <w:t>Figure 2: Feature correlation heatmap revealing strong inter-feature dependencies.</w:t>
      </w:r>
    </w:p>
    <w:p w14:paraId="7363DD1B" w14:textId="77777777" w:rsidR="00666510" w:rsidRPr="007F71FD" w:rsidRDefault="00000000" w:rsidP="00B506DB">
      <w:pPr>
        <w:pStyle w:val="Heading3"/>
        <w:ind w:left="720" w:firstLine="720"/>
        <w:rPr>
          <w:rFonts w:asciiTheme="majorBidi" w:hAnsiTheme="majorBidi" w:cstheme="majorBidi"/>
          <w:color w:val="auto"/>
        </w:rPr>
      </w:pPr>
      <w:bookmarkStart w:id="6" w:name="_Toc221373835"/>
      <w:r w:rsidRPr="007F71FD">
        <w:rPr>
          <w:rFonts w:asciiTheme="majorBidi" w:hAnsiTheme="majorBidi" w:cstheme="majorBidi"/>
          <w:color w:val="auto"/>
        </w:rPr>
        <w:t>2.1.4 Highly Correlated Feature Pairs</w:t>
      </w:r>
      <w:bookmarkEnd w:id="6"/>
    </w:p>
    <w:p w14:paraId="5926492C" w14:textId="77777777" w:rsidR="00666510" w:rsidRPr="007F71FD" w:rsidRDefault="00000000" w:rsidP="00B506DB">
      <w:pPr>
        <w:spacing w:after="160" w:line="300" w:lineRule="auto"/>
        <w:ind w:left="1440" w:firstLine="720"/>
        <w:jc w:val="both"/>
        <w:rPr>
          <w:rFonts w:asciiTheme="majorBidi" w:hAnsiTheme="majorBidi" w:cstheme="majorBidi"/>
        </w:rPr>
      </w:pPr>
      <w:r w:rsidRPr="007F71FD">
        <w:rPr>
          <w:rFonts w:asciiTheme="majorBidi" w:hAnsiTheme="majorBidi" w:cstheme="majorBidi"/>
        </w:rPr>
        <w:t>The three most highly correlated feature pairs were identified as follows:</w:t>
      </w:r>
    </w:p>
    <w:tbl>
      <w:tblPr>
        <w:tblStyle w:val="ListTable4"/>
        <w:tblW w:w="9360" w:type="dxa"/>
        <w:tblLook w:val="0400" w:firstRow="0" w:lastRow="0" w:firstColumn="0" w:lastColumn="0" w:noHBand="0" w:noVBand="1"/>
      </w:tblPr>
      <w:tblGrid>
        <w:gridCol w:w="1200"/>
        <w:gridCol w:w="2880"/>
        <w:gridCol w:w="2880"/>
        <w:gridCol w:w="2400"/>
      </w:tblGrid>
      <w:tr w:rsidR="00A30EA2" w:rsidRPr="007F71FD" w14:paraId="6ED468EE" w14:textId="77777777" w:rsidTr="00B506DB">
        <w:trPr>
          <w:cnfStyle w:val="000000100000" w:firstRow="0" w:lastRow="0" w:firstColumn="0" w:lastColumn="0" w:oddVBand="0" w:evenVBand="0" w:oddHBand="1" w:evenHBand="0" w:firstRowFirstColumn="0" w:firstRowLastColumn="0" w:lastRowFirstColumn="0" w:lastRowLastColumn="0"/>
        </w:trPr>
        <w:tc>
          <w:tcPr>
            <w:tcW w:w="1200" w:type="dxa"/>
          </w:tcPr>
          <w:p w14:paraId="2CD1FA46" w14:textId="77777777" w:rsidR="00666510" w:rsidRPr="007F71FD" w:rsidRDefault="00000000">
            <w:pPr>
              <w:jc w:val="center"/>
              <w:rPr>
                <w:rFonts w:asciiTheme="majorBidi" w:hAnsiTheme="majorBidi" w:cstheme="majorBidi"/>
              </w:rPr>
            </w:pPr>
            <w:r w:rsidRPr="007F71FD">
              <w:rPr>
                <w:rFonts w:asciiTheme="majorBidi" w:hAnsiTheme="majorBidi" w:cstheme="majorBidi"/>
                <w:b/>
                <w:bCs/>
                <w:sz w:val="20"/>
                <w:szCs w:val="20"/>
              </w:rPr>
              <w:t>Rank</w:t>
            </w:r>
          </w:p>
        </w:tc>
        <w:tc>
          <w:tcPr>
            <w:tcW w:w="2880" w:type="dxa"/>
          </w:tcPr>
          <w:p w14:paraId="0E7B0861" w14:textId="77777777" w:rsidR="00666510" w:rsidRPr="007F71FD" w:rsidRDefault="00000000">
            <w:pPr>
              <w:jc w:val="center"/>
              <w:rPr>
                <w:rFonts w:asciiTheme="majorBidi" w:hAnsiTheme="majorBidi" w:cstheme="majorBidi"/>
              </w:rPr>
            </w:pPr>
            <w:r w:rsidRPr="007F71FD">
              <w:rPr>
                <w:rFonts w:asciiTheme="majorBidi" w:hAnsiTheme="majorBidi" w:cstheme="majorBidi"/>
                <w:b/>
                <w:bCs/>
                <w:sz w:val="20"/>
                <w:szCs w:val="20"/>
              </w:rPr>
              <w:t>Feature 1</w:t>
            </w:r>
          </w:p>
        </w:tc>
        <w:tc>
          <w:tcPr>
            <w:tcW w:w="2880" w:type="dxa"/>
          </w:tcPr>
          <w:p w14:paraId="20FD2684" w14:textId="77777777" w:rsidR="00666510" w:rsidRPr="007F71FD" w:rsidRDefault="00000000">
            <w:pPr>
              <w:jc w:val="center"/>
              <w:rPr>
                <w:rFonts w:asciiTheme="majorBidi" w:hAnsiTheme="majorBidi" w:cstheme="majorBidi"/>
              </w:rPr>
            </w:pPr>
            <w:r w:rsidRPr="007F71FD">
              <w:rPr>
                <w:rFonts w:asciiTheme="majorBidi" w:hAnsiTheme="majorBidi" w:cstheme="majorBidi"/>
                <w:b/>
                <w:bCs/>
                <w:sz w:val="20"/>
                <w:szCs w:val="20"/>
              </w:rPr>
              <w:t>Feature 2</w:t>
            </w:r>
          </w:p>
        </w:tc>
        <w:tc>
          <w:tcPr>
            <w:tcW w:w="2400" w:type="dxa"/>
          </w:tcPr>
          <w:p w14:paraId="2ABB4F0D" w14:textId="77777777" w:rsidR="00666510" w:rsidRPr="007F71FD" w:rsidRDefault="00000000">
            <w:pPr>
              <w:jc w:val="center"/>
              <w:rPr>
                <w:rFonts w:asciiTheme="majorBidi" w:hAnsiTheme="majorBidi" w:cstheme="majorBidi"/>
              </w:rPr>
            </w:pPr>
            <w:r w:rsidRPr="007F71FD">
              <w:rPr>
                <w:rFonts w:asciiTheme="majorBidi" w:hAnsiTheme="majorBidi" w:cstheme="majorBidi"/>
                <w:b/>
                <w:bCs/>
                <w:sz w:val="20"/>
                <w:szCs w:val="20"/>
              </w:rPr>
              <w:t>|Correlation|</w:t>
            </w:r>
          </w:p>
        </w:tc>
      </w:tr>
      <w:tr w:rsidR="00A30EA2" w:rsidRPr="007F71FD" w14:paraId="6100DF92" w14:textId="77777777" w:rsidTr="00B506DB">
        <w:tc>
          <w:tcPr>
            <w:tcW w:w="1200" w:type="dxa"/>
          </w:tcPr>
          <w:p w14:paraId="65CA700A" w14:textId="77777777" w:rsidR="00666510" w:rsidRPr="007F71FD" w:rsidRDefault="00000000">
            <w:pPr>
              <w:jc w:val="center"/>
              <w:rPr>
                <w:rFonts w:asciiTheme="majorBidi" w:hAnsiTheme="majorBidi" w:cstheme="majorBidi"/>
              </w:rPr>
            </w:pPr>
            <w:r w:rsidRPr="007F71FD">
              <w:rPr>
                <w:rFonts w:asciiTheme="majorBidi" w:hAnsiTheme="majorBidi" w:cstheme="majorBidi"/>
                <w:sz w:val="20"/>
                <w:szCs w:val="20"/>
              </w:rPr>
              <w:t>1</w:t>
            </w:r>
          </w:p>
        </w:tc>
        <w:tc>
          <w:tcPr>
            <w:tcW w:w="2880" w:type="dxa"/>
          </w:tcPr>
          <w:p w14:paraId="223919F5" w14:textId="77777777" w:rsidR="00666510" w:rsidRPr="007F71FD" w:rsidRDefault="00000000">
            <w:pPr>
              <w:jc w:val="center"/>
              <w:rPr>
                <w:rFonts w:asciiTheme="majorBidi" w:hAnsiTheme="majorBidi" w:cstheme="majorBidi"/>
              </w:rPr>
            </w:pPr>
            <w:proofErr w:type="spellStart"/>
            <w:r w:rsidRPr="007F71FD">
              <w:rPr>
                <w:rFonts w:asciiTheme="majorBidi" w:hAnsiTheme="majorBidi" w:cstheme="majorBidi"/>
                <w:sz w:val="20"/>
                <w:szCs w:val="20"/>
              </w:rPr>
              <w:t>mean_radius</w:t>
            </w:r>
            <w:proofErr w:type="spellEnd"/>
          </w:p>
        </w:tc>
        <w:tc>
          <w:tcPr>
            <w:tcW w:w="2880" w:type="dxa"/>
          </w:tcPr>
          <w:p w14:paraId="03A59C2E" w14:textId="77777777" w:rsidR="00666510" w:rsidRPr="007F71FD" w:rsidRDefault="00000000">
            <w:pPr>
              <w:jc w:val="center"/>
              <w:rPr>
                <w:rFonts w:asciiTheme="majorBidi" w:hAnsiTheme="majorBidi" w:cstheme="majorBidi"/>
              </w:rPr>
            </w:pPr>
            <w:proofErr w:type="spellStart"/>
            <w:r w:rsidRPr="007F71FD">
              <w:rPr>
                <w:rFonts w:asciiTheme="majorBidi" w:hAnsiTheme="majorBidi" w:cstheme="majorBidi"/>
                <w:sz w:val="20"/>
                <w:szCs w:val="20"/>
              </w:rPr>
              <w:t>mean_perimeter</w:t>
            </w:r>
            <w:proofErr w:type="spellEnd"/>
          </w:p>
        </w:tc>
        <w:tc>
          <w:tcPr>
            <w:tcW w:w="2400" w:type="dxa"/>
          </w:tcPr>
          <w:p w14:paraId="036551D4" w14:textId="77777777" w:rsidR="00666510" w:rsidRPr="007F71FD" w:rsidRDefault="00000000">
            <w:pPr>
              <w:jc w:val="center"/>
              <w:rPr>
                <w:rFonts w:asciiTheme="majorBidi" w:hAnsiTheme="majorBidi" w:cstheme="majorBidi"/>
              </w:rPr>
            </w:pPr>
            <w:r w:rsidRPr="007F71FD">
              <w:rPr>
                <w:rFonts w:asciiTheme="majorBidi" w:hAnsiTheme="majorBidi" w:cstheme="majorBidi"/>
                <w:sz w:val="20"/>
                <w:szCs w:val="20"/>
              </w:rPr>
              <w:t>0.9979</w:t>
            </w:r>
          </w:p>
        </w:tc>
      </w:tr>
      <w:tr w:rsidR="00A30EA2" w:rsidRPr="007F71FD" w14:paraId="525B20FA" w14:textId="77777777" w:rsidTr="00B506DB">
        <w:trPr>
          <w:cnfStyle w:val="000000100000" w:firstRow="0" w:lastRow="0" w:firstColumn="0" w:lastColumn="0" w:oddVBand="0" w:evenVBand="0" w:oddHBand="1" w:evenHBand="0" w:firstRowFirstColumn="0" w:firstRowLastColumn="0" w:lastRowFirstColumn="0" w:lastRowLastColumn="0"/>
        </w:trPr>
        <w:tc>
          <w:tcPr>
            <w:tcW w:w="1200" w:type="dxa"/>
          </w:tcPr>
          <w:p w14:paraId="798DCEA9" w14:textId="77777777" w:rsidR="00666510" w:rsidRPr="007F71FD" w:rsidRDefault="00000000">
            <w:pPr>
              <w:jc w:val="center"/>
              <w:rPr>
                <w:rFonts w:asciiTheme="majorBidi" w:hAnsiTheme="majorBidi" w:cstheme="majorBidi"/>
              </w:rPr>
            </w:pPr>
            <w:r w:rsidRPr="007F71FD">
              <w:rPr>
                <w:rFonts w:asciiTheme="majorBidi" w:hAnsiTheme="majorBidi" w:cstheme="majorBidi"/>
                <w:sz w:val="20"/>
                <w:szCs w:val="20"/>
              </w:rPr>
              <w:t>2</w:t>
            </w:r>
          </w:p>
        </w:tc>
        <w:tc>
          <w:tcPr>
            <w:tcW w:w="2880" w:type="dxa"/>
          </w:tcPr>
          <w:p w14:paraId="503E1571" w14:textId="77777777" w:rsidR="00666510" w:rsidRPr="007F71FD" w:rsidRDefault="00000000">
            <w:pPr>
              <w:jc w:val="center"/>
              <w:rPr>
                <w:rFonts w:asciiTheme="majorBidi" w:hAnsiTheme="majorBidi" w:cstheme="majorBidi"/>
              </w:rPr>
            </w:pPr>
            <w:proofErr w:type="spellStart"/>
            <w:r w:rsidRPr="007F71FD">
              <w:rPr>
                <w:rFonts w:asciiTheme="majorBidi" w:hAnsiTheme="majorBidi" w:cstheme="majorBidi"/>
                <w:sz w:val="20"/>
                <w:szCs w:val="20"/>
              </w:rPr>
              <w:t>worst_radius</w:t>
            </w:r>
            <w:proofErr w:type="spellEnd"/>
          </w:p>
        </w:tc>
        <w:tc>
          <w:tcPr>
            <w:tcW w:w="2880" w:type="dxa"/>
          </w:tcPr>
          <w:p w14:paraId="78C96730" w14:textId="77777777" w:rsidR="00666510" w:rsidRPr="007F71FD" w:rsidRDefault="00000000">
            <w:pPr>
              <w:jc w:val="center"/>
              <w:rPr>
                <w:rFonts w:asciiTheme="majorBidi" w:hAnsiTheme="majorBidi" w:cstheme="majorBidi"/>
              </w:rPr>
            </w:pPr>
            <w:proofErr w:type="spellStart"/>
            <w:proofErr w:type="gramStart"/>
            <w:r w:rsidRPr="007F71FD">
              <w:rPr>
                <w:rFonts w:asciiTheme="majorBidi" w:hAnsiTheme="majorBidi" w:cstheme="majorBidi"/>
                <w:sz w:val="20"/>
                <w:szCs w:val="20"/>
              </w:rPr>
              <w:t>worst</w:t>
            </w:r>
            <w:proofErr w:type="gramEnd"/>
            <w:r w:rsidRPr="007F71FD">
              <w:rPr>
                <w:rFonts w:asciiTheme="majorBidi" w:hAnsiTheme="majorBidi" w:cstheme="majorBidi"/>
                <w:sz w:val="20"/>
                <w:szCs w:val="20"/>
              </w:rPr>
              <w:t>_perimeter</w:t>
            </w:r>
            <w:proofErr w:type="spellEnd"/>
          </w:p>
        </w:tc>
        <w:tc>
          <w:tcPr>
            <w:tcW w:w="2400" w:type="dxa"/>
          </w:tcPr>
          <w:p w14:paraId="6188A627" w14:textId="77777777" w:rsidR="00666510" w:rsidRPr="007F71FD" w:rsidRDefault="00000000">
            <w:pPr>
              <w:jc w:val="center"/>
              <w:rPr>
                <w:rFonts w:asciiTheme="majorBidi" w:hAnsiTheme="majorBidi" w:cstheme="majorBidi"/>
              </w:rPr>
            </w:pPr>
            <w:r w:rsidRPr="007F71FD">
              <w:rPr>
                <w:rFonts w:asciiTheme="majorBidi" w:hAnsiTheme="majorBidi" w:cstheme="majorBidi"/>
                <w:sz w:val="20"/>
                <w:szCs w:val="20"/>
              </w:rPr>
              <w:t>0.9937</w:t>
            </w:r>
          </w:p>
        </w:tc>
      </w:tr>
      <w:tr w:rsidR="00A30EA2" w:rsidRPr="007F71FD" w14:paraId="62BB6DB0" w14:textId="77777777" w:rsidTr="00B506DB">
        <w:tc>
          <w:tcPr>
            <w:tcW w:w="1200" w:type="dxa"/>
          </w:tcPr>
          <w:p w14:paraId="0D0CE580" w14:textId="77777777" w:rsidR="00666510" w:rsidRPr="007F71FD" w:rsidRDefault="00000000">
            <w:pPr>
              <w:jc w:val="center"/>
              <w:rPr>
                <w:rFonts w:asciiTheme="majorBidi" w:hAnsiTheme="majorBidi" w:cstheme="majorBidi"/>
              </w:rPr>
            </w:pPr>
            <w:r w:rsidRPr="007F71FD">
              <w:rPr>
                <w:rFonts w:asciiTheme="majorBidi" w:hAnsiTheme="majorBidi" w:cstheme="majorBidi"/>
                <w:sz w:val="20"/>
                <w:szCs w:val="20"/>
              </w:rPr>
              <w:t>3</w:t>
            </w:r>
          </w:p>
        </w:tc>
        <w:tc>
          <w:tcPr>
            <w:tcW w:w="2880" w:type="dxa"/>
          </w:tcPr>
          <w:p w14:paraId="42CD0856" w14:textId="77777777" w:rsidR="00666510" w:rsidRPr="007F71FD" w:rsidRDefault="00000000">
            <w:pPr>
              <w:jc w:val="center"/>
              <w:rPr>
                <w:rFonts w:asciiTheme="majorBidi" w:hAnsiTheme="majorBidi" w:cstheme="majorBidi"/>
              </w:rPr>
            </w:pPr>
            <w:proofErr w:type="spellStart"/>
            <w:r w:rsidRPr="007F71FD">
              <w:rPr>
                <w:rFonts w:asciiTheme="majorBidi" w:hAnsiTheme="majorBidi" w:cstheme="majorBidi"/>
                <w:sz w:val="20"/>
                <w:szCs w:val="20"/>
              </w:rPr>
              <w:t>mean_radius</w:t>
            </w:r>
            <w:proofErr w:type="spellEnd"/>
          </w:p>
        </w:tc>
        <w:tc>
          <w:tcPr>
            <w:tcW w:w="2880" w:type="dxa"/>
          </w:tcPr>
          <w:p w14:paraId="4EC5A4DB" w14:textId="77777777" w:rsidR="00666510" w:rsidRPr="007F71FD" w:rsidRDefault="00000000">
            <w:pPr>
              <w:jc w:val="center"/>
              <w:rPr>
                <w:rFonts w:asciiTheme="majorBidi" w:hAnsiTheme="majorBidi" w:cstheme="majorBidi"/>
              </w:rPr>
            </w:pPr>
            <w:proofErr w:type="spellStart"/>
            <w:r w:rsidRPr="007F71FD">
              <w:rPr>
                <w:rFonts w:asciiTheme="majorBidi" w:hAnsiTheme="majorBidi" w:cstheme="majorBidi"/>
                <w:sz w:val="20"/>
                <w:szCs w:val="20"/>
              </w:rPr>
              <w:t>mean_area</w:t>
            </w:r>
            <w:proofErr w:type="spellEnd"/>
          </w:p>
        </w:tc>
        <w:tc>
          <w:tcPr>
            <w:tcW w:w="2400" w:type="dxa"/>
          </w:tcPr>
          <w:p w14:paraId="0F5248B1" w14:textId="77777777" w:rsidR="00666510" w:rsidRPr="007F71FD" w:rsidRDefault="00000000">
            <w:pPr>
              <w:jc w:val="center"/>
              <w:rPr>
                <w:rFonts w:asciiTheme="majorBidi" w:hAnsiTheme="majorBidi" w:cstheme="majorBidi"/>
              </w:rPr>
            </w:pPr>
            <w:r w:rsidRPr="007F71FD">
              <w:rPr>
                <w:rFonts w:asciiTheme="majorBidi" w:hAnsiTheme="majorBidi" w:cstheme="majorBidi"/>
                <w:sz w:val="20"/>
                <w:szCs w:val="20"/>
              </w:rPr>
              <w:t>0.9874</w:t>
            </w:r>
          </w:p>
        </w:tc>
      </w:tr>
    </w:tbl>
    <w:p w14:paraId="4B6BEC67" w14:textId="77777777" w:rsidR="00666510" w:rsidRPr="007F71FD" w:rsidRDefault="00000000">
      <w:pPr>
        <w:spacing w:before="80" w:after="240"/>
        <w:jc w:val="center"/>
        <w:rPr>
          <w:rFonts w:asciiTheme="majorBidi" w:hAnsiTheme="majorBidi" w:cstheme="majorBidi"/>
        </w:rPr>
      </w:pPr>
      <w:r w:rsidRPr="007F71FD">
        <w:rPr>
          <w:rFonts w:asciiTheme="majorBidi" w:hAnsiTheme="majorBidi" w:cstheme="majorBidi"/>
          <w:i/>
          <w:iCs/>
          <w:sz w:val="20"/>
          <w:szCs w:val="20"/>
        </w:rPr>
        <w:t>Table 2: Three most highly correlated feature pairs.</w:t>
      </w:r>
    </w:p>
    <w:p w14:paraId="065901BD" w14:textId="77777777" w:rsidR="00666510" w:rsidRPr="007F71FD" w:rsidRDefault="00000000" w:rsidP="00B506DB">
      <w:pPr>
        <w:spacing w:after="160" w:line="300" w:lineRule="auto"/>
        <w:ind w:left="2160"/>
        <w:jc w:val="both"/>
        <w:rPr>
          <w:rFonts w:asciiTheme="majorBidi" w:hAnsiTheme="majorBidi" w:cstheme="majorBidi"/>
        </w:rPr>
      </w:pPr>
      <w:r w:rsidRPr="007F71FD">
        <w:rPr>
          <w:rFonts w:asciiTheme="majorBidi" w:hAnsiTheme="majorBidi" w:cstheme="majorBidi"/>
        </w:rPr>
        <w:t xml:space="preserve">High feature correlation is critical when comparing LDA and QDA with Naive Bayes. Gaussian Naive Bayes assumes conditional independence of features given the class, thereby modeling only diagonal covariance matrices. When features are strongly correlated, this assumption is violated, and GNB cannot capture the joint </w:t>
      </w:r>
      <w:r w:rsidRPr="007F71FD">
        <w:rPr>
          <w:rFonts w:asciiTheme="majorBidi" w:hAnsiTheme="majorBidi" w:cstheme="majorBidi"/>
        </w:rPr>
        <w:lastRenderedPageBreak/>
        <w:t xml:space="preserve">distributional structure. In contrast, LDA and QDA model the full covariance matrix (shared or class-specific, respectively) and can therefore represent and exploit feature correlations in the decision boundary. The near-perfect correlations observed (e.g., 0.9979 between </w:t>
      </w:r>
      <w:proofErr w:type="spellStart"/>
      <w:r w:rsidRPr="007F71FD">
        <w:rPr>
          <w:rFonts w:asciiTheme="majorBidi" w:hAnsiTheme="majorBidi" w:cstheme="majorBidi"/>
        </w:rPr>
        <w:t>mean_radius</w:t>
      </w:r>
      <w:proofErr w:type="spellEnd"/>
      <w:r w:rsidRPr="007F71FD">
        <w:rPr>
          <w:rFonts w:asciiTheme="majorBidi" w:hAnsiTheme="majorBidi" w:cstheme="majorBidi"/>
        </w:rPr>
        <w:t xml:space="preserve"> and </w:t>
      </w:r>
      <w:proofErr w:type="spellStart"/>
      <w:r w:rsidRPr="007F71FD">
        <w:rPr>
          <w:rFonts w:asciiTheme="majorBidi" w:hAnsiTheme="majorBidi" w:cstheme="majorBidi"/>
        </w:rPr>
        <w:t>mean_perimeter</w:t>
      </w:r>
      <w:proofErr w:type="spellEnd"/>
      <w:r w:rsidRPr="007F71FD">
        <w:rPr>
          <w:rFonts w:asciiTheme="majorBidi" w:hAnsiTheme="majorBidi" w:cstheme="majorBidi"/>
        </w:rPr>
        <w:t>) indicate substantial redundancy that GNB fundamentally ignores.</w:t>
      </w:r>
    </w:p>
    <w:p w14:paraId="1FA46CBB" w14:textId="77777777" w:rsidR="00666510" w:rsidRPr="007F71FD" w:rsidRDefault="00000000" w:rsidP="000A340E">
      <w:pPr>
        <w:pStyle w:val="Heading3"/>
        <w:ind w:left="720" w:firstLine="720"/>
        <w:rPr>
          <w:rFonts w:asciiTheme="majorBidi" w:hAnsiTheme="majorBidi" w:cstheme="majorBidi"/>
          <w:color w:val="auto"/>
        </w:rPr>
      </w:pPr>
      <w:bookmarkStart w:id="7" w:name="_Toc221373836"/>
      <w:r w:rsidRPr="007F71FD">
        <w:rPr>
          <w:rFonts w:asciiTheme="majorBidi" w:hAnsiTheme="majorBidi" w:cstheme="majorBidi"/>
          <w:color w:val="auto"/>
        </w:rPr>
        <w:t xml:space="preserve">2.1.5 </w:t>
      </w:r>
      <w:proofErr w:type="spellStart"/>
      <w:r w:rsidRPr="007F71FD">
        <w:rPr>
          <w:rFonts w:asciiTheme="majorBidi" w:hAnsiTheme="majorBidi" w:cstheme="majorBidi"/>
          <w:color w:val="auto"/>
        </w:rPr>
        <w:t>Gaussianity</w:t>
      </w:r>
      <w:proofErr w:type="spellEnd"/>
      <w:r w:rsidRPr="007F71FD">
        <w:rPr>
          <w:rFonts w:asciiTheme="majorBidi" w:hAnsiTheme="majorBidi" w:cstheme="majorBidi"/>
          <w:color w:val="auto"/>
        </w:rPr>
        <w:t xml:space="preserve"> of Feature Distributions</w:t>
      </w:r>
      <w:bookmarkEnd w:id="7"/>
    </w:p>
    <w:p w14:paraId="01EBF6D6" w14:textId="77777777" w:rsidR="00666510" w:rsidRPr="007F71FD" w:rsidRDefault="00000000" w:rsidP="00BB39EF">
      <w:pPr>
        <w:spacing w:after="160" w:line="300" w:lineRule="auto"/>
        <w:ind w:left="2160"/>
        <w:jc w:val="both"/>
        <w:rPr>
          <w:rFonts w:asciiTheme="majorBidi" w:hAnsiTheme="majorBidi" w:cstheme="majorBidi"/>
        </w:rPr>
      </w:pPr>
      <w:r w:rsidRPr="007F71FD">
        <w:rPr>
          <w:rFonts w:asciiTheme="majorBidi" w:hAnsiTheme="majorBidi" w:cstheme="majorBidi"/>
        </w:rPr>
        <w:t xml:space="preserve">Visual inspection of the class-wise histograms reveals that many features approximate Gaussian distributions, though some exhibit skewness (e.g., area-related features) or multimodality. Despite these deviations, Gaussian-based Bayesian classifiers remain widely used for several reasons. First, the central limit theorem provides theoretical justification when features are aggregated statistics. Second, Bayesian classifiers are relatively robust to moderate deviations from </w:t>
      </w:r>
      <w:proofErr w:type="spellStart"/>
      <w:r w:rsidRPr="007F71FD">
        <w:rPr>
          <w:rFonts w:asciiTheme="majorBidi" w:hAnsiTheme="majorBidi" w:cstheme="majorBidi"/>
        </w:rPr>
        <w:t>Gaussianity</w:t>
      </w:r>
      <w:proofErr w:type="spellEnd"/>
      <w:r w:rsidRPr="007F71FD">
        <w:rPr>
          <w:rFonts w:asciiTheme="majorBidi" w:hAnsiTheme="majorBidi" w:cstheme="majorBidi"/>
        </w:rPr>
        <w:t>, particularly when the decision boundary is primarily determined by the first and second moments (mean and covariance). Third, the analytical tractability of the Gaussian assumption enables closed-form parameter estimation and efficient classification.</w:t>
      </w:r>
    </w:p>
    <w:p w14:paraId="54692C5C" w14:textId="77777777" w:rsidR="00666510" w:rsidRPr="007F71FD" w:rsidRDefault="00000000" w:rsidP="00BB39EF">
      <w:pPr>
        <w:spacing w:after="160" w:line="300" w:lineRule="auto"/>
        <w:ind w:left="2160"/>
        <w:jc w:val="both"/>
        <w:rPr>
          <w:rFonts w:asciiTheme="majorBidi" w:hAnsiTheme="majorBidi" w:cstheme="majorBidi"/>
        </w:rPr>
      </w:pPr>
      <w:r w:rsidRPr="007F71FD">
        <w:rPr>
          <w:rFonts w:asciiTheme="majorBidi" w:hAnsiTheme="majorBidi" w:cstheme="majorBidi"/>
        </w:rPr>
        <w:t xml:space="preserve">Deviations from </w:t>
      </w:r>
      <w:proofErr w:type="spellStart"/>
      <w:r w:rsidRPr="007F71FD">
        <w:rPr>
          <w:rFonts w:asciiTheme="majorBidi" w:hAnsiTheme="majorBidi" w:cstheme="majorBidi"/>
        </w:rPr>
        <w:t>Gaussianity</w:t>
      </w:r>
      <w:proofErr w:type="spellEnd"/>
      <w:r w:rsidRPr="007F71FD">
        <w:rPr>
          <w:rFonts w:asciiTheme="majorBidi" w:hAnsiTheme="majorBidi" w:cstheme="majorBidi"/>
        </w:rPr>
        <w:t xml:space="preserve"> affect LDA and QDA differently. LDA, which assumes a shared covariance matrix across classes, is primarily sensitive to departures that alter the location of the linear decision boundary. QDA, which allows class-specific covariance matrices, is more sensitive to distributional shape within each class, as the quadratic boundary depends on the full covariance structure. When within-class distributions deviate significantly from </w:t>
      </w:r>
      <w:proofErr w:type="spellStart"/>
      <w:r w:rsidRPr="007F71FD">
        <w:rPr>
          <w:rFonts w:asciiTheme="majorBidi" w:hAnsiTheme="majorBidi" w:cstheme="majorBidi"/>
        </w:rPr>
        <w:t>Gaussianity</w:t>
      </w:r>
      <w:proofErr w:type="spellEnd"/>
      <w:r w:rsidRPr="007F71FD">
        <w:rPr>
          <w:rFonts w:asciiTheme="majorBidi" w:hAnsiTheme="majorBidi" w:cstheme="majorBidi"/>
        </w:rPr>
        <w:t>, QDA’s additional flexibility may not translate into improved performance and could instead lead to overfitting.</w:t>
      </w:r>
    </w:p>
    <w:p w14:paraId="61D79D3D" w14:textId="77777777" w:rsidR="00666510" w:rsidRPr="007F71FD" w:rsidRDefault="00000000" w:rsidP="00D61E68">
      <w:pPr>
        <w:pStyle w:val="Heading2"/>
        <w:ind w:firstLine="720"/>
        <w:rPr>
          <w:rFonts w:asciiTheme="majorBidi" w:hAnsiTheme="majorBidi" w:cstheme="majorBidi"/>
          <w:color w:val="auto"/>
        </w:rPr>
      </w:pPr>
      <w:bookmarkStart w:id="8" w:name="_Toc221373837"/>
      <w:r w:rsidRPr="007F71FD">
        <w:rPr>
          <w:rFonts w:asciiTheme="majorBidi" w:hAnsiTheme="majorBidi" w:cstheme="majorBidi"/>
          <w:color w:val="auto"/>
        </w:rPr>
        <w:t>2.2 Bayesian Decision Theory and Distance Measures</w:t>
      </w:r>
      <w:bookmarkEnd w:id="8"/>
    </w:p>
    <w:p w14:paraId="27B81982" w14:textId="77777777" w:rsidR="00666510" w:rsidRPr="007F71FD" w:rsidRDefault="00000000" w:rsidP="00D61E68">
      <w:pPr>
        <w:pStyle w:val="Heading3"/>
        <w:ind w:left="720" w:firstLine="720"/>
        <w:rPr>
          <w:rFonts w:asciiTheme="majorBidi" w:hAnsiTheme="majorBidi" w:cstheme="majorBidi"/>
          <w:color w:val="auto"/>
        </w:rPr>
      </w:pPr>
      <w:bookmarkStart w:id="9" w:name="_Toc221373838"/>
      <w:r w:rsidRPr="007F71FD">
        <w:rPr>
          <w:rFonts w:asciiTheme="majorBidi" w:hAnsiTheme="majorBidi" w:cstheme="majorBidi"/>
          <w:color w:val="auto"/>
        </w:rPr>
        <w:t>2.2.1 Bayes’ Rule</w:t>
      </w:r>
      <w:bookmarkEnd w:id="9"/>
    </w:p>
    <w:p w14:paraId="5CB75CBA" w14:textId="77777777" w:rsidR="00666510" w:rsidRDefault="00000000" w:rsidP="00D61E68">
      <w:pPr>
        <w:spacing w:after="160" w:line="300" w:lineRule="auto"/>
        <w:ind w:left="2160"/>
        <w:jc w:val="both"/>
        <w:rPr>
          <w:rFonts w:asciiTheme="majorBidi" w:hAnsiTheme="majorBidi" w:cstheme="majorBidi"/>
        </w:rPr>
      </w:pPr>
      <w:r w:rsidRPr="007F71FD">
        <w:rPr>
          <w:rFonts w:asciiTheme="majorBidi" w:hAnsiTheme="majorBidi" w:cstheme="majorBidi"/>
        </w:rPr>
        <w:t>Bayes’ rule provides the mathematical foundation for probabilistic classification. For a feature vector x and class label y, the posterior probability is given by:</w:t>
      </w:r>
    </w:p>
    <w:p w14:paraId="395E97B9" w14:textId="11097CF8" w:rsidR="00A11955" w:rsidRPr="007F71FD" w:rsidRDefault="00A11955" w:rsidP="00D61E68">
      <w:pPr>
        <w:spacing w:after="160" w:line="300" w:lineRule="auto"/>
        <w:ind w:left="2160"/>
        <w:jc w:val="both"/>
        <w:rPr>
          <w:rFonts w:asciiTheme="majorBidi" w:hAnsiTheme="majorBidi" w:cstheme="majorBidi"/>
        </w:rPr>
      </w:pPr>
      <m:oMathPara>
        <m:oMath>
          <m:r>
            <w:rPr>
              <w:rFonts w:ascii="Cambria Math" w:hAnsi="Cambria Math" w:cstheme="majorBidi"/>
            </w:rPr>
            <m:t>P</m:t>
          </m:r>
          <m:d>
            <m:dPr>
              <m:ctrlPr>
                <w:rPr>
                  <w:rFonts w:ascii="Cambria Math" w:hAnsi="Cambria Math" w:cstheme="majorBidi"/>
                  <w:i/>
                </w:rPr>
              </m:ctrlPr>
            </m:dPr>
            <m:e>
              <m:r>
                <w:rPr>
                  <w:rFonts w:ascii="Cambria Math" w:hAnsi="Cambria Math" w:cstheme="majorBidi"/>
                </w:rPr>
                <m:t>y</m:t>
              </m:r>
            </m:e>
            <m:e>
              <m:r>
                <w:rPr>
                  <w:rFonts w:ascii="Cambria Math" w:hAnsi="Cambria Math" w:cstheme="majorBidi"/>
                </w:rPr>
                <m:t>x</m:t>
              </m:r>
            </m:e>
          </m:d>
          <m:r>
            <w:rPr>
              <w:rFonts w:ascii="Cambria Math" w:hAnsi="Cambria Math" w:cstheme="majorBidi"/>
            </w:rPr>
            <m:t>=</m:t>
          </m:r>
          <m:f>
            <m:fPr>
              <m:ctrlPr>
                <w:rPr>
                  <w:rFonts w:ascii="Cambria Math" w:hAnsi="Cambria Math" w:cstheme="majorBidi"/>
                </w:rPr>
              </m:ctrlPr>
            </m:fPr>
            <m:num>
              <m:r>
                <w:rPr>
                  <w:rFonts w:ascii="Cambria Math" w:hAnsi="Cambria Math" w:cstheme="majorBidi"/>
                </w:rPr>
                <m:t>P</m:t>
              </m:r>
              <m:d>
                <m:dPr>
                  <m:ctrlPr>
                    <w:rPr>
                      <w:rFonts w:ascii="Cambria Math" w:hAnsi="Cambria Math" w:cstheme="majorBidi"/>
                      <w:i/>
                    </w:rPr>
                  </m:ctrlPr>
                </m:dPr>
                <m:e>
                  <m:r>
                    <w:rPr>
                      <w:rFonts w:ascii="Cambria Math" w:hAnsi="Cambria Math" w:cstheme="majorBidi"/>
                    </w:rPr>
                    <m:t>x</m:t>
                  </m:r>
                </m:e>
                <m:e>
                  <m:r>
                    <w:rPr>
                      <w:rFonts w:ascii="Cambria Math" w:hAnsi="Cambria Math" w:cstheme="majorBidi"/>
                    </w:rPr>
                    <m:t>y</m:t>
                  </m:r>
                </m:e>
              </m:d>
              <m:r>
                <m:rPr>
                  <m:sty m:val="p"/>
                </m:rPr>
                <w:rPr>
                  <w:rFonts w:ascii="Cambria Math" w:hAnsi="Cambria Math" w:cstheme="majorBidi"/>
                </w:rPr>
                <m:t>⋅</m:t>
              </m:r>
              <m:r>
                <w:rPr>
                  <w:rFonts w:ascii="Cambria Math" w:hAnsi="Cambria Math" w:cstheme="majorBidi"/>
                </w:rPr>
                <m:t>P</m:t>
              </m:r>
              <m:d>
                <m:dPr>
                  <m:ctrlPr>
                    <w:rPr>
                      <w:rFonts w:ascii="Cambria Math" w:hAnsi="Cambria Math" w:cstheme="majorBidi"/>
                      <w:i/>
                    </w:rPr>
                  </m:ctrlPr>
                </m:dPr>
                <m:e>
                  <m:r>
                    <w:rPr>
                      <w:rFonts w:ascii="Cambria Math" w:hAnsi="Cambria Math" w:cstheme="majorBidi"/>
                    </w:rPr>
                    <m:t>y</m:t>
                  </m:r>
                </m:e>
              </m:d>
              <m:ctrlPr>
                <w:rPr>
                  <w:rFonts w:ascii="Cambria Math" w:hAnsi="Cambria Math" w:cstheme="majorBidi"/>
                  <w:i/>
                </w:rPr>
              </m:ctrlPr>
            </m:num>
            <m:den>
              <m:r>
                <w:rPr>
                  <w:rFonts w:ascii="Cambria Math" w:hAnsi="Cambria Math" w:cstheme="majorBidi"/>
                </w:rPr>
                <m:t>P</m:t>
              </m:r>
              <m:d>
                <m:dPr>
                  <m:ctrlPr>
                    <w:rPr>
                      <w:rFonts w:ascii="Cambria Math" w:hAnsi="Cambria Math" w:cstheme="majorBidi"/>
                      <w:i/>
                    </w:rPr>
                  </m:ctrlPr>
                </m:dPr>
                <m:e>
                  <m:r>
                    <w:rPr>
                      <w:rFonts w:ascii="Cambria Math" w:hAnsi="Cambria Math" w:cstheme="majorBidi"/>
                    </w:rPr>
                    <m:t>x</m:t>
                  </m:r>
                </m:e>
              </m:d>
              <m:ctrlPr>
                <w:rPr>
                  <w:rFonts w:ascii="Cambria Math" w:hAnsi="Cambria Math" w:cstheme="majorBidi"/>
                  <w:i/>
                </w:rPr>
              </m:ctrlPr>
            </m:den>
          </m:f>
        </m:oMath>
      </m:oMathPara>
    </w:p>
    <w:p w14:paraId="55DEC0AF" w14:textId="5446B329" w:rsidR="00666510" w:rsidRPr="007F71FD" w:rsidRDefault="00000000" w:rsidP="00D61E68">
      <w:pPr>
        <w:spacing w:after="160" w:line="300" w:lineRule="auto"/>
        <w:ind w:left="2160"/>
        <w:jc w:val="both"/>
        <w:rPr>
          <w:rFonts w:asciiTheme="majorBidi" w:hAnsiTheme="majorBidi" w:cstheme="majorBidi"/>
        </w:rPr>
      </w:pPr>
      <w:r w:rsidRPr="007F71FD">
        <w:rPr>
          <w:rFonts w:asciiTheme="majorBidi" w:hAnsiTheme="majorBidi" w:cstheme="majorBidi"/>
        </w:rPr>
        <w:t xml:space="preserve">where P(y) is the prior probability reflecting the relative frequency of </w:t>
      </w:r>
      <w:proofErr w:type="spellStart"/>
      <w:r w:rsidRPr="007F71FD">
        <w:rPr>
          <w:rFonts w:asciiTheme="majorBidi" w:hAnsiTheme="majorBidi" w:cstheme="majorBidi"/>
        </w:rPr>
        <w:t>class y</w:t>
      </w:r>
      <w:proofErr w:type="spellEnd"/>
      <w:r w:rsidRPr="007F71FD">
        <w:rPr>
          <w:rFonts w:asciiTheme="majorBidi" w:hAnsiTheme="majorBidi" w:cstheme="majorBidi"/>
        </w:rPr>
        <w:t xml:space="preserve"> in the training data, </w:t>
      </w:r>
      <m:oMath>
        <m:r>
          <w:rPr>
            <w:rFonts w:ascii="Cambria Math" w:hAnsi="Cambria Math" w:cstheme="majorBidi"/>
          </w:rPr>
          <m:t>P</m:t>
        </m:r>
        <m:d>
          <m:dPr>
            <m:ctrlPr>
              <w:rPr>
                <w:rFonts w:ascii="Cambria Math" w:hAnsi="Cambria Math" w:cstheme="majorBidi"/>
                <w:i/>
              </w:rPr>
            </m:ctrlPr>
          </m:dPr>
          <m:e>
            <m:r>
              <w:rPr>
                <w:rFonts w:ascii="Cambria Math" w:hAnsi="Cambria Math" w:cstheme="majorBidi"/>
              </w:rPr>
              <m:t>x</m:t>
            </m:r>
          </m:e>
          <m:e>
            <m:r>
              <w:rPr>
                <w:rFonts w:ascii="Cambria Math" w:hAnsi="Cambria Math" w:cstheme="majorBidi"/>
              </w:rPr>
              <m:t>y</m:t>
            </m:r>
          </m:e>
        </m:d>
        <m:r>
          <w:rPr>
            <w:rFonts w:ascii="Cambria Math" w:hAnsi="Cambria Math" w:cstheme="majorBidi"/>
          </w:rPr>
          <m:t xml:space="preserve"> </m:t>
        </m:r>
      </m:oMath>
      <w:r w:rsidRPr="007F71FD">
        <w:rPr>
          <w:rFonts w:asciiTheme="majorBidi" w:hAnsiTheme="majorBidi" w:cstheme="majorBidi"/>
        </w:rPr>
        <w:t xml:space="preserve">is the class-conditional likelihood describing how the features are distributed within each class, and </w:t>
      </w:r>
      <m:oMath>
        <m:r>
          <w:rPr>
            <w:rFonts w:ascii="Cambria Math" w:hAnsi="Cambria Math" w:cstheme="majorBidi"/>
          </w:rPr>
          <m:t>P</m:t>
        </m:r>
        <m:d>
          <m:dPr>
            <m:ctrlPr>
              <w:rPr>
                <w:rFonts w:ascii="Cambria Math" w:hAnsi="Cambria Math" w:cstheme="majorBidi"/>
                <w:i/>
              </w:rPr>
            </m:ctrlPr>
          </m:dPr>
          <m:e>
            <m:r>
              <w:rPr>
                <w:rFonts w:ascii="Cambria Math" w:hAnsi="Cambria Math" w:cstheme="majorBidi"/>
              </w:rPr>
              <m:t>y</m:t>
            </m:r>
          </m:e>
          <m:e>
            <m:r>
              <w:rPr>
                <w:rFonts w:ascii="Cambria Math" w:hAnsi="Cambria Math" w:cstheme="majorBidi"/>
              </w:rPr>
              <m:t>x</m:t>
            </m:r>
          </m:e>
        </m:d>
      </m:oMath>
      <w:r w:rsidRPr="007F71FD">
        <w:rPr>
          <w:rFonts w:asciiTheme="majorBidi" w:hAnsiTheme="majorBidi" w:cstheme="majorBidi"/>
        </w:rPr>
        <w:t xml:space="preserve">is the posterior probability of class membership given the observed features. The normalizing constant P(x) ensures that the posterior sums to one across classes. For classification, it is </w:t>
      </w:r>
      <w:r w:rsidRPr="007F71FD">
        <w:rPr>
          <w:rFonts w:asciiTheme="majorBidi" w:hAnsiTheme="majorBidi" w:cstheme="majorBidi"/>
        </w:rPr>
        <w:lastRenderedPageBreak/>
        <w:t>sufficient to maximize the unnormalized posterior</w:t>
      </w:r>
      <m:oMath>
        <m:r>
          <w:rPr>
            <w:rFonts w:ascii="Cambria Math" w:hAnsi="Cambria Math" w:cstheme="majorBidi"/>
          </w:rPr>
          <m:t xml:space="preserve"> P</m:t>
        </m:r>
        <m:d>
          <m:dPr>
            <m:ctrlPr>
              <w:rPr>
                <w:rFonts w:ascii="Cambria Math" w:hAnsi="Cambria Math" w:cstheme="majorBidi"/>
                <w:i/>
              </w:rPr>
            </m:ctrlPr>
          </m:dPr>
          <m:e>
            <m:r>
              <w:rPr>
                <w:rFonts w:ascii="Cambria Math" w:hAnsi="Cambria Math" w:cstheme="majorBidi"/>
              </w:rPr>
              <m:t>x</m:t>
            </m:r>
          </m:e>
          <m:e>
            <m:r>
              <w:rPr>
                <w:rFonts w:ascii="Cambria Math" w:hAnsi="Cambria Math" w:cstheme="majorBidi"/>
              </w:rPr>
              <m:t>y</m:t>
            </m:r>
          </m:e>
        </m:d>
        <m:r>
          <m:rPr>
            <m:sty m:val="p"/>
          </m:rPr>
          <w:rPr>
            <w:rFonts w:ascii="Cambria Math" w:hAnsi="Cambria Math" w:cstheme="majorBidi"/>
          </w:rPr>
          <m:t>⋅</m:t>
        </m:r>
        <m:r>
          <w:rPr>
            <w:rFonts w:ascii="Cambria Math" w:hAnsi="Cambria Math" w:cstheme="majorBidi"/>
          </w:rPr>
          <m:t>P</m:t>
        </m:r>
        <m:d>
          <m:dPr>
            <m:ctrlPr>
              <w:rPr>
                <w:rFonts w:ascii="Cambria Math" w:hAnsi="Cambria Math" w:cstheme="majorBidi"/>
                <w:i/>
              </w:rPr>
            </m:ctrlPr>
          </m:dPr>
          <m:e>
            <m:r>
              <w:rPr>
                <w:rFonts w:ascii="Cambria Math" w:hAnsi="Cambria Math" w:cstheme="majorBidi"/>
              </w:rPr>
              <m:t>y</m:t>
            </m:r>
          </m:e>
        </m:d>
      </m:oMath>
      <w:r w:rsidRPr="007F71FD">
        <w:rPr>
          <w:rFonts w:asciiTheme="majorBidi" w:hAnsiTheme="majorBidi" w:cstheme="majorBidi"/>
        </w:rPr>
        <w:t>, since P(x) is identical for all classes and does not affect the argmax decision.</w:t>
      </w:r>
    </w:p>
    <w:p w14:paraId="5D92D1D7" w14:textId="77777777" w:rsidR="00666510" w:rsidRPr="007F71FD" w:rsidRDefault="00000000" w:rsidP="00D61E68">
      <w:pPr>
        <w:pStyle w:val="Heading3"/>
        <w:ind w:left="720" w:firstLine="720"/>
        <w:rPr>
          <w:rFonts w:asciiTheme="majorBidi" w:hAnsiTheme="majorBidi" w:cstheme="majorBidi"/>
          <w:color w:val="auto"/>
        </w:rPr>
      </w:pPr>
      <w:bookmarkStart w:id="10" w:name="_Toc221373839"/>
      <w:r w:rsidRPr="007F71FD">
        <w:rPr>
          <w:rFonts w:asciiTheme="majorBidi" w:hAnsiTheme="majorBidi" w:cstheme="majorBidi"/>
          <w:color w:val="auto"/>
        </w:rPr>
        <w:t xml:space="preserve">2.2.2 </w:t>
      </w:r>
      <w:proofErr w:type="spellStart"/>
      <w:r w:rsidRPr="007F71FD">
        <w:rPr>
          <w:rFonts w:asciiTheme="majorBidi" w:hAnsiTheme="majorBidi" w:cstheme="majorBidi"/>
          <w:color w:val="auto"/>
        </w:rPr>
        <w:t>Mahalanobis</w:t>
      </w:r>
      <w:proofErr w:type="spellEnd"/>
      <w:r w:rsidRPr="007F71FD">
        <w:rPr>
          <w:rFonts w:asciiTheme="majorBidi" w:hAnsiTheme="majorBidi" w:cstheme="majorBidi"/>
          <w:color w:val="auto"/>
        </w:rPr>
        <w:t xml:space="preserve"> Distance</w:t>
      </w:r>
      <w:bookmarkEnd w:id="10"/>
    </w:p>
    <w:p w14:paraId="6489095C" w14:textId="77777777" w:rsidR="00666510" w:rsidRPr="007F71FD" w:rsidRDefault="00000000" w:rsidP="00D61E68">
      <w:pPr>
        <w:spacing w:after="160" w:line="300" w:lineRule="auto"/>
        <w:ind w:left="2160"/>
        <w:jc w:val="both"/>
        <w:rPr>
          <w:rFonts w:asciiTheme="majorBidi" w:hAnsiTheme="majorBidi" w:cstheme="majorBidi"/>
        </w:rPr>
      </w:pPr>
      <w:r w:rsidRPr="007F71FD">
        <w:rPr>
          <w:rFonts w:asciiTheme="majorBidi" w:hAnsiTheme="majorBidi" w:cstheme="majorBidi"/>
        </w:rPr>
        <w:t xml:space="preserve">The </w:t>
      </w:r>
      <w:proofErr w:type="spellStart"/>
      <w:r w:rsidRPr="007F71FD">
        <w:rPr>
          <w:rFonts w:asciiTheme="majorBidi" w:hAnsiTheme="majorBidi" w:cstheme="majorBidi"/>
        </w:rPr>
        <w:t>Mahalanobis</w:t>
      </w:r>
      <w:proofErr w:type="spellEnd"/>
      <w:r w:rsidRPr="007F71FD">
        <w:rPr>
          <w:rFonts w:asciiTheme="majorBidi" w:hAnsiTheme="majorBidi" w:cstheme="majorBidi"/>
        </w:rPr>
        <w:t xml:space="preserve"> distance generalizes the Euclidean distance by accounting for feature correlations and scaling. For a point x relative to a mean μ with covariance matrix Σ, it is defined as:</w:t>
      </w:r>
    </w:p>
    <w:p w14:paraId="55A7B85B" w14:textId="15F413B7" w:rsidR="00777264" w:rsidRDefault="00000000" w:rsidP="00D61E68">
      <w:pPr>
        <w:spacing w:after="160" w:line="300" w:lineRule="auto"/>
        <w:ind w:left="2160"/>
        <w:jc w:val="both"/>
        <w:rPr>
          <w:rFonts w:asciiTheme="majorBidi" w:hAnsiTheme="majorBidi" w:cstheme="majorBidi"/>
          <w:i/>
          <w:iCs/>
        </w:rPr>
      </w:pPr>
      <m:oMathPara>
        <m:oMath>
          <m:sSub>
            <m:sSubPr>
              <m:ctrlPr>
                <w:rPr>
                  <w:rFonts w:ascii="Cambria Math" w:hAnsi="Cambria Math" w:cstheme="majorBidi"/>
                  <w:i/>
                  <w:iCs/>
                </w:rPr>
              </m:ctrlPr>
            </m:sSubPr>
            <m:e>
              <m:r>
                <w:rPr>
                  <w:rFonts w:ascii="Cambria Math" w:hAnsi="Cambria Math" w:cstheme="majorBidi"/>
                </w:rPr>
                <m:t>d</m:t>
              </m:r>
            </m:e>
            <m:sub>
              <m:r>
                <w:rPr>
                  <w:rFonts w:ascii="Cambria Math" w:hAnsi="Cambria Math" w:cstheme="majorBidi"/>
                </w:rPr>
                <m:t>M</m:t>
              </m:r>
            </m:sub>
          </m:sSub>
          <m:d>
            <m:dPr>
              <m:ctrlPr>
                <w:rPr>
                  <w:rFonts w:ascii="Cambria Math" w:hAnsi="Cambria Math" w:cstheme="majorBidi"/>
                  <w:i/>
                  <w:iCs/>
                </w:rPr>
              </m:ctrlPr>
            </m:dPr>
            <m:e>
              <m:r>
                <w:rPr>
                  <w:rFonts w:ascii="Cambria Math" w:hAnsi="Cambria Math" w:cstheme="majorBidi"/>
                </w:rPr>
                <m:t>x,</m:t>
              </m:r>
              <m:r>
                <m:rPr>
                  <m:sty m:val="p"/>
                </m:rPr>
                <w:rPr>
                  <w:rFonts w:ascii="Cambria Math" w:hAnsi="Cambria Math" w:cstheme="majorBidi"/>
                </w:rPr>
                <m:t>μ</m:t>
              </m:r>
            </m:e>
          </m:d>
          <m:r>
            <w:rPr>
              <w:rFonts w:ascii="Cambria Math" w:hAnsi="Cambria Math" w:cstheme="majorBidi"/>
            </w:rPr>
            <m:t>=</m:t>
          </m:r>
          <m:rad>
            <m:radPr>
              <m:degHide m:val="1"/>
              <m:ctrlPr>
                <w:rPr>
                  <w:rFonts w:ascii="Cambria Math" w:hAnsi="Cambria Math" w:cstheme="majorBidi"/>
                  <w:iCs/>
                </w:rPr>
              </m:ctrlPr>
            </m:radPr>
            <m:deg>
              <m:ctrlPr>
                <w:rPr>
                  <w:rFonts w:ascii="Cambria Math" w:hAnsi="Cambria Math" w:cstheme="majorBidi"/>
                  <w:i/>
                  <w:iCs/>
                </w:rPr>
              </m:ctrlPr>
            </m:deg>
            <m:e>
              <m:sSup>
                <m:sSupPr>
                  <m:ctrlPr>
                    <w:rPr>
                      <w:rFonts w:ascii="Cambria Math" w:hAnsi="Cambria Math" w:cstheme="majorBidi"/>
                      <w:i/>
                      <w:iCs/>
                    </w:rPr>
                  </m:ctrlPr>
                </m:sSupPr>
                <m:e>
                  <m:d>
                    <m:dPr>
                      <m:ctrlPr>
                        <w:rPr>
                          <w:rFonts w:ascii="Cambria Math" w:hAnsi="Cambria Math" w:cstheme="majorBidi"/>
                          <w:i/>
                          <w:iCs/>
                        </w:rPr>
                      </m:ctrlPr>
                    </m:dPr>
                    <m:e>
                      <m:r>
                        <w:rPr>
                          <w:rFonts w:ascii="Cambria Math" w:hAnsi="Cambria Math" w:cstheme="majorBidi"/>
                        </w:rPr>
                        <m:t>x-</m:t>
                      </m:r>
                      <m:r>
                        <m:rPr>
                          <m:sty m:val="p"/>
                        </m:rPr>
                        <w:rPr>
                          <w:rFonts w:ascii="Cambria Math" w:hAnsi="Cambria Math" w:cstheme="majorBidi"/>
                        </w:rPr>
                        <m:t>μ</m:t>
                      </m:r>
                    </m:e>
                  </m:d>
                </m:e>
                <m:sup>
                  <m:r>
                    <m:rPr>
                      <m:sty m:val="p"/>
                    </m:rPr>
                    <w:rPr>
                      <w:rFonts w:ascii="Cambria Math" w:hAnsi="Cambria Math" w:cstheme="majorBidi"/>
                    </w:rPr>
                    <m:t>⊤</m:t>
                  </m:r>
                </m:sup>
              </m:sSup>
              <m:sSup>
                <m:sSupPr>
                  <m:ctrlPr>
                    <w:rPr>
                      <w:rFonts w:ascii="Cambria Math" w:hAnsi="Cambria Math" w:cstheme="majorBidi"/>
                      <w:i/>
                      <w:iCs/>
                    </w:rPr>
                  </m:ctrlPr>
                </m:sSupPr>
                <m:e>
                  <m:r>
                    <m:rPr>
                      <m:sty m:val="p"/>
                    </m:rPr>
                    <w:rPr>
                      <w:rFonts w:ascii="Cambria Math" w:hAnsi="Cambria Math" w:cstheme="majorBidi"/>
                    </w:rPr>
                    <m:t>Σ</m:t>
                  </m:r>
                  <m:ctrlPr>
                    <w:rPr>
                      <w:rFonts w:ascii="Cambria Math" w:hAnsi="Cambria Math" w:cstheme="majorBidi"/>
                      <w:iCs/>
                    </w:rPr>
                  </m:ctrlPr>
                </m:e>
                <m:sup>
                  <m:r>
                    <w:rPr>
                      <w:rFonts w:ascii="Cambria Math" w:hAnsi="Cambria Math" w:cstheme="majorBidi"/>
                    </w:rPr>
                    <m:t>-1</m:t>
                  </m:r>
                </m:sup>
              </m:sSup>
              <m:d>
                <m:dPr>
                  <m:ctrlPr>
                    <w:rPr>
                      <w:rFonts w:ascii="Cambria Math" w:hAnsi="Cambria Math" w:cstheme="majorBidi"/>
                      <w:i/>
                      <w:iCs/>
                    </w:rPr>
                  </m:ctrlPr>
                </m:dPr>
                <m:e>
                  <m:r>
                    <w:rPr>
                      <w:rFonts w:ascii="Cambria Math" w:hAnsi="Cambria Math" w:cstheme="majorBidi"/>
                    </w:rPr>
                    <m:t>x-</m:t>
                  </m:r>
                  <m:r>
                    <m:rPr>
                      <m:sty m:val="p"/>
                    </m:rPr>
                    <w:rPr>
                      <w:rFonts w:ascii="Cambria Math" w:hAnsi="Cambria Math" w:cstheme="majorBidi"/>
                    </w:rPr>
                    <m:t>μ</m:t>
                  </m:r>
                </m:e>
              </m:d>
            </m:e>
          </m:rad>
        </m:oMath>
      </m:oMathPara>
    </w:p>
    <w:p w14:paraId="3A66E1AF" w14:textId="59EF8AAB" w:rsidR="00666510" w:rsidRPr="007F71FD" w:rsidRDefault="00000000" w:rsidP="00D61E68">
      <w:pPr>
        <w:spacing w:after="160" w:line="300" w:lineRule="auto"/>
        <w:ind w:left="2160"/>
        <w:jc w:val="both"/>
        <w:rPr>
          <w:rFonts w:asciiTheme="majorBidi" w:hAnsiTheme="majorBidi" w:cstheme="majorBidi"/>
        </w:rPr>
      </w:pPr>
      <w:r w:rsidRPr="007F71FD">
        <w:rPr>
          <w:rFonts w:asciiTheme="majorBidi" w:hAnsiTheme="majorBidi" w:cstheme="majorBidi"/>
        </w:rPr>
        <w:t xml:space="preserve">Unlike Euclidean distance, which treats all directions equally, the </w:t>
      </w:r>
      <w:proofErr w:type="spellStart"/>
      <w:r w:rsidRPr="007F71FD">
        <w:rPr>
          <w:rFonts w:asciiTheme="majorBidi" w:hAnsiTheme="majorBidi" w:cstheme="majorBidi"/>
        </w:rPr>
        <w:t>Mahalanobis</w:t>
      </w:r>
      <w:proofErr w:type="spellEnd"/>
      <w:r w:rsidRPr="007F71FD">
        <w:rPr>
          <w:rFonts w:asciiTheme="majorBidi" w:hAnsiTheme="majorBidi" w:cstheme="majorBidi"/>
        </w:rPr>
        <w:t xml:space="preserve"> distance </w:t>
      </w:r>
      <w:proofErr w:type="gramStart"/>
      <w:r w:rsidRPr="007F71FD">
        <w:rPr>
          <w:rFonts w:asciiTheme="majorBidi" w:hAnsiTheme="majorBidi" w:cstheme="majorBidi"/>
        </w:rPr>
        <w:t>weights directions</w:t>
      </w:r>
      <w:proofErr w:type="gramEnd"/>
      <w:r w:rsidRPr="007F71FD">
        <w:rPr>
          <w:rFonts w:asciiTheme="majorBidi" w:hAnsiTheme="majorBidi" w:cstheme="majorBidi"/>
        </w:rPr>
        <w:t xml:space="preserve"> according to the inverse covariance, effectively measuring distance in units of standard deviations along the principal axes of the data distribution. This distance naturally appears in the log-likelihood of multivariate Gaussian distributions and is therefore central to both LDA and QDA. In GNB, because the covariance matrix is constrained to be diagonal, the distance reduces to a weighted sum of squared differences along individual feature axes, which is a special case that does not explicitly involve the full </w:t>
      </w:r>
      <w:proofErr w:type="spellStart"/>
      <w:r w:rsidRPr="007F71FD">
        <w:rPr>
          <w:rFonts w:asciiTheme="majorBidi" w:hAnsiTheme="majorBidi" w:cstheme="majorBidi"/>
        </w:rPr>
        <w:t>Mahalanobis</w:t>
      </w:r>
      <w:proofErr w:type="spellEnd"/>
      <w:r w:rsidRPr="007F71FD">
        <w:rPr>
          <w:rFonts w:asciiTheme="majorBidi" w:hAnsiTheme="majorBidi" w:cstheme="majorBidi"/>
        </w:rPr>
        <w:t xml:space="preserve"> formulation.</w:t>
      </w:r>
    </w:p>
    <w:p w14:paraId="17ECD284" w14:textId="77777777" w:rsidR="00666510" w:rsidRPr="007F71FD" w:rsidRDefault="00000000" w:rsidP="00D61E68">
      <w:pPr>
        <w:pStyle w:val="Heading2"/>
        <w:ind w:firstLine="720"/>
        <w:rPr>
          <w:rFonts w:asciiTheme="majorBidi" w:hAnsiTheme="majorBidi" w:cstheme="majorBidi"/>
          <w:color w:val="auto"/>
        </w:rPr>
      </w:pPr>
      <w:bookmarkStart w:id="11" w:name="_Toc221373840"/>
      <w:r w:rsidRPr="007F71FD">
        <w:rPr>
          <w:rFonts w:asciiTheme="majorBidi" w:hAnsiTheme="majorBidi" w:cstheme="majorBidi"/>
          <w:color w:val="auto"/>
        </w:rPr>
        <w:t>2.3 Model Parameters</w:t>
      </w:r>
      <w:bookmarkEnd w:id="11"/>
    </w:p>
    <w:p w14:paraId="7354C08E" w14:textId="77777777" w:rsidR="00666510" w:rsidRPr="007F71FD" w:rsidRDefault="00000000" w:rsidP="00D61E68">
      <w:pPr>
        <w:pStyle w:val="Heading3"/>
        <w:ind w:left="720" w:firstLine="720"/>
        <w:rPr>
          <w:rFonts w:asciiTheme="majorBidi" w:hAnsiTheme="majorBidi" w:cstheme="majorBidi"/>
          <w:color w:val="auto"/>
        </w:rPr>
      </w:pPr>
      <w:bookmarkStart w:id="12" w:name="_Toc221373841"/>
      <w:r w:rsidRPr="007F71FD">
        <w:rPr>
          <w:rFonts w:asciiTheme="majorBidi" w:hAnsiTheme="majorBidi" w:cstheme="majorBidi"/>
          <w:color w:val="auto"/>
        </w:rPr>
        <w:t>2.3.1 Parameter Identification</w:t>
      </w:r>
      <w:bookmarkEnd w:id="12"/>
    </w:p>
    <w:p w14:paraId="156C070B" w14:textId="6E102156" w:rsidR="00666510" w:rsidRPr="007F71FD" w:rsidRDefault="00000000" w:rsidP="00D61E68">
      <w:pPr>
        <w:spacing w:after="160" w:line="300" w:lineRule="auto"/>
        <w:ind w:left="2160"/>
        <w:jc w:val="both"/>
        <w:rPr>
          <w:rFonts w:asciiTheme="majorBidi" w:hAnsiTheme="majorBidi" w:cstheme="majorBidi"/>
        </w:rPr>
      </w:pPr>
      <w:r w:rsidRPr="007F71FD">
        <w:rPr>
          <w:rFonts w:asciiTheme="majorBidi" w:hAnsiTheme="majorBidi" w:cstheme="majorBidi"/>
        </w:rPr>
        <w:t>Gaussian Naive Bayes requires per-class priors π_k, per-class per-feature means</w:t>
      </w:r>
      <m:oMath>
        <m:sSub>
          <m:sSubPr>
            <m:ctrlPr>
              <w:rPr>
                <w:rFonts w:ascii="Cambria Math" w:hAnsi="Cambria Math" w:cstheme="majorBidi"/>
                <w:i/>
              </w:rPr>
            </m:ctrlPr>
          </m:sSubPr>
          <m:e>
            <m:r>
              <m:rPr>
                <m:sty m:val="p"/>
              </m:rPr>
              <w:rPr>
                <w:rFonts w:ascii="Cambria Math" w:hAnsi="Cambria Math" w:cstheme="majorBidi"/>
              </w:rPr>
              <m:t xml:space="preserve"> μ</m:t>
            </m:r>
            <m:ctrlPr>
              <w:rPr>
                <w:rFonts w:ascii="Cambria Math" w:hAnsi="Cambria Math" w:cstheme="majorBidi"/>
              </w:rPr>
            </m:ctrlPr>
          </m:e>
          <m:sub>
            <m:r>
              <w:rPr>
                <w:rFonts w:ascii="Cambria Math" w:hAnsi="Cambria Math" w:cstheme="majorBidi"/>
              </w:rPr>
              <m:t>k,j</m:t>
            </m:r>
          </m:sub>
        </m:sSub>
      </m:oMath>
      <w:r w:rsidRPr="007F71FD">
        <w:rPr>
          <w:rFonts w:asciiTheme="majorBidi" w:hAnsiTheme="majorBidi" w:cstheme="majorBidi"/>
        </w:rPr>
        <w:t>, and per-class per-feature variances</w:t>
      </w:r>
      <w:r w:rsidR="00777264">
        <w:rPr>
          <w:rFonts w:asciiTheme="majorBidi" w:hAnsiTheme="majorBidi" w:cstheme="majorBidi"/>
        </w:rPr>
        <w:t xml:space="preserve"> </w:t>
      </w:r>
      <m:oMath>
        <m:sSubSup>
          <m:sSubSupPr>
            <m:ctrlPr>
              <w:rPr>
                <w:rFonts w:ascii="Cambria Math" w:hAnsi="Cambria Math" w:cstheme="majorBidi"/>
                <w:i/>
              </w:rPr>
            </m:ctrlPr>
          </m:sSubSupPr>
          <m:e>
            <m:r>
              <m:rPr>
                <m:sty m:val="p"/>
              </m:rPr>
              <w:rPr>
                <w:rFonts w:ascii="Cambria Math" w:hAnsi="Cambria Math" w:cstheme="majorBidi"/>
              </w:rPr>
              <m:t>σ</m:t>
            </m:r>
            <m:ctrlPr>
              <w:rPr>
                <w:rFonts w:ascii="Cambria Math" w:hAnsi="Cambria Math" w:cstheme="majorBidi"/>
              </w:rPr>
            </m:ctrlPr>
          </m:e>
          <m:sub>
            <m:r>
              <w:rPr>
                <w:rFonts w:ascii="Cambria Math" w:hAnsi="Cambria Math" w:cstheme="majorBidi"/>
              </w:rPr>
              <m:t>k,j</m:t>
            </m:r>
          </m:sub>
          <m:sup>
            <m:r>
              <w:rPr>
                <w:rFonts w:ascii="Cambria Math" w:hAnsi="Cambria Math" w:cstheme="majorBidi"/>
              </w:rPr>
              <m:t>2</m:t>
            </m:r>
          </m:sup>
        </m:sSubSup>
      </m:oMath>
      <w:r w:rsidRPr="007F71FD">
        <w:rPr>
          <w:rFonts w:asciiTheme="majorBidi" w:hAnsiTheme="majorBidi" w:cstheme="majorBidi"/>
        </w:rPr>
        <w:t>. For K classes and D features, this totals K + 2KD parameters. With K=2 and D=30, GNB requires 122 parameters.</w:t>
      </w:r>
    </w:p>
    <w:p w14:paraId="6C56E36C" w14:textId="73E1E274" w:rsidR="00666510" w:rsidRPr="007F71FD" w:rsidRDefault="00000000" w:rsidP="00D61E68">
      <w:pPr>
        <w:spacing w:after="160" w:line="300" w:lineRule="auto"/>
        <w:ind w:left="2160"/>
        <w:jc w:val="both"/>
        <w:rPr>
          <w:rFonts w:asciiTheme="majorBidi" w:hAnsiTheme="majorBidi" w:cstheme="majorBidi"/>
        </w:rPr>
      </w:pPr>
      <w:r w:rsidRPr="007F71FD">
        <w:rPr>
          <w:rFonts w:asciiTheme="majorBidi" w:hAnsiTheme="majorBidi" w:cstheme="majorBidi"/>
        </w:rPr>
        <w:t xml:space="preserve">LDA requires per-class priors π_k, per-class mean vectors </w:t>
      </w:r>
      <m:oMath>
        <m:sSub>
          <m:sSubPr>
            <m:ctrlPr>
              <w:rPr>
                <w:rFonts w:ascii="Cambria Math" w:hAnsi="Cambria Math" w:cstheme="majorBidi"/>
                <w:i/>
              </w:rPr>
            </m:ctrlPr>
          </m:sSubPr>
          <m:e>
            <m:r>
              <m:rPr>
                <m:sty m:val="p"/>
              </m:rPr>
              <w:rPr>
                <w:rFonts w:ascii="Cambria Math" w:hAnsi="Cambria Math" w:cstheme="majorBidi"/>
              </w:rPr>
              <m:t>μ</m:t>
            </m:r>
            <m:ctrlPr>
              <w:rPr>
                <w:rFonts w:ascii="Cambria Math" w:hAnsi="Cambria Math" w:cstheme="majorBidi"/>
              </w:rPr>
            </m:ctrlPr>
          </m:e>
          <m:sub>
            <m:r>
              <w:rPr>
                <w:rFonts w:ascii="Cambria Math" w:hAnsi="Cambria Math" w:cstheme="majorBidi"/>
              </w:rPr>
              <m:t>k</m:t>
            </m:r>
          </m:sub>
        </m:sSub>
        <m:r>
          <w:rPr>
            <w:rFonts w:ascii="Cambria Math" w:hAnsi="Cambria Math" w:cstheme="majorBidi"/>
          </w:rPr>
          <m:t xml:space="preserve"> </m:t>
        </m:r>
      </m:oMath>
      <w:r w:rsidRPr="007F71FD">
        <w:rPr>
          <w:rFonts w:asciiTheme="majorBidi" w:hAnsiTheme="majorBidi" w:cstheme="majorBidi"/>
        </w:rPr>
        <w:t xml:space="preserve">(each of dimension D), and a single shared covariance matrix Σ of dimension D×D. Accounting for symmetry, the shared covariance contributes </w:t>
      </w:r>
      <m:oMath>
        <m:f>
          <m:fPr>
            <m:ctrlPr>
              <w:rPr>
                <w:rFonts w:ascii="Cambria Math" w:hAnsi="Cambria Math" w:cstheme="majorBidi"/>
              </w:rPr>
            </m:ctrlPr>
          </m:fPr>
          <m:num>
            <m:r>
              <w:rPr>
                <w:rFonts w:ascii="Cambria Math" w:hAnsi="Cambria Math" w:cstheme="majorBidi"/>
              </w:rPr>
              <m:t>D</m:t>
            </m:r>
            <m:d>
              <m:dPr>
                <m:ctrlPr>
                  <w:rPr>
                    <w:rFonts w:ascii="Cambria Math" w:hAnsi="Cambria Math" w:cstheme="majorBidi"/>
                    <w:i/>
                  </w:rPr>
                </m:ctrlPr>
              </m:dPr>
              <m:e>
                <m:r>
                  <w:rPr>
                    <w:rFonts w:ascii="Cambria Math" w:hAnsi="Cambria Math" w:cstheme="majorBidi"/>
                  </w:rPr>
                  <m:t>D+1</m:t>
                </m:r>
              </m:e>
            </m:d>
            <m:ctrlPr>
              <w:rPr>
                <w:rFonts w:ascii="Cambria Math" w:hAnsi="Cambria Math" w:cstheme="majorBidi"/>
                <w:i/>
              </w:rPr>
            </m:ctrlPr>
          </m:num>
          <m:den>
            <m:r>
              <w:rPr>
                <w:rFonts w:ascii="Cambria Math" w:hAnsi="Cambria Math" w:cstheme="majorBidi"/>
              </w:rPr>
              <m:t>2</m:t>
            </m:r>
            <m:ctrlPr>
              <w:rPr>
                <w:rFonts w:ascii="Cambria Math" w:hAnsi="Cambria Math" w:cstheme="majorBidi"/>
                <w:i/>
              </w:rPr>
            </m:ctrlPr>
          </m:den>
        </m:f>
      </m:oMath>
      <w:r w:rsidR="00777264">
        <w:rPr>
          <w:rFonts w:asciiTheme="majorBidi" w:hAnsiTheme="majorBidi" w:cstheme="majorBidi"/>
        </w:rPr>
        <w:t xml:space="preserve"> </w:t>
      </w:r>
      <w:r w:rsidRPr="007F71FD">
        <w:rPr>
          <w:rFonts w:asciiTheme="majorBidi" w:hAnsiTheme="majorBidi" w:cstheme="majorBidi"/>
        </w:rPr>
        <w:t xml:space="preserve">unique parameters. The total is </w:t>
      </w:r>
      <m:oMath>
        <m:r>
          <w:rPr>
            <w:rFonts w:ascii="Cambria Math" w:hAnsi="Cambria Math" w:cstheme="majorBidi"/>
          </w:rPr>
          <m:t>K+KD+</m:t>
        </m:r>
        <m:f>
          <m:fPr>
            <m:ctrlPr>
              <w:rPr>
                <w:rFonts w:ascii="Cambria Math" w:hAnsi="Cambria Math" w:cstheme="majorBidi"/>
              </w:rPr>
            </m:ctrlPr>
          </m:fPr>
          <m:num>
            <m:r>
              <w:rPr>
                <w:rFonts w:ascii="Cambria Math" w:hAnsi="Cambria Math" w:cstheme="majorBidi"/>
              </w:rPr>
              <m:t>D</m:t>
            </m:r>
            <m:d>
              <m:dPr>
                <m:ctrlPr>
                  <w:rPr>
                    <w:rFonts w:ascii="Cambria Math" w:hAnsi="Cambria Math" w:cstheme="majorBidi"/>
                    <w:i/>
                  </w:rPr>
                </m:ctrlPr>
              </m:dPr>
              <m:e>
                <m:r>
                  <w:rPr>
                    <w:rFonts w:ascii="Cambria Math" w:hAnsi="Cambria Math" w:cstheme="majorBidi"/>
                  </w:rPr>
                  <m:t>D+1</m:t>
                </m:r>
              </m:e>
            </m:d>
            <m:ctrlPr>
              <w:rPr>
                <w:rFonts w:ascii="Cambria Math" w:hAnsi="Cambria Math" w:cstheme="majorBidi"/>
                <w:i/>
              </w:rPr>
            </m:ctrlPr>
          </m:num>
          <m:den>
            <m:r>
              <w:rPr>
                <w:rFonts w:ascii="Cambria Math" w:hAnsi="Cambria Math" w:cstheme="majorBidi"/>
              </w:rPr>
              <m:t>2</m:t>
            </m:r>
            <m:ctrlPr>
              <w:rPr>
                <w:rFonts w:ascii="Cambria Math" w:hAnsi="Cambria Math" w:cstheme="majorBidi"/>
                <w:i/>
              </w:rPr>
            </m:ctrlPr>
          </m:den>
        </m:f>
        <m:r>
          <w:rPr>
            <w:rFonts w:ascii="Cambria Math" w:hAnsi="Cambria Math" w:cstheme="majorBidi"/>
          </w:rPr>
          <m:t xml:space="preserve">=2+60+465=527 </m:t>
        </m:r>
      </m:oMath>
      <w:r w:rsidRPr="007F71FD">
        <w:rPr>
          <w:rFonts w:asciiTheme="majorBidi" w:hAnsiTheme="majorBidi" w:cstheme="majorBidi"/>
        </w:rPr>
        <w:t>parameters.</w:t>
      </w:r>
    </w:p>
    <w:p w14:paraId="5C5F8970" w14:textId="55930E03" w:rsidR="00666510" w:rsidRPr="007F71FD" w:rsidRDefault="00000000" w:rsidP="00D61E68">
      <w:pPr>
        <w:spacing w:after="160" w:line="300" w:lineRule="auto"/>
        <w:ind w:left="2160"/>
        <w:jc w:val="both"/>
        <w:rPr>
          <w:rFonts w:asciiTheme="majorBidi" w:hAnsiTheme="majorBidi" w:cstheme="majorBidi"/>
        </w:rPr>
      </w:pPr>
      <w:r w:rsidRPr="007F71FD">
        <w:rPr>
          <w:rFonts w:asciiTheme="majorBidi" w:hAnsiTheme="majorBidi" w:cstheme="majorBidi"/>
        </w:rPr>
        <w:t xml:space="preserve">QDA requires per-class priors, per-class mean vectors, and class-specific covariance matrices </w:t>
      </w:r>
      <m:oMath>
        <m:sSub>
          <m:sSubPr>
            <m:ctrlPr>
              <w:rPr>
                <w:rFonts w:ascii="Cambria Math" w:hAnsi="Cambria Math" w:cstheme="majorBidi"/>
                <w:i/>
              </w:rPr>
            </m:ctrlPr>
          </m:sSubPr>
          <m:e>
            <m:r>
              <m:rPr>
                <m:sty m:val="p"/>
              </m:rPr>
              <w:rPr>
                <w:rFonts w:ascii="Cambria Math" w:hAnsi="Cambria Math" w:cstheme="majorBidi"/>
              </w:rPr>
              <m:t>Σ</m:t>
            </m:r>
            <m:ctrlPr>
              <w:rPr>
                <w:rFonts w:ascii="Cambria Math" w:hAnsi="Cambria Math" w:cstheme="majorBidi"/>
              </w:rPr>
            </m:ctrlPr>
          </m:e>
          <m:sub>
            <m:r>
              <w:rPr>
                <w:rFonts w:ascii="Cambria Math" w:hAnsi="Cambria Math" w:cstheme="majorBidi"/>
              </w:rPr>
              <m:t>k</m:t>
            </m:r>
          </m:sub>
        </m:sSub>
      </m:oMath>
      <w:r w:rsidRPr="007F71FD">
        <w:rPr>
          <w:rFonts w:asciiTheme="majorBidi" w:hAnsiTheme="majorBidi" w:cstheme="majorBidi"/>
        </w:rPr>
        <w:t xml:space="preserve">. The total is </w:t>
      </w:r>
      <m:oMath>
        <m:r>
          <w:rPr>
            <w:rFonts w:ascii="Cambria Math" w:hAnsi="Cambria Math" w:cstheme="majorBidi"/>
          </w:rPr>
          <m:t>K+KD+K</m:t>
        </m:r>
        <m:r>
          <m:rPr>
            <m:sty m:val="p"/>
          </m:rPr>
          <w:rPr>
            <w:rFonts w:ascii="Cambria Math" w:hAnsi="Cambria Math" w:cstheme="majorBidi"/>
          </w:rPr>
          <m:t>⋅</m:t>
        </m:r>
        <m:f>
          <m:fPr>
            <m:ctrlPr>
              <w:rPr>
                <w:rFonts w:ascii="Cambria Math" w:hAnsi="Cambria Math" w:cstheme="majorBidi"/>
              </w:rPr>
            </m:ctrlPr>
          </m:fPr>
          <m:num>
            <m:r>
              <w:rPr>
                <w:rFonts w:ascii="Cambria Math" w:hAnsi="Cambria Math" w:cstheme="majorBidi"/>
              </w:rPr>
              <m:t>D</m:t>
            </m:r>
            <m:d>
              <m:dPr>
                <m:ctrlPr>
                  <w:rPr>
                    <w:rFonts w:ascii="Cambria Math" w:hAnsi="Cambria Math" w:cstheme="majorBidi"/>
                    <w:i/>
                  </w:rPr>
                </m:ctrlPr>
              </m:dPr>
              <m:e>
                <m:r>
                  <w:rPr>
                    <w:rFonts w:ascii="Cambria Math" w:hAnsi="Cambria Math" w:cstheme="majorBidi"/>
                  </w:rPr>
                  <m:t>D+1</m:t>
                </m:r>
              </m:e>
            </m:d>
            <m:ctrlPr>
              <w:rPr>
                <w:rFonts w:ascii="Cambria Math" w:hAnsi="Cambria Math" w:cstheme="majorBidi"/>
                <w:i/>
              </w:rPr>
            </m:ctrlPr>
          </m:num>
          <m:den>
            <m:r>
              <w:rPr>
                <w:rFonts w:ascii="Cambria Math" w:hAnsi="Cambria Math" w:cstheme="majorBidi"/>
              </w:rPr>
              <m:t>2</m:t>
            </m:r>
            <m:ctrlPr>
              <w:rPr>
                <w:rFonts w:ascii="Cambria Math" w:hAnsi="Cambria Math" w:cstheme="majorBidi"/>
                <w:i/>
              </w:rPr>
            </m:ctrlPr>
          </m:den>
        </m:f>
        <m:r>
          <w:rPr>
            <w:rFonts w:ascii="Cambria Math" w:hAnsi="Cambria Math" w:cstheme="majorBidi"/>
          </w:rPr>
          <m:t xml:space="preserve">=2+60+930=992 </m:t>
        </m:r>
      </m:oMath>
      <w:r w:rsidRPr="007F71FD">
        <w:rPr>
          <w:rFonts w:asciiTheme="majorBidi" w:hAnsiTheme="majorBidi" w:cstheme="majorBidi"/>
        </w:rPr>
        <w:t>parameters.</w:t>
      </w:r>
    </w:p>
    <w:p w14:paraId="7C9CD0DC" w14:textId="77777777" w:rsidR="00D61E68" w:rsidRDefault="00D61E68" w:rsidP="00D61E68">
      <w:pPr>
        <w:spacing w:after="160" w:line="300" w:lineRule="auto"/>
        <w:ind w:left="2160"/>
        <w:jc w:val="both"/>
        <w:rPr>
          <w:rFonts w:asciiTheme="majorBidi" w:hAnsiTheme="majorBidi" w:cstheme="majorBidi"/>
        </w:rPr>
      </w:pPr>
    </w:p>
    <w:p w14:paraId="7278EDC1" w14:textId="77777777" w:rsidR="00EA2A20" w:rsidRPr="007F71FD" w:rsidRDefault="00EA2A20" w:rsidP="00D61E68">
      <w:pPr>
        <w:spacing w:after="160" w:line="300" w:lineRule="auto"/>
        <w:ind w:left="2160"/>
        <w:jc w:val="both"/>
        <w:rPr>
          <w:rFonts w:asciiTheme="majorBidi" w:hAnsiTheme="majorBidi" w:cstheme="majorBidi"/>
        </w:rPr>
      </w:pPr>
    </w:p>
    <w:p w14:paraId="1C047133" w14:textId="77777777" w:rsidR="00D61E68" w:rsidRPr="007F71FD" w:rsidRDefault="00D61E68" w:rsidP="00D61E68">
      <w:pPr>
        <w:spacing w:after="160" w:line="300" w:lineRule="auto"/>
        <w:ind w:left="2160"/>
        <w:jc w:val="both"/>
        <w:rPr>
          <w:rFonts w:asciiTheme="majorBidi" w:hAnsiTheme="majorBidi" w:cstheme="majorBidi"/>
        </w:rPr>
      </w:pPr>
    </w:p>
    <w:p w14:paraId="58287A68" w14:textId="77777777" w:rsidR="00666510" w:rsidRPr="007F71FD" w:rsidRDefault="00000000" w:rsidP="00D61E68">
      <w:pPr>
        <w:pStyle w:val="Heading3"/>
        <w:ind w:left="720" w:firstLine="720"/>
        <w:rPr>
          <w:rFonts w:asciiTheme="majorBidi" w:hAnsiTheme="majorBidi" w:cstheme="majorBidi"/>
          <w:color w:val="auto"/>
        </w:rPr>
      </w:pPr>
      <w:bookmarkStart w:id="13" w:name="_Toc221373842"/>
      <w:r w:rsidRPr="007F71FD">
        <w:rPr>
          <w:rFonts w:asciiTheme="majorBidi" w:hAnsiTheme="majorBidi" w:cstheme="majorBidi"/>
          <w:color w:val="auto"/>
        </w:rPr>
        <w:lastRenderedPageBreak/>
        <w:t>2.3.2 Complexity Comparison</w:t>
      </w:r>
      <w:bookmarkEnd w:id="13"/>
    </w:p>
    <w:tbl>
      <w:tblPr>
        <w:tblStyle w:val="GridTable4"/>
        <w:tblW w:w="9360" w:type="dxa"/>
        <w:tblLook w:val="0400" w:firstRow="0" w:lastRow="0" w:firstColumn="0" w:lastColumn="0" w:noHBand="0" w:noVBand="1"/>
      </w:tblPr>
      <w:tblGrid>
        <w:gridCol w:w="2340"/>
        <w:gridCol w:w="2340"/>
        <w:gridCol w:w="2340"/>
        <w:gridCol w:w="2340"/>
      </w:tblGrid>
      <w:tr w:rsidR="00A30EA2" w:rsidRPr="007F71FD" w14:paraId="1036CD69" w14:textId="77777777" w:rsidTr="00D61E68">
        <w:trPr>
          <w:cnfStyle w:val="000000100000" w:firstRow="0" w:lastRow="0" w:firstColumn="0" w:lastColumn="0" w:oddVBand="0" w:evenVBand="0" w:oddHBand="1" w:evenHBand="0" w:firstRowFirstColumn="0" w:firstRowLastColumn="0" w:lastRowFirstColumn="0" w:lastRowLastColumn="0"/>
        </w:trPr>
        <w:tc>
          <w:tcPr>
            <w:tcW w:w="2340" w:type="dxa"/>
          </w:tcPr>
          <w:p w14:paraId="23ECD720" w14:textId="77777777" w:rsidR="00666510" w:rsidRPr="007F71FD" w:rsidRDefault="00000000">
            <w:pPr>
              <w:jc w:val="center"/>
              <w:rPr>
                <w:rFonts w:asciiTheme="majorBidi" w:hAnsiTheme="majorBidi" w:cstheme="majorBidi"/>
              </w:rPr>
            </w:pPr>
            <w:r w:rsidRPr="007F71FD">
              <w:rPr>
                <w:rFonts w:asciiTheme="majorBidi" w:hAnsiTheme="majorBidi" w:cstheme="majorBidi"/>
                <w:b/>
                <w:bCs/>
                <w:sz w:val="20"/>
                <w:szCs w:val="20"/>
              </w:rPr>
              <w:t>Aspect</w:t>
            </w:r>
          </w:p>
        </w:tc>
        <w:tc>
          <w:tcPr>
            <w:tcW w:w="2340" w:type="dxa"/>
          </w:tcPr>
          <w:p w14:paraId="5005BD51" w14:textId="77777777" w:rsidR="00666510" w:rsidRPr="007F71FD" w:rsidRDefault="00000000">
            <w:pPr>
              <w:jc w:val="center"/>
              <w:rPr>
                <w:rFonts w:asciiTheme="majorBidi" w:hAnsiTheme="majorBidi" w:cstheme="majorBidi"/>
              </w:rPr>
            </w:pPr>
            <w:r w:rsidRPr="007F71FD">
              <w:rPr>
                <w:rFonts w:asciiTheme="majorBidi" w:hAnsiTheme="majorBidi" w:cstheme="majorBidi"/>
                <w:b/>
                <w:bCs/>
                <w:sz w:val="20"/>
                <w:szCs w:val="20"/>
              </w:rPr>
              <w:t>GNB</w:t>
            </w:r>
          </w:p>
        </w:tc>
        <w:tc>
          <w:tcPr>
            <w:tcW w:w="2340" w:type="dxa"/>
          </w:tcPr>
          <w:p w14:paraId="073CAC56" w14:textId="77777777" w:rsidR="00666510" w:rsidRPr="007F71FD" w:rsidRDefault="00000000">
            <w:pPr>
              <w:jc w:val="center"/>
              <w:rPr>
                <w:rFonts w:asciiTheme="majorBidi" w:hAnsiTheme="majorBidi" w:cstheme="majorBidi"/>
              </w:rPr>
            </w:pPr>
            <w:r w:rsidRPr="007F71FD">
              <w:rPr>
                <w:rFonts w:asciiTheme="majorBidi" w:hAnsiTheme="majorBidi" w:cstheme="majorBidi"/>
                <w:b/>
                <w:bCs/>
                <w:sz w:val="20"/>
                <w:szCs w:val="20"/>
              </w:rPr>
              <w:t>LDA</w:t>
            </w:r>
          </w:p>
        </w:tc>
        <w:tc>
          <w:tcPr>
            <w:tcW w:w="2340" w:type="dxa"/>
          </w:tcPr>
          <w:p w14:paraId="3DAC25E6" w14:textId="77777777" w:rsidR="00666510" w:rsidRPr="007F71FD" w:rsidRDefault="00000000">
            <w:pPr>
              <w:jc w:val="center"/>
              <w:rPr>
                <w:rFonts w:asciiTheme="majorBidi" w:hAnsiTheme="majorBidi" w:cstheme="majorBidi"/>
              </w:rPr>
            </w:pPr>
            <w:r w:rsidRPr="007F71FD">
              <w:rPr>
                <w:rFonts w:asciiTheme="majorBidi" w:hAnsiTheme="majorBidi" w:cstheme="majorBidi"/>
                <w:b/>
                <w:bCs/>
                <w:sz w:val="20"/>
                <w:szCs w:val="20"/>
              </w:rPr>
              <w:t>QDA</w:t>
            </w:r>
          </w:p>
        </w:tc>
      </w:tr>
      <w:tr w:rsidR="00A30EA2" w:rsidRPr="007F71FD" w14:paraId="6F2E83C1" w14:textId="77777777" w:rsidTr="00D61E68">
        <w:tc>
          <w:tcPr>
            <w:tcW w:w="2340" w:type="dxa"/>
          </w:tcPr>
          <w:p w14:paraId="2172FB5B" w14:textId="77777777" w:rsidR="00666510" w:rsidRPr="007F71FD" w:rsidRDefault="00000000">
            <w:pPr>
              <w:jc w:val="center"/>
              <w:rPr>
                <w:rFonts w:asciiTheme="majorBidi" w:hAnsiTheme="majorBidi" w:cstheme="majorBidi"/>
              </w:rPr>
            </w:pPr>
            <w:r w:rsidRPr="007F71FD">
              <w:rPr>
                <w:rFonts w:asciiTheme="majorBidi" w:hAnsiTheme="majorBidi" w:cstheme="majorBidi"/>
                <w:sz w:val="20"/>
                <w:szCs w:val="20"/>
              </w:rPr>
              <w:t>Free Parameters</w:t>
            </w:r>
          </w:p>
        </w:tc>
        <w:tc>
          <w:tcPr>
            <w:tcW w:w="2340" w:type="dxa"/>
          </w:tcPr>
          <w:p w14:paraId="53218D1A" w14:textId="77777777" w:rsidR="00666510" w:rsidRPr="007F71FD" w:rsidRDefault="00000000">
            <w:pPr>
              <w:jc w:val="center"/>
              <w:rPr>
                <w:rFonts w:asciiTheme="majorBidi" w:hAnsiTheme="majorBidi" w:cstheme="majorBidi"/>
              </w:rPr>
            </w:pPr>
            <w:r w:rsidRPr="007F71FD">
              <w:rPr>
                <w:rFonts w:asciiTheme="majorBidi" w:hAnsiTheme="majorBidi" w:cstheme="majorBidi"/>
                <w:sz w:val="20"/>
                <w:szCs w:val="20"/>
              </w:rPr>
              <w:t>122</w:t>
            </w:r>
          </w:p>
        </w:tc>
        <w:tc>
          <w:tcPr>
            <w:tcW w:w="2340" w:type="dxa"/>
          </w:tcPr>
          <w:p w14:paraId="492EFD61" w14:textId="77777777" w:rsidR="00666510" w:rsidRPr="007F71FD" w:rsidRDefault="00000000">
            <w:pPr>
              <w:jc w:val="center"/>
              <w:rPr>
                <w:rFonts w:asciiTheme="majorBidi" w:hAnsiTheme="majorBidi" w:cstheme="majorBidi"/>
              </w:rPr>
            </w:pPr>
            <w:r w:rsidRPr="007F71FD">
              <w:rPr>
                <w:rFonts w:asciiTheme="majorBidi" w:hAnsiTheme="majorBidi" w:cstheme="majorBidi"/>
                <w:sz w:val="20"/>
                <w:szCs w:val="20"/>
              </w:rPr>
              <w:t>527</w:t>
            </w:r>
          </w:p>
        </w:tc>
        <w:tc>
          <w:tcPr>
            <w:tcW w:w="2340" w:type="dxa"/>
          </w:tcPr>
          <w:p w14:paraId="2ABB5166" w14:textId="77777777" w:rsidR="00666510" w:rsidRPr="007F71FD" w:rsidRDefault="00000000">
            <w:pPr>
              <w:jc w:val="center"/>
              <w:rPr>
                <w:rFonts w:asciiTheme="majorBidi" w:hAnsiTheme="majorBidi" w:cstheme="majorBidi"/>
              </w:rPr>
            </w:pPr>
            <w:r w:rsidRPr="007F71FD">
              <w:rPr>
                <w:rFonts w:asciiTheme="majorBidi" w:hAnsiTheme="majorBidi" w:cstheme="majorBidi"/>
                <w:sz w:val="20"/>
                <w:szCs w:val="20"/>
              </w:rPr>
              <w:t>992</w:t>
            </w:r>
          </w:p>
        </w:tc>
      </w:tr>
      <w:tr w:rsidR="00A30EA2" w:rsidRPr="007F71FD" w14:paraId="1F13012B" w14:textId="77777777" w:rsidTr="00D61E68">
        <w:trPr>
          <w:cnfStyle w:val="000000100000" w:firstRow="0" w:lastRow="0" w:firstColumn="0" w:lastColumn="0" w:oddVBand="0" w:evenVBand="0" w:oddHBand="1" w:evenHBand="0" w:firstRowFirstColumn="0" w:firstRowLastColumn="0" w:lastRowFirstColumn="0" w:lastRowLastColumn="0"/>
        </w:trPr>
        <w:tc>
          <w:tcPr>
            <w:tcW w:w="2340" w:type="dxa"/>
          </w:tcPr>
          <w:p w14:paraId="66816AD0" w14:textId="77777777" w:rsidR="00666510" w:rsidRPr="007F71FD" w:rsidRDefault="00000000">
            <w:pPr>
              <w:jc w:val="center"/>
              <w:rPr>
                <w:rFonts w:asciiTheme="majorBidi" w:hAnsiTheme="majorBidi" w:cstheme="majorBidi"/>
              </w:rPr>
            </w:pPr>
            <w:r w:rsidRPr="007F71FD">
              <w:rPr>
                <w:rFonts w:asciiTheme="majorBidi" w:hAnsiTheme="majorBidi" w:cstheme="majorBidi"/>
                <w:sz w:val="20"/>
                <w:szCs w:val="20"/>
              </w:rPr>
              <w:t>Covariance</w:t>
            </w:r>
          </w:p>
        </w:tc>
        <w:tc>
          <w:tcPr>
            <w:tcW w:w="2340" w:type="dxa"/>
          </w:tcPr>
          <w:p w14:paraId="0DEB9664" w14:textId="77777777" w:rsidR="00666510" w:rsidRPr="007F71FD" w:rsidRDefault="00000000">
            <w:pPr>
              <w:jc w:val="center"/>
              <w:rPr>
                <w:rFonts w:asciiTheme="majorBidi" w:hAnsiTheme="majorBidi" w:cstheme="majorBidi"/>
              </w:rPr>
            </w:pPr>
            <w:r w:rsidRPr="007F71FD">
              <w:rPr>
                <w:rFonts w:asciiTheme="majorBidi" w:hAnsiTheme="majorBidi" w:cstheme="majorBidi"/>
                <w:sz w:val="20"/>
                <w:szCs w:val="20"/>
              </w:rPr>
              <w:t>Diagonal</w:t>
            </w:r>
          </w:p>
        </w:tc>
        <w:tc>
          <w:tcPr>
            <w:tcW w:w="2340" w:type="dxa"/>
          </w:tcPr>
          <w:p w14:paraId="21F5323A" w14:textId="77777777" w:rsidR="00666510" w:rsidRPr="007F71FD" w:rsidRDefault="00000000">
            <w:pPr>
              <w:jc w:val="center"/>
              <w:rPr>
                <w:rFonts w:asciiTheme="majorBidi" w:hAnsiTheme="majorBidi" w:cstheme="majorBidi"/>
              </w:rPr>
            </w:pPr>
            <w:r w:rsidRPr="007F71FD">
              <w:rPr>
                <w:rFonts w:asciiTheme="majorBidi" w:hAnsiTheme="majorBidi" w:cstheme="majorBidi"/>
                <w:sz w:val="20"/>
                <w:szCs w:val="20"/>
              </w:rPr>
              <w:t>Shared Full</w:t>
            </w:r>
          </w:p>
        </w:tc>
        <w:tc>
          <w:tcPr>
            <w:tcW w:w="2340" w:type="dxa"/>
          </w:tcPr>
          <w:p w14:paraId="5694A1E0" w14:textId="77777777" w:rsidR="00666510" w:rsidRPr="007F71FD" w:rsidRDefault="00000000">
            <w:pPr>
              <w:jc w:val="center"/>
              <w:rPr>
                <w:rFonts w:asciiTheme="majorBidi" w:hAnsiTheme="majorBidi" w:cstheme="majorBidi"/>
              </w:rPr>
            </w:pPr>
            <w:r w:rsidRPr="007F71FD">
              <w:rPr>
                <w:rFonts w:asciiTheme="majorBidi" w:hAnsiTheme="majorBidi" w:cstheme="majorBidi"/>
                <w:sz w:val="20"/>
                <w:szCs w:val="20"/>
              </w:rPr>
              <w:t>Class-Specific</w:t>
            </w:r>
          </w:p>
        </w:tc>
      </w:tr>
      <w:tr w:rsidR="00A30EA2" w:rsidRPr="007F71FD" w14:paraId="7DCF3BB6" w14:textId="77777777" w:rsidTr="00D61E68">
        <w:tc>
          <w:tcPr>
            <w:tcW w:w="2340" w:type="dxa"/>
          </w:tcPr>
          <w:p w14:paraId="37208C96" w14:textId="77777777" w:rsidR="00666510" w:rsidRPr="007F71FD" w:rsidRDefault="00000000">
            <w:pPr>
              <w:jc w:val="center"/>
              <w:rPr>
                <w:rFonts w:asciiTheme="majorBidi" w:hAnsiTheme="majorBidi" w:cstheme="majorBidi"/>
              </w:rPr>
            </w:pPr>
            <w:r w:rsidRPr="007F71FD">
              <w:rPr>
                <w:rFonts w:asciiTheme="majorBidi" w:hAnsiTheme="majorBidi" w:cstheme="majorBidi"/>
                <w:sz w:val="20"/>
                <w:szCs w:val="20"/>
              </w:rPr>
              <w:t>Decision Boundary</w:t>
            </w:r>
          </w:p>
        </w:tc>
        <w:tc>
          <w:tcPr>
            <w:tcW w:w="2340" w:type="dxa"/>
          </w:tcPr>
          <w:p w14:paraId="76BE38A5" w14:textId="77777777" w:rsidR="00666510" w:rsidRPr="007F71FD" w:rsidRDefault="00000000">
            <w:pPr>
              <w:jc w:val="center"/>
              <w:rPr>
                <w:rFonts w:asciiTheme="majorBidi" w:hAnsiTheme="majorBidi" w:cstheme="majorBidi"/>
              </w:rPr>
            </w:pPr>
            <w:r w:rsidRPr="007F71FD">
              <w:rPr>
                <w:rFonts w:asciiTheme="majorBidi" w:hAnsiTheme="majorBidi" w:cstheme="majorBidi"/>
                <w:sz w:val="20"/>
                <w:szCs w:val="20"/>
              </w:rPr>
              <w:t>Nonlinear*</w:t>
            </w:r>
          </w:p>
        </w:tc>
        <w:tc>
          <w:tcPr>
            <w:tcW w:w="2340" w:type="dxa"/>
          </w:tcPr>
          <w:p w14:paraId="7A901031" w14:textId="77777777" w:rsidR="00666510" w:rsidRPr="007F71FD" w:rsidRDefault="00000000">
            <w:pPr>
              <w:jc w:val="center"/>
              <w:rPr>
                <w:rFonts w:asciiTheme="majorBidi" w:hAnsiTheme="majorBidi" w:cstheme="majorBidi"/>
              </w:rPr>
            </w:pPr>
            <w:r w:rsidRPr="007F71FD">
              <w:rPr>
                <w:rFonts w:asciiTheme="majorBidi" w:hAnsiTheme="majorBidi" w:cstheme="majorBidi"/>
                <w:sz w:val="20"/>
                <w:szCs w:val="20"/>
              </w:rPr>
              <w:t>Linear</w:t>
            </w:r>
          </w:p>
        </w:tc>
        <w:tc>
          <w:tcPr>
            <w:tcW w:w="2340" w:type="dxa"/>
          </w:tcPr>
          <w:p w14:paraId="03CA2A8E" w14:textId="77777777" w:rsidR="00666510" w:rsidRPr="007F71FD" w:rsidRDefault="00000000">
            <w:pPr>
              <w:jc w:val="center"/>
              <w:rPr>
                <w:rFonts w:asciiTheme="majorBidi" w:hAnsiTheme="majorBidi" w:cstheme="majorBidi"/>
              </w:rPr>
            </w:pPr>
            <w:r w:rsidRPr="007F71FD">
              <w:rPr>
                <w:rFonts w:asciiTheme="majorBidi" w:hAnsiTheme="majorBidi" w:cstheme="majorBidi"/>
                <w:sz w:val="20"/>
                <w:szCs w:val="20"/>
              </w:rPr>
              <w:t>Quadratic</w:t>
            </w:r>
          </w:p>
        </w:tc>
      </w:tr>
      <w:tr w:rsidR="00A30EA2" w:rsidRPr="007F71FD" w14:paraId="00BE8881" w14:textId="77777777" w:rsidTr="00D61E68">
        <w:trPr>
          <w:cnfStyle w:val="000000100000" w:firstRow="0" w:lastRow="0" w:firstColumn="0" w:lastColumn="0" w:oddVBand="0" w:evenVBand="0" w:oddHBand="1" w:evenHBand="0" w:firstRowFirstColumn="0" w:firstRowLastColumn="0" w:lastRowFirstColumn="0" w:lastRowLastColumn="0"/>
        </w:trPr>
        <w:tc>
          <w:tcPr>
            <w:tcW w:w="2340" w:type="dxa"/>
          </w:tcPr>
          <w:p w14:paraId="1232A2D1" w14:textId="77777777" w:rsidR="00666510" w:rsidRPr="007F71FD" w:rsidRDefault="00000000">
            <w:pPr>
              <w:jc w:val="center"/>
              <w:rPr>
                <w:rFonts w:asciiTheme="majorBidi" w:hAnsiTheme="majorBidi" w:cstheme="majorBidi"/>
              </w:rPr>
            </w:pPr>
            <w:r w:rsidRPr="007F71FD">
              <w:rPr>
                <w:rFonts w:asciiTheme="majorBidi" w:hAnsiTheme="majorBidi" w:cstheme="majorBidi"/>
                <w:sz w:val="20"/>
                <w:szCs w:val="20"/>
              </w:rPr>
              <w:t>Flexibility</w:t>
            </w:r>
          </w:p>
        </w:tc>
        <w:tc>
          <w:tcPr>
            <w:tcW w:w="2340" w:type="dxa"/>
          </w:tcPr>
          <w:p w14:paraId="3B9CDC68" w14:textId="77777777" w:rsidR="00666510" w:rsidRPr="007F71FD" w:rsidRDefault="00000000">
            <w:pPr>
              <w:jc w:val="center"/>
              <w:rPr>
                <w:rFonts w:asciiTheme="majorBidi" w:hAnsiTheme="majorBidi" w:cstheme="majorBidi"/>
              </w:rPr>
            </w:pPr>
            <w:r w:rsidRPr="007F71FD">
              <w:rPr>
                <w:rFonts w:asciiTheme="majorBidi" w:hAnsiTheme="majorBidi" w:cstheme="majorBidi"/>
                <w:sz w:val="20"/>
                <w:szCs w:val="20"/>
              </w:rPr>
              <w:t>Low</w:t>
            </w:r>
          </w:p>
        </w:tc>
        <w:tc>
          <w:tcPr>
            <w:tcW w:w="2340" w:type="dxa"/>
          </w:tcPr>
          <w:p w14:paraId="0BC04944" w14:textId="77777777" w:rsidR="00666510" w:rsidRPr="007F71FD" w:rsidRDefault="00000000">
            <w:pPr>
              <w:jc w:val="center"/>
              <w:rPr>
                <w:rFonts w:asciiTheme="majorBidi" w:hAnsiTheme="majorBidi" w:cstheme="majorBidi"/>
              </w:rPr>
            </w:pPr>
            <w:r w:rsidRPr="007F71FD">
              <w:rPr>
                <w:rFonts w:asciiTheme="majorBidi" w:hAnsiTheme="majorBidi" w:cstheme="majorBidi"/>
                <w:sz w:val="20"/>
                <w:szCs w:val="20"/>
              </w:rPr>
              <w:t>Moderate</w:t>
            </w:r>
          </w:p>
        </w:tc>
        <w:tc>
          <w:tcPr>
            <w:tcW w:w="2340" w:type="dxa"/>
          </w:tcPr>
          <w:p w14:paraId="6AC7741E" w14:textId="77777777" w:rsidR="00666510" w:rsidRPr="007F71FD" w:rsidRDefault="00000000">
            <w:pPr>
              <w:jc w:val="center"/>
              <w:rPr>
                <w:rFonts w:asciiTheme="majorBidi" w:hAnsiTheme="majorBidi" w:cstheme="majorBidi"/>
              </w:rPr>
            </w:pPr>
            <w:r w:rsidRPr="007F71FD">
              <w:rPr>
                <w:rFonts w:asciiTheme="majorBidi" w:hAnsiTheme="majorBidi" w:cstheme="majorBidi"/>
                <w:sz w:val="20"/>
                <w:szCs w:val="20"/>
              </w:rPr>
              <w:t>High</w:t>
            </w:r>
          </w:p>
        </w:tc>
      </w:tr>
    </w:tbl>
    <w:p w14:paraId="28877C08" w14:textId="77777777" w:rsidR="00666510" w:rsidRPr="007F71FD" w:rsidRDefault="00000000">
      <w:pPr>
        <w:spacing w:before="80" w:after="240"/>
        <w:jc w:val="center"/>
        <w:rPr>
          <w:rFonts w:asciiTheme="majorBidi" w:hAnsiTheme="majorBidi" w:cstheme="majorBidi"/>
        </w:rPr>
      </w:pPr>
      <w:r w:rsidRPr="007F71FD">
        <w:rPr>
          <w:rFonts w:asciiTheme="majorBidi" w:hAnsiTheme="majorBidi" w:cstheme="majorBidi"/>
          <w:i/>
          <w:iCs/>
          <w:sz w:val="20"/>
          <w:szCs w:val="20"/>
        </w:rPr>
        <w:t>Table 3: Comparison of model parameters and complexity across classifiers. *GNB produces nonlinear boundaries due to independent feature treatment.</w:t>
      </w:r>
    </w:p>
    <w:p w14:paraId="70ADF71A" w14:textId="50197B93" w:rsidR="00666510" w:rsidRPr="007F71FD" w:rsidRDefault="00000000" w:rsidP="004411F2">
      <w:pPr>
        <w:spacing w:after="160" w:line="300" w:lineRule="auto"/>
        <w:ind w:left="2160"/>
        <w:jc w:val="both"/>
        <w:rPr>
          <w:rFonts w:asciiTheme="majorBidi" w:hAnsiTheme="majorBidi" w:cstheme="majorBidi"/>
        </w:rPr>
      </w:pPr>
      <w:r w:rsidRPr="007F71FD">
        <w:rPr>
          <w:rFonts w:asciiTheme="majorBidi" w:hAnsiTheme="majorBidi" w:cstheme="majorBidi"/>
        </w:rPr>
        <w:t xml:space="preserve">QDA, with 992 free parameters, requires the most training data for reliable estimation. Given the dataset has only 212 malignant samples (the minority class), estimating a 30×30 class-specific covariance matrix from approximately 170 training samples per </w:t>
      </w:r>
      <w:r w:rsidR="00C97952" w:rsidRPr="007F71FD">
        <w:rPr>
          <w:rFonts w:asciiTheme="majorBidi" w:hAnsiTheme="majorBidi" w:cstheme="majorBidi"/>
        </w:rPr>
        <w:t>minority</w:t>
      </w:r>
      <w:r w:rsidRPr="007F71FD">
        <w:rPr>
          <w:rFonts w:asciiTheme="majorBidi" w:hAnsiTheme="majorBidi" w:cstheme="majorBidi"/>
        </w:rPr>
        <w:t xml:space="preserve"> class is statistically challenging. This raises concerns about covariance estimation stability and potential overfitting, particularly for QDA.</w:t>
      </w:r>
    </w:p>
    <w:p w14:paraId="5CED8EA0" w14:textId="77777777" w:rsidR="00666510" w:rsidRPr="007F71FD" w:rsidRDefault="00000000" w:rsidP="004411F2">
      <w:pPr>
        <w:pStyle w:val="Heading2"/>
        <w:ind w:firstLine="720"/>
        <w:rPr>
          <w:rFonts w:asciiTheme="majorBidi" w:hAnsiTheme="majorBidi" w:cstheme="majorBidi"/>
          <w:color w:val="auto"/>
        </w:rPr>
      </w:pPr>
      <w:bookmarkStart w:id="14" w:name="_Toc221373843"/>
      <w:r w:rsidRPr="007F71FD">
        <w:rPr>
          <w:rFonts w:asciiTheme="majorBidi" w:hAnsiTheme="majorBidi" w:cstheme="majorBidi"/>
          <w:color w:val="auto"/>
        </w:rPr>
        <w:t>2.4 Model Implementation and Classification</w:t>
      </w:r>
      <w:bookmarkEnd w:id="14"/>
    </w:p>
    <w:p w14:paraId="20858132" w14:textId="77777777" w:rsidR="00666510" w:rsidRPr="007F71FD" w:rsidRDefault="00000000" w:rsidP="004411F2">
      <w:pPr>
        <w:pStyle w:val="Heading3"/>
        <w:ind w:left="1440"/>
        <w:rPr>
          <w:rFonts w:asciiTheme="majorBidi" w:hAnsiTheme="majorBidi" w:cstheme="majorBidi"/>
          <w:color w:val="auto"/>
        </w:rPr>
      </w:pPr>
      <w:bookmarkStart w:id="15" w:name="_Toc221373844"/>
      <w:r w:rsidRPr="007F71FD">
        <w:rPr>
          <w:rFonts w:asciiTheme="majorBidi" w:hAnsiTheme="majorBidi" w:cstheme="majorBidi"/>
          <w:color w:val="auto"/>
        </w:rPr>
        <w:t>2.4.1 Train-Test Split</w:t>
      </w:r>
      <w:bookmarkEnd w:id="15"/>
    </w:p>
    <w:p w14:paraId="3CBA1250" w14:textId="77777777" w:rsidR="00666510" w:rsidRPr="007F71FD" w:rsidRDefault="00000000" w:rsidP="004411F2">
      <w:pPr>
        <w:spacing w:after="160" w:line="300" w:lineRule="auto"/>
        <w:ind w:left="2160"/>
        <w:jc w:val="both"/>
        <w:rPr>
          <w:rFonts w:asciiTheme="majorBidi" w:hAnsiTheme="majorBidi" w:cstheme="majorBidi"/>
        </w:rPr>
      </w:pPr>
      <w:r w:rsidRPr="007F71FD">
        <w:rPr>
          <w:rFonts w:asciiTheme="majorBidi" w:hAnsiTheme="majorBidi" w:cstheme="majorBidi"/>
        </w:rPr>
        <w:t>The dataset was split into 80% training (456 samples) and 20% testing (113 samples) using stratified sampling to preserve the class distribution in both subsets. This ensures that the class imbalance ratio is maintained across partitions and prevents biased evaluation.</w:t>
      </w:r>
    </w:p>
    <w:p w14:paraId="495D54EA" w14:textId="77777777" w:rsidR="00666510" w:rsidRPr="007F71FD" w:rsidRDefault="00000000" w:rsidP="004411F2">
      <w:pPr>
        <w:pStyle w:val="Heading3"/>
        <w:ind w:left="1440"/>
        <w:rPr>
          <w:rFonts w:asciiTheme="majorBidi" w:hAnsiTheme="majorBidi" w:cstheme="majorBidi"/>
          <w:color w:val="auto"/>
        </w:rPr>
      </w:pPr>
      <w:bookmarkStart w:id="16" w:name="_Toc221373845"/>
      <w:r w:rsidRPr="007F71FD">
        <w:rPr>
          <w:rFonts w:asciiTheme="majorBidi" w:hAnsiTheme="majorBidi" w:cstheme="majorBidi"/>
          <w:color w:val="auto"/>
        </w:rPr>
        <w:t>2.4.2 Parameter Estimation</w:t>
      </w:r>
      <w:bookmarkEnd w:id="16"/>
    </w:p>
    <w:p w14:paraId="1C8F6449" w14:textId="77777777" w:rsidR="00666510" w:rsidRPr="007F71FD" w:rsidRDefault="00000000" w:rsidP="004411F2">
      <w:pPr>
        <w:spacing w:after="160" w:line="300" w:lineRule="auto"/>
        <w:ind w:left="2160"/>
        <w:jc w:val="both"/>
        <w:rPr>
          <w:rFonts w:asciiTheme="majorBidi" w:hAnsiTheme="majorBidi" w:cstheme="majorBidi"/>
        </w:rPr>
      </w:pPr>
      <w:r w:rsidRPr="007F71FD">
        <w:rPr>
          <w:rFonts w:asciiTheme="majorBidi" w:hAnsiTheme="majorBidi" w:cstheme="majorBidi"/>
        </w:rPr>
        <w:t xml:space="preserve">All three classifiers were implemented from scratch using NumPy. The estimated class </w:t>
      </w:r>
      <w:proofErr w:type="gramStart"/>
      <w:r w:rsidRPr="007F71FD">
        <w:rPr>
          <w:rFonts w:asciiTheme="majorBidi" w:hAnsiTheme="majorBidi" w:cstheme="majorBidi"/>
        </w:rPr>
        <w:t>priors</w:t>
      </w:r>
      <w:proofErr w:type="gramEnd"/>
      <w:r w:rsidRPr="007F71FD">
        <w:rPr>
          <w:rFonts w:asciiTheme="majorBidi" w:hAnsiTheme="majorBidi" w:cstheme="majorBidi"/>
        </w:rPr>
        <w:t xml:space="preserve"> for both the benign and malignant classes were [0.627, 0.373], consistent with the observed class distribution. For GNB, feature-wise means and variances were estimated per class. For LDA, a pooled (shared) covariance matrix was computed by aggregating within-class scatter matrices, normalized by (n-1). For QDA, separate covariance matrices were computed for each class. A small regularization term (</w:t>
      </w:r>
      <w:proofErr w:type="spellStart"/>
      <w:r w:rsidRPr="007F71FD">
        <w:rPr>
          <w:rFonts w:asciiTheme="majorBidi" w:hAnsiTheme="majorBidi" w:cstheme="majorBidi"/>
        </w:rPr>
        <w:t>εI</w:t>
      </w:r>
      <w:proofErr w:type="spellEnd"/>
      <w:r w:rsidRPr="007F71FD">
        <w:rPr>
          <w:rFonts w:asciiTheme="majorBidi" w:hAnsiTheme="majorBidi" w:cstheme="majorBidi"/>
        </w:rPr>
        <w:t xml:space="preserve"> with ε = 10⁻⁴ for QDA and 10⁻⁶ for LDA) was added to the covariance diagonal to improve numerical stability of matrix inversion.</w:t>
      </w:r>
    </w:p>
    <w:p w14:paraId="4406FEBD" w14:textId="77777777" w:rsidR="00666510" w:rsidRPr="007F71FD" w:rsidRDefault="00000000" w:rsidP="004411F2">
      <w:pPr>
        <w:pStyle w:val="Heading3"/>
        <w:ind w:left="1440"/>
        <w:rPr>
          <w:rFonts w:asciiTheme="majorBidi" w:hAnsiTheme="majorBidi" w:cstheme="majorBidi"/>
          <w:color w:val="auto"/>
        </w:rPr>
      </w:pPr>
      <w:bookmarkStart w:id="17" w:name="_Toc221373846"/>
      <w:r w:rsidRPr="007F71FD">
        <w:rPr>
          <w:rFonts w:asciiTheme="majorBidi" w:hAnsiTheme="majorBidi" w:cstheme="majorBidi"/>
          <w:color w:val="auto"/>
        </w:rPr>
        <w:t>2.4.3 Covariance Structure and Decision Boundaries</w:t>
      </w:r>
      <w:bookmarkEnd w:id="17"/>
    </w:p>
    <w:p w14:paraId="5B6777AB" w14:textId="77777777" w:rsidR="00666510" w:rsidRPr="007F71FD" w:rsidRDefault="00000000" w:rsidP="004411F2">
      <w:pPr>
        <w:spacing w:after="160" w:line="300" w:lineRule="auto"/>
        <w:ind w:left="2160"/>
        <w:jc w:val="both"/>
        <w:rPr>
          <w:rFonts w:asciiTheme="majorBidi" w:hAnsiTheme="majorBidi" w:cstheme="majorBidi"/>
        </w:rPr>
      </w:pPr>
      <w:r w:rsidRPr="007F71FD">
        <w:rPr>
          <w:rFonts w:asciiTheme="majorBidi" w:hAnsiTheme="majorBidi" w:cstheme="majorBidi"/>
        </w:rPr>
        <w:t xml:space="preserve">The covariance structure fundamentally determines the geometry of the decision boundary. GNB’s diagonal covariance produces axis-aligned ellipsoidal class regions in feature space, yielding decision boundaries that are products of independent per-feature decisions. LDA’s shared full covariance produces linear (hyperplanar) decision boundaries, as the quadratic terms in the log-posterior cancel when the covariance is identical across classes. QDA’s class-specific </w:t>
      </w:r>
      <w:r w:rsidRPr="007F71FD">
        <w:rPr>
          <w:rFonts w:asciiTheme="majorBidi" w:hAnsiTheme="majorBidi" w:cstheme="majorBidi"/>
        </w:rPr>
        <w:lastRenderedPageBreak/>
        <w:t xml:space="preserve">covariances retain </w:t>
      </w:r>
      <w:proofErr w:type="gramStart"/>
      <w:r w:rsidRPr="007F71FD">
        <w:rPr>
          <w:rFonts w:asciiTheme="majorBidi" w:hAnsiTheme="majorBidi" w:cstheme="majorBidi"/>
        </w:rPr>
        <w:t>the quadratic</w:t>
      </w:r>
      <w:proofErr w:type="gramEnd"/>
      <w:r w:rsidRPr="007F71FD">
        <w:rPr>
          <w:rFonts w:asciiTheme="majorBidi" w:hAnsiTheme="majorBidi" w:cstheme="majorBidi"/>
        </w:rPr>
        <w:t xml:space="preserve"> terms, producing curved (quadric) decision surfaces that can capture more complex class-conditional structures.</w:t>
      </w:r>
    </w:p>
    <w:p w14:paraId="2B66C140" w14:textId="77777777" w:rsidR="00666510" w:rsidRPr="007F71FD" w:rsidRDefault="00000000" w:rsidP="004411F2">
      <w:pPr>
        <w:pStyle w:val="Heading3"/>
        <w:ind w:left="1440"/>
        <w:rPr>
          <w:rFonts w:asciiTheme="majorBidi" w:hAnsiTheme="majorBidi" w:cstheme="majorBidi"/>
          <w:color w:val="auto"/>
        </w:rPr>
      </w:pPr>
      <w:bookmarkStart w:id="18" w:name="_Toc221373847"/>
      <w:r w:rsidRPr="007F71FD">
        <w:rPr>
          <w:rFonts w:asciiTheme="majorBidi" w:hAnsiTheme="majorBidi" w:cstheme="majorBidi"/>
          <w:color w:val="auto"/>
        </w:rPr>
        <w:t>2.4.4 Classification Results</w:t>
      </w:r>
      <w:bookmarkEnd w:id="18"/>
    </w:p>
    <w:p w14:paraId="20107DD5" w14:textId="77777777" w:rsidR="00666510" w:rsidRPr="007F71FD" w:rsidRDefault="00000000" w:rsidP="004411F2">
      <w:pPr>
        <w:spacing w:after="160" w:line="300" w:lineRule="auto"/>
        <w:ind w:left="2160"/>
        <w:jc w:val="both"/>
        <w:rPr>
          <w:rFonts w:asciiTheme="majorBidi" w:hAnsiTheme="majorBidi" w:cstheme="majorBidi"/>
        </w:rPr>
      </w:pPr>
      <w:r w:rsidRPr="007F71FD">
        <w:rPr>
          <w:rFonts w:asciiTheme="majorBidi" w:hAnsiTheme="majorBidi" w:cstheme="majorBidi"/>
        </w:rPr>
        <w:t>All three classifiers were applied to both training and test sets. The results are summarized in Table 4.</w:t>
      </w:r>
    </w:p>
    <w:tbl>
      <w:tblPr>
        <w:tblStyle w:val="GridTable7Colorful"/>
        <w:tblW w:w="9794" w:type="dxa"/>
        <w:tblLook w:val="0400" w:firstRow="0" w:lastRow="0" w:firstColumn="0" w:lastColumn="0" w:noHBand="0" w:noVBand="1"/>
      </w:tblPr>
      <w:tblGrid>
        <w:gridCol w:w="1883"/>
        <w:gridCol w:w="1255"/>
        <w:gridCol w:w="1664"/>
        <w:gridCol w:w="1664"/>
        <w:gridCol w:w="1664"/>
        <w:gridCol w:w="1664"/>
      </w:tblGrid>
      <w:tr w:rsidR="00A30EA2" w:rsidRPr="007F71FD" w14:paraId="315B59FB" w14:textId="77777777" w:rsidTr="004411F2">
        <w:trPr>
          <w:cnfStyle w:val="000000100000" w:firstRow="0" w:lastRow="0" w:firstColumn="0" w:lastColumn="0" w:oddVBand="0" w:evenVBand="0" w:oddHBand="1" w:evenHBand="0" w:firstRowFirstColumn="0" w:firstRowLastColumn="0" w:lastRowFirstColumn="0" w:lastRowLastColumn="0"/>
          <w:trHeight w:val="344"/>
        </w:trPr>
        <w:tc>
          <w:tcPr>
            <w:tcW w:w="1883" w:type="dxa"/>
          </w:tcPr>
          <w:p w14:paraId="33B81618"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b/>
                <w:bCs/>
                <w:color w:val="auto"/>
                <w:sz w:val="20"/>
                <w:szCs w:val="20"/>
              </w:rPr>
              <w:t>Classifier</w:t>
            </w:r>
          </w:p>
        </w:tc>
        <w:tc>
          <w:tcPr>
            <w:tcW w:w="1255" w:type="dxa"/>
          </w:tcPr>
          <w:p w14:paraId="383455A9"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b/>
                <w:bCs/>
                <w:color w:val="auto"/>
                <w:sz w:val="20"/>
                <w:szCs w:val="20"/>
              </w:rPr>
              <w:t>Set</w:t>
            </w:r>
          </w:p>
        </w:tc>
        <w:tc>
          <w:tcPr>
            <w:tcW w:w="1664" w:type="dxa"/>
          </w:tcPr>
          <w:p w14:paraId="4AC6FE0C"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b/>
                <w:bCs/>
                <w:color w:val="auto"/>
                <w:sz w:val="20"/>
                <w:szCs w:val="20"/>
              </w:rPr>
              <w:t>Accuracy</w:t>
            </w:r>
          </w:p>
        </w:tc>
        <w:tc>
          <w:tcPr>
            <w:tcW w:w="1664" w:type="dxa"/>
          </w:tcPr>
          <w:p w14:paraId="4F0D0167"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b/>
                <w:bCs/>
                <w:color w:val="auto"/>
                <w:sz w:val="20"/>
                <w:szCs w:val="20"/>
              </w:rPr>
              <w:t>Precision</w:t>
            </w:r>
          </w:p>
        </w:tc>
        <w:tc>
          <w:tcPr>
            <w:tcW w:w="1664" w:type="dxa"/>
          </w:tcPr>
          <w:p w14:paraId="40FBAD9A"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b/>
                <w:bCs/>
                <w:color w:val="auto"/>
                <w:sz w:val="20"/>
                <w:szCs w:val="20"/>
              </w:rPr>
              <w:t>Recall</w:t>
            </w:r>
          </w:p>
        </w:tc>
        <w:tc>
          <w:tcPr>
            <w:tcW w:w="1664" w:type="dxa"/>
          </w:tcPr>
          <w:p w14:paraId="123FB6FA"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b/>
                <w:bCs/>
                <w:color w:val="auto"/>
                <w:sz w:val="20"/>
                <w:szCs w:val="20"/>
              </w:rPr>
              <w:t>F1</w:t>
            </w:r>
          </w:p>
        </w:tc>
      </w:tr>
      <w:tr w:rsidR="00A30EA2" w:rsidRPr="007F71FD" w14:paraId="162FF97F" w14:textId="77777777" w:rsidTr="004411F2">
        <w:trPr>
          <w:trHeight w:val="344"/>
        </w:trPr>
        <w:tc>
          <w:tcPr>
            <w:tcW w:w="1883" w:type="dxa"/>
          </w:tcPr>
          <w:p w14:paraId="1897BEC3"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GNB</w:t>
            </w:r>
          </w:p>
        </w:tc>
        <w:tc>
          <w:tcPr>
            <w:tcW w:w="1255" w:type="dxa"/>
          </w:tcPr>
          <w:p w14:paraId="107E0ABF"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Train</w:t>
            </w:r>
          </w:p>
        </w:tc>
        <w:tc>
          <w:tcPr>
            <w:tcW w:w="1664" w:type="dxa"/>
          </w:tcPr>
          <w:p w14:paraId="4E6EF4F0"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0.9364</w:t>
            </w:r>
          </w:p>
        </w:tc>
        <w:tc>
          <w:tcPr>
            <w:tcW w:w="1664" w:type="dxa"/>
          </w:tcPr>
          <w:p w14:paraId="11B773D5"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0.9273</w:t>
            </w:r>
          </w:p>
        </w:tc>
        <w:tc>
          <w:tcPr>
            <w:tcW w:w="1664" w:type="dxa"/>
          </w:tcPr>
          <w:p w14:paraId="45E36149"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0.9000</w:t>
            </w:r>
          </w:p>
        </w:tc>
        <w:tc>
          <w:tcPr>
            <w:tcW w:w="1664" w:type="dxa"/>
          </w:tcPr>
          <w:p w14:paraId="3F17FC1F"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0.9134</w:t>
            </w:r>
          </w:p>
        </w:tc>
      </w:tr>
      <w:tr w:rsidR="00A30EA2" w:rsidRPr="007F71FD" w14:paraId="4EEA5F9C" w14:textId="77777777" w:rsidTr="004411F2">
        <w:trPr>
          <w:cnfStyle w:val="000000100000" w:firstRow="0" w:lastRow="0" w:firstColumn="0" w:lastColumn="0" w:oddVBand="0" w:evenVBand="0" w:oddHBand="1" w:evenHBand="0" w:firstRowFirstColumn="0" w:firstRowLastColumn="0" w:lastRowFirstColumn="0" w:lastRowLastColumn="0"/>
          <w:trHeight w:val="344"/>
        </w:trPr>
        <w:tc>
          <w:tcPr>
            <w:tcW w:w="1883" w:type="dxa"/>
          </w:tcPr>
          <w:p w14:paraId="49833482"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GNB</w:t>
            </w:r>
          </w:p>
        </w:tc>
        <w:tc>
          <w:tcPr>
            <w:tcW w:w="1255" w:type="dxa"/>
          </w:tcPr>
          <w:p w14:paraId="498241FB"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Test</w:t>
            </w:r>
          </w:p>
        </w:tc>
        <w:tc>
          <w:tcPr>
            <w:tcW w:w="1664" w:type="dxa"/>
          </w:tcPr>
          <w:p w14:paraId="252A2376"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0.9115</w:t>
            </w:r>
          </w:p>
        </w:tc>
        <w:tc>
          <w:tcPr>
            <w:tcW w:w="1664" w:type="dxa"/>
          </w:tcPr>
          <w:p w14:paraId="5C9F2135"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0.8810</w:t>
            </w:r>
          </w:p>
        </w:tc>
        <w:tc>
          <w:tcPr>
            <w:tcW w:w="1664" w:type="dxa"/>
          </w:tcPr>
          <w:p w14:paraId="5FC9E90F"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0.8810</w:t>
            </w:r>
          </w:p>
        </w:tc>
        <w:tc>
          <w:tcPr>
            <w:tcW w:w="1664" w:type="dxa"/>
          </w:tcPr>
          <w:p w14:paraId="5FFED97C"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0.8810</w:t>
            </w:r>
          </w:p>
        </w:tc>
      </w:tr>
      <w:tr w:rsidR="00A30EA2" w:rsidRPr="007F71FD" w14:paraId="6742B993" w14:textId="77777777" w:rsidTr="004411F2">
        <w:trPr>
          <w:trHeight w:val="344"/>
        </w:trPr>
        <w:tc>
          <w:tcPr>
            <w:tcW w:w="1883" w:type="dxa"/>
          </w:tcPr>
          <w:p w14:paraId="1062BD4A"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LDA</w:t>
            </w:r>
          </w:p>
        </w:tc>
        <w:tc>
          <w:tcPr>
            <w:tcW w:w="1255" w:type="dxa"/>
          </w:tcPr>
          <w:p w14:paraId="37047CA7"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Train</w:t>
            </w:r>
          </w:p>
        </w:tc>
        <w:tc>
          <w:tcPr>
            <w:tcW w:w="1664" w:type="dxa"/>
          </w:tcPr>
          <w:p w14:paraId="422ED20F"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0.9715</w:t>
            </w:r>
          </w:p>
        </w:tc>
        <w:tc>
          <w:tcPr>
            <w:tcW w:w="1664" w:type="dxa"/>
          </w:tcPr>
          <w:p w14:paraId="193D568E"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1.0000</w:t>
            </w:r>
          </w:p>
        </w:tc>
        <w:tc>
          <w:tcPr>
            <w:tcW w:w="1664" w:type="dxa"/>
          </w:tcPr>
          <w:p w14:paraId="612E358A"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0.9235</w:t>
            </w:r>
          </w:p>
        </w:tc>
        <w:tc>
          <w:tcPr>
            <w:tcW w:w="1664" w:type="dxa"/>
          </w:tcPr>
          <w:p w14:paraId="44C8D290"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0.9602</w:t>
            </w:r>
          </w:p>
        </w:tc>
      </w:tr>
      <w:tr w:rsidR="00A30EA2" w:rsidRPr="007F71FD" w14:paraId="0C582395" w14:textId="77777777" w:rsidTr="004411F2">
        <w:trPr>
          <w:cnfStyle w:val="000000100000" w:firstRow="0" w:lastRow="0" w:firstColumn="0" w:lastColumn="0" w:oddVBand="0" w:evenVBand="0" w:oddHBand="1" w:evenHBand="0" w:firstRowFirstColumn="0" w:firstRowLastColumn="0" w:lastRowFirstColumn="0" w:lastRowLastColumn="0"/>
          <w:trHeight w:val="344"/>
        </w:trPr>
        <w:tc>
          <w:tcPr>
            <w:tcW w:w="1883" w:type="dxa"/>
          </w:tcPr>
          <w:p w14:paraId="05D61F63"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LDA</w:t>
            </w:r>
          </w:p>
        </w:tc>
        <w:tc>
          <w:tcPr>
            <w:tcW w:w="1255" w:type="dxa"/>
          </w:tcPr>
          <w:p w14:paraId="027ECA6C"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Test</w:t>
            </w:r>
          </w:p>
        </w:tc>
        <w:tc>
          <w:tcPr>
            <w:tcW w:w="1664" w:type="dxa"/>
          </w:tcPr>
          <w:p w14:paraId="55284037"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0.9381</w:t>
            </w:r>
          </w:p>
        </w:tc>
        <w:tc>
          <w:tcPr>
            <w:tcW w:w="1664" w:type="dxa"/>
          </w:tcPr>
          <w:p w14:paraId="0434538E"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0.9487</w:t>
            </w:r>
          </w:p>
        </w:tc>
        <w:tc>
          <w:tcPr>
            <w:tcW w:w="1664" w:type="dxa"/>
          </w:tcPr>
          <w:p w14:paraId="66762355"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0.8810</w:t>
            </w:r>
          </w:p>
        </w:tc>
        <w:tc>
          <w:tcPr>
            <w:tcW w:w="1664" w:type="dxa"/>
          </w:tcPr>
          <w:p w14:paraId="5D366F49"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0.9136</w:t>
            </w:r>
          </w:p>
        </w:tc>
      </w:tr>
      <w:tr w:rsidR="00A30EA2" w:rsidRPr="007F71FD" w14:paraId="2ADBDE5A" w14:textId="77777777" w:rsidTr="004411F2">
        <w:trPr>
          <w:trHeight w:val="344"/>
        </w:trPr>
        <w:tc>
          <w:tcPr>
            <w:tcW w:w="1883" w:type="dxa"/>
          </w:tcPr>
          <w:p w14:paraId="2C59B95C"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QDA</w:t>
            </w:r>
          </w:p>
        </w:tc>
        <w:tc>
          <w:tcPr>
            <w:tcW w:w="1255" w:type="dxa"/>
          </w:tcPr>
          <w:p w14:paraId="0928DB09"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Train</w:t>
            </w:r>
          </w:p>
        </w:tc>
        <w:tc>
          <w:tcPr>
            <w:tcW w:w="1664" w:type="dxa"/>
          </w:tcPr>
          <w:p w14:paraId="7F67AF39"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0.9715</w:t>
            </w:r>
          </w:p>
        </w:tc>
        <w:tc>
          <w:tcPr>
            <w:tcW w:w="1664" w:type="dxa"/>
          </w:tcPr>
          <w:p w14:paraId="47BA1E6F"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0.9876</w:t>
            </w:r>
          </w:p>
        </w:tc>
        <w:tc>
          <w:tcPr>
            <w:tcW w:w="1664" w:type="dxa"/>
          </w:tcPr>
          <w:p w14:paraId="4A2E6490"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0.9353</w:t>
            </w:r>
          </w:p>
        </w:tc>
        <w:tc>
          <w:tcPr>
            <w:tcW w:w="1664" w:type="dxa"/>
          </w:tcPr>
          <w:p w14:paraId="70D4B2CA"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0.9607</w:t>
            </w:r>
          </w:p>
        </w:tc>
      </w:tr>
      <w:tr w:rsidR="00A30EA2" w:rsidRPr="007F71FD" w14:paraId="0A7F1C98" w14:textId="77777777" w:rsidTr="004411F2">
        <w:trPr>
          <w:cnfStyle w:val="000000100000" w:firstRow="0" w:lastRow="0" w:firstColumn="0" w:lastColumn="0" w:oddVBand="0" w:evenVBand="0" w:oddHBand="1" w:evenHBand="0" w:firstRowFirstColumn="0" w:firstRowLastColumn="0" w:lastRowFirstColumn="0" w:lastRowLastColumn="0"/>
          <w:trHeight w:val="344"/>
        </w:trPr>
        <w:tc>
          <w:tcPr>
            <w:tcW w:w="1883" w:type="dxa"/>
          </w:tcPr>
          <w:p w14:paraId="4FEDFCFC"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QDA</w:t>
            </w:r>
          </w:p>
        </w:tc>
        <w:tc>
          <w:tcPr>
            <w:tcW w:w="1255" w:type="dxa"/>
          </w:tcPr>
          <w:p w14:paraId="780F24AA"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Test</w:t>
            </w:r>
          </w:p>
        </w:tc>
        <w:tc>
          <w:tcPr>
            <w:tcW w:w="1664" w:type="dxa"/>
          </w:tcPr>
          <w:p w14:paraId="77FE74C8"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0.9381</w:t>
            </w:r>
          </w:p>
        </w:tc>
        <w:tc>
          <w:tcPr>
            <w:tcW w:w="1664" w:type="dxa"/>
          </w:tcPr>
          <w:p w14:paraId="77D31390"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0.9070</w:t>
            </w:r>
          </w:p>
        </w:tc>
        <w:tc>
          <w:tcPr>
            <w:tcW w:w="1664" w:type="dxa"/>
          </w:tcPr>
          <w:p w14:paraId="77A285B4"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0.9286</w:t>
            </w:r>
          </w:p>
        </w:tc>
        <w:tc>
          <w:tcPr>
            <w:tcW w:w="1664" w:type="dxa"/>
          </w:tcPr>
          <w:p w14:paraId="30F0371D"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0.9176</w:t>
            </w:r>
          </w:p>
        </w:tc>
      </w:tr>
    </w:tbl>
    <w:p w14:paraId="4978AA84" w14:textId="77777777" w:rsidR="00666510" w:rsidRPr="007F71FD" w:rsidRDefault="00000000">
      <w:pPr>
        <w:spacing w:before="80" w:after="240"/>
        <w:jc w:val="center"/>
        <w:rPr>
          <w:rFonts w:asciiTheme="majorBidi" w:hAnsiTheme="majorBidi" w:cstheme="majorBidi"/>
        </w:rPr>
      </w:pPr>
      <w:r w:rsidRPr="007F71FD">
        <w:rPr>
          <w:rFonts w:asciiTheme="majorBidi" w:hAnsiTheme="majorBidi" w:cstheme="majorBidi"/>
          <w:i/>
          <w:iCs/>
          <w:sz w:val="20"/>
          <w:szCs w:val="20"/>
        </w:rPr>
        <w:t>Table 4: Classification performance metrics for all three Bayesian classifiers on training and test sets.</w:t>
      </w:r>
    </w:p>
    <w:p w14:paraId="353265BE" w14:textId="77777777" w:rsidR="00666510" w:rsidRPr="007F71FD" w:rsidRDefault="00000000" w:rsidP="004411F2">
      <w:pPr>
        <w:pStyle w:val="Heading3"/>
        <w:ind w:left="1440"/>
        <w:rPr>
          <w:rFonts w:asciiTheme="majorBidi" w:hAnsiTheme="majorBidi" w:cstheme="majorBidi"/>
          <w:color w:val="auto"/>
        </w:rPr>
      </w:pPr>
      <w:bookmarkStart w:id="19" w:name="_Toc221373848"/>
      <w:r w:rsidRPr="007F71FD">
        <w:rPr>
          <w:rFonts w:asciiTheme="majorBidi" w:hAnsiTheme="majorBidi" w:cstheme="majorBidi"/>
          <w:color w:val="auto"/>
        </w:rPr>
        <w:t>2.4.5 Numerical Stability of QDA</w:t>
      </w:r>
      <w:bookmarkEnd w:id="19"/>
    </w:p>
    <w:p w14:paraId="6975F10E" w14:textId="77777777" w:rsidR="00666510" w:rsidRPr="007F71FD" w:rsidRDefault="00000000" w:rsidP="004411F2">
      <w:pPr>
        <w:spacing w:after="160" w:line="300" w:lineRule="auto"/>
        <w:ind w:left="2160"/>
        <w:jc w:val="both"/>
        <w:rPr>
          <w:rFonts w:asciiTheme="majorBidi" w:hAnsiTheme="majorBidi" w:cstheme="majorBidi"/>
        </w:rPr>
      </w:pPr>
      <w:r w:rsidRPr="007F71FD">
        <w:rPr>
          <w:rFonts w:asciiTheme="majorBidi" w:hAnsiTheme="majorBidi" w:cstheme="majorBidi"/>
        </w:rPr>
        <w:t>Despite the relatively high dimensionality (30 features) relative to the number of per-class training samples (approximately 170 for malignant), QDA performs comparably to LDA on this dataset. The regularization term added to the class-specific covariance matrices ensures that the matrices remain positive definite and invertible. Without regularization, the 30×30 covariance matrices estimated from limited samples could become ill-conditioned or singular, leading to numerically unstable discriminant values. The fact that QDA achieves identical training accuracy to LDA (97.15%</w:t>
      </w:r>
      <w:proofErr w:type="gramStart"/>
      <w:r w:rsidRPr="007F71FD">
        <w:rPr>
          <w:rFonts w:asciiTheme="majorBidi" w:hAnsiTheme="majorBidi" w:cstheme="majorBidi"/>
        </w:rPr>
        <w:t>)</w:t>
      </w:r>
      <w:proofErr w:type="gramEnd"/>
      <w:r w:rsidRPr="007F71FD">
        <w:rPr>
          <w:rFonts w:asciiTheme="majorBidi" w:hAnsiTheme="majorBidi" w:cstheme="majorBidi"/>
        </w:rPr>
        <w:t xml:space="preserve"> and comparable test performance suggests that </w:t>
      </w:r>
      <w:proofErr w:type="gramStart"/>
      <w:r w:rsidRPr="007F71FD">
        <w:rPr>
          <w:rFonts w:asciiTheme="majorBidi" w:hAnsiTheme="majorBidi" w:cstheme="majorBidi"/>
        </w:rPr>
        <w:t>the regularization</w:t>
      </w:r>
      <w:proofErr w:type="gramEnd"/>
      <w:r w:rsidRPr="007F71FD">
        <w:rPr>
          <w:rFonts w:asciiTheme="majorBidi" w:hAnsiTheme="majorBidi" w:cstheme="majorBidi"/>
        </w:rPr>
        <w:t xml:space="preserve"> effectively mitigates estimation instability.</w:t>
      </w:r>
    </w:p>
    <w:p w14:paraId="6CAD876A" w14:textId="77777777" w:rsidR="00666510" w:rsidRPr="007F71FD" w:rsidRDefault="00000000" w:rsidP="004411F2">
      <w:pPr>
        <w:pStyle w:val="Heading3"/>
        <w:ind w:left="1440"/>
        <w:rPr>
          <w:rFonts w:asciiTheme="majorBidi" w:hAnsiTheme="majorBidi" w:cstheme="majorBidi"/>
          <w:color w:val="auto"/>
        </w:rPr>
      </w:pPr>
      <w:bookmarkStart w:id="20" w:name="_Toc221373849"/>
      <w:r w:rsidRPr="007F71FD">
        <w:rPr>
          <w:rFonts w:asciiTheme="majorBidi" w:hAnsiTheme="majorBidi" w:cstheme="majorBidi"/>
          <w:color w:val="auto"/>
        </w:rPr>
        <w:t>2.4.6 Analysis of GNB as a Baseline</w:t>
      </w:r>
      <w:bookmarkEnd w:id="20"/>
    </w:p>
    <w:p w14:paraId="5830EBD6" w14:textId="77777777" w:rsidR="00666510" w:rsidRDefault="00000000" w:rsidP="004411F2">
      <w:pPr>
        <w:spacing w:after="160" w:line="300" w:lineRule="auto"/>
        <w:ind w:left="2160"/>
        <w:jc w:val="both"/>
        <w:rPr>
          <w:rFonts w:asciiTheme="majorBidi" w:hAnsiTheme="majorBidi" w:cstheme="majorBidi"/>
        </w:rPr>
      </w:pPr>
      <w:r w:rsidRPr="007F71FD">
        <w:rPr>
          <w:rFonts w:asciiTheme="majorBidi" w:hAnsiTheme="majorBidi" w:cstheme="majorBidi"/>
        </w:rPr>
        <w:t>GNB achieves a test accuracy of 91.15%, which is lower than both LDA (93.81%) and QDA (93.81%). This performance gap is attributable to the conditional independence assumption, which prevents GNB from exploiting the strong feature correlations present in the data (as demonstrated by correlation coefficients exceeding 0.99). The class prior probabilities (0.627 for Benign, 0.373 for Malignant) influence GNB’s predictions by introducing a bias toward the majority class, which partially explains the balanced but lower recall for both classes. Despite its simplicity, GNB serves as a useful baseline, establishing a lower bound on performance achievable without full covariance modeling.</w:t>
      </w:r>
    </w:p>
    <w:p w14:paraId="1D93A537" w14:textId="77777777" w:rsidR="00C97952" w:rsidRDefault="00C97952" w:rsidP="004411F2">
      <w:pPr>
        <w:spacing w:after="160" w:line="300" w:lineRule="auto"/>
        <w:ind w:left="2160"/>
        <w:jc w:val="both"/>
        <w:rPr>
          <w:rFonts w:asciiTheme="majorBidi" w:hAnsiTheme="majorBidi" w:cstheme="majorBidi"/>
        </w:rPr>
      </w:pPr>
    </w:p>
    <w:p w14:paraId="635167C2" w14:textId="77777777" w:rsidR="00C97952" w:rsidRPr="007F71FD" w:rsidRDefault="00C97952" w:rsidP="004411F2">
      <w:pPr>
        <w:spacing w:after="160" w:line="300" w:lineRule="auto"/>
        <w:ind w:left="2160"/>
        <w:jc w:val="both"/>
        <w:rPr>
          <w:rFonts w:asciiTheme="majorBidi" w:hAnsiTheme="majorBidi" w:cstheme="majorBidi"/>
        </w:rPr>
      </w:pPr>
    </w:p>
    <w:p w14:paraId="67D4542C" w14:textId="77777777" w:rsidR="00666510" w:rsidRPr="007F71FD" w:rsidRDefault="00000000" w:rsidP="004411F2">
      <w:pPr>
        <w:pStyle w:val="Heading2"/>
        <w:ind w:firstLine="720"/>
        <w:rPr>
          <w:rFonts w:asciiTheme="majorBidi" w:hAnsiTheme="majorBidi" w:cstheme="majorBidi"/>
          <w:color w:val="auto"/>
        </w:rPr>
      </w:pPr>
      <w:bookmarkStart w:id="21" w:name="_Toc221373850"/>
      <w:r w:rsidRPr="007F71FD">
        <w:rPr>
          <w:rFonts w:asciiTheme="majorBidi" w:hAnsiTheme="majorBidi" w:cstheme="majorBidi"/>
          <w:color w:val="auto"/>
        </w:rPr>
        <w:lastRenderedPageBreak/>
        <w:t>2.5 Covariance Matrix Analysis</w:t>
      </w:r>
      <w:bookmarkEnd w:id="21"/>
    </w:p>
    <w:p w14:paraId="57ADF73F" w14:textId="77777777" w:rsidR="00666510" w:rsidRPr="007F71FD" w:rsidRDefault="00000000" w:rsidP="004411F2">
      <w:pPr>
        <w:pStyle w:val="Heading3"/>
        <w:ind w:left="1440"/>
        <w:rPr>
          <w:rFonts w:asciiTheme="majorBidi" w:hAnsiTheme="majorBidi" w:cstheme="majorBidi"/>
          <w:color w:val="auto"/>
        </w:rPr>
      </w:pPr>
      <w:bookmarkStart w:id="22" w:name="_Toc221373851"/>
      <w:r w:rsidRPr="007F71FD">
        <w:rPr>
          <w:rFonts w:asciiTheme="majorBidi" w:hAnsiTheme="majorBidi" w:cstheme="majorBidi"/>
          <w:color w:val="auto"/>
        </w:rPr>
        <w:t>2.5.1 Rank and Singularity</w:t>
      </w:r>
      <w:bookmarkEnd w:id="22"/>
    </w:p>
    <w:p w14:paraId="47F30EDE" w14:textId="77777777" w:rsidR="00666510" w:rsidRPr="007F71FD" w:rsidRDefault="00000000" w:rsidP="004411F2">
      <w:pPr>
        <w:spacing w:after="160" w:line="300" w:lineRule="auto"/>
        <w:ind w:left="2160"/>
        <w:jc w:val="both"/>
        <w:rPr>
          <w:rFonts w:asciiTheme="majorBidi" w:hAnsiTheme="majorBidi" w:cstheme="majorBidi"/>
        </w:rPr>
      </w:pPr>
      <w:r w:rsidRPr="007F71FD">
        <w:rPr>
          <w:rFonts w:asciiTheme="majorBidi" w:hAnsiTheme="majorBidi" w:cstheme="majorBidi"/>
        </w:rPr>
        <w:t>The empirical covariance matrix of the training feature matrix X (30×30) was computed using only the training data. The matrix was found to have full rank (30), indicating that it is non-singular and theoretically invertible. However, full rank does not guarantee numerical stability in practice. When the ratio between the largest and smallest eigenvalues is extremely large, even small perturbations (e.g., from finite-precision arithmetic) can cause large errors in the inverse, rendering the matrix effectively ill-conditioned despite being mathematically invertible.</w:t>
      </w:r>
    </w:p>
    <w:p w14:paraId="528E3277" w14:textId="77777777" w:rsidR="00666510" w:rsidRPr="007F71FD" w:rsidRDefault="00000000" w:rsidP="004411F2">
      <w:pPr>
        <w:pStyle w:val="Heading3"/>
        <w:ind w:left="1440"/>
        <w:rPr>
          <w:rFonts w:asciiTheme="majorBidi" w:hAnsiTheme="majorBidi" w:cstheme="majorBidi"/>
          <w:color w:val="auto"/>
        </w:rPr>
      </w:pPr>
      <w:bookmarkStart w:id="23" w:name="_Toc221373852"/>
      <w:r w:rsidRPr="007F71FD">
        <w:rPr>
          <w:rFonts w:asciiTheme="majorBidi" w:hAnsiTheme="majorBidi" w:cstheme="majorBidi"/>
          <w:color w:val="auto"/>
        </w:rPr>
        <w:t>2.5.2 Eigenvalue Analysis</w:t>
      </w:r>
      <w:bookmarkEnd w:id="23"/>
    </w:p>
    <w:p w14:paraId="3432D493" w14:textId="77777777" w:rsidR="00666510" w:rsidRPr="007F71FD" w:rsidRDefault="00000000" w:rsidP="004411F2">
      <w:pPr>
        <w:spacing w:after="160" w:line="300" w:lineRule="auto"/>
        <w:ind w:left="2160"/>
        <w:jc w:val="both"/>
        <w:rPr>
          <w:rFonts w:asciiTheme="majorBidi" w:hAnsiTheme="majorBidi" w:cstheme="majorBidi"/>
        </w:rPr>
      </w:pPr>
      <w:r w:rsidRPr="007F71FD">
        <w:rPr>
          <w:rFonts w:asciiTheme="majorBidi" w:hAnsiTheme="majorBidi" w:cstheme="majorBidi"/>
        </w:rPr>
        <w:t xml:space="preserve">The eigenvalue decomposition of the covariance matrix revealed a dramatic spread in the eigenvalue spectrum. As shown in Figure 3, the largest eigenvalue is approximately </w:t>
      </w:r>
      <w:proofErr w:type="gramStart"/>
      <w:r w:rsidRPr="007F71FD">
        <w:rPr>
          <w:rFonts w:asciiTheme="majorBidi" w:hAnsiTheme="majorBidi" w:cstheme="majorBidi"/>
        </w:rPr>
        <w:t>4.59×10⁵</w:t>
      </w:r>
      <w:proofErr w:type="gramEnd"/>
      <w:r w:rsidRPr="007F71FD">
        <w:rPr>
          <w:rFonts w:asciiTheme="majorBidi" w:hAnsiTheme="majorBidi" w:cstheme="majorBidi"/>
        </w:rPr>
        <w:t xml:space="preserve"> while the smallest is approximately </w:t>
      </w:r>
      <w:proofErr w:type="gramStart"/>
      <w:r w:rsidRPr="007F71FD">
        <w:rPr>
          <w:rFonts w:asciiTheme="majorBidi" w:hAnsiTheme="majorBidi" w:cstheme="majorBidi"/>
        </w:rPr>
        <w:t>7.43×10⁻⁷</w:t>
      </w:r>
      <w:proofErr w:type="gramEnd"/>
      <w:r w:rsidRPr="007F71FD">
        <w:rPr>
          <w:rFonts w:asciiTheme="majorBidi" w:hAnsiTheme="majorBidi" w:cstheme="majorBidi"/>
        </w:rPr>
        <w:t>, spanning roughly 12 orders of magnitude.</w:t>
      </w:r>
    </w:p>
    <w:p w14:paraId="1D11E0F9" w14:textId="77777777" w:rsidR="00666510" w:rsidRPr="007F71FD" w:rsidRDefault="00000000">
      <w:pPr>
        <w:spacing w:before="120" w:after="40"/>
        <w:jc w:val="center"/>
        <w:rPr>
          <w:rFonts w:asciiTheme="majorBidi" w:hAnsiTheme="majorBidi" w:cstheme="majorBidi"/>
        </w:rPr>
      </w:pPr>
      <w:r w:rsidRPr="007F71FD">
        <w:rPr>
          <w:rFonts w:asciiTheme="majorBidi" w:hAnsiTheme="majorBidi" w:cstheme="majorBidi"/>
          <w:noProof/>
        </w:rPr>
        <w:drawing>
          <wp:inline distT="0" distB="0" distL="0" distR="0" wp14:anchorId="4DB4C909" wp14:editId="3C602104">
            <wp:extent cx="6274131" cy="2195946"/>
            <wp:effectExtent l="0" t="0" r="0" b="0"/>
            <wp:docPr id="1359469822" name="1_5_eigenvalue_spectrum.png" descr="1_5_eigenvalue_spectrum.png" title="1_5_eigenvalue_spectr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283443" cy="2199205"/>
                    </a:xfrm>
                    <a:prstGeom prst="rect">
                      <a:avLst/>
                    </a:prstGeom>
                  </pic:spPr>
                </pic:pic>
              </a:graphicData>
            </a:graphic>
          </wp:inline>
        </w:drawing>
      </w:r>
    </w:p>
    <w:p w14:paraId="51F07491" w14:textId="77777777" w:rsidR="00666510" w:rsidRPr="007F71FD" w:rsidRDefault="00000000">
      <w:pPr>
        <w:spacing w:before="80" w:after="240"/>
        <w:jc w:val="center"/>
        <w:rPr>
          <w:rFonts w:asciiTheme="majorBidi" w:hAnsiTheme="majorBidi" w:cstheme="majorBidi"/>
        </w:rPr>
      </w:pPr>
      <w:r w:rsidRPr="007F71FD">
        <w:rPr>
          <w:rFonts w:asciiTheme="majorBidi" w:hAnsiTheme="majorBidi" w:cstheme="majorBidi"/>
          <w:i/>
          <w:iCs/>
          <w:sz w:val="20"/>
          <w:szCs w:val="20"/>
        </w:rPr>
        <w:t>Figure 3: Eigenvalue spectrum of the training covariance matrix showing extreme spread across magnitudes.</w:t>
      </w:r>
    </w:p>
    <w:p w14:paraId="10B4BCCA" w14:textId="77777777" w:rsidR="00666510" w:rsidRPr="007F71FD" w:rsidRDefault="00000000" w:rsidP="00D66CC7">
      <w:pPr>
        <w:pStyle w:val="Heading3"/>
        <w:ind w:left="720" w:firstLine="720"/>
        <w:rPr>
          <w:rFonts w:asciiTheme="majorBidi" w:hAnsiTheme="majorBidi" w:cstheme="majorBidi"/>
          <w:color w:val="auto"/>
        </w:rPr>
      </w:pPr>
      <w:bookmarkStart w:id="24" w:name="_Toc221373853"/>
      <w:r w:rsidRPr="007F71FD">
        <w:rPr>
          <w:rFonts w:asciiTheme="majorBidi" w:hAnsiTheme="majorBidi" w:cstheme="majorBidi"/>
          <w:color w:val="auto"/>
        </w:rPr>
        <w:t>2.5.3 Condition Number</w:t>
      </w:r>
      <w:bookmarkEnd w:id="24"/>
    </w:p>
    <w:p w14:paraId="00BB4A42" w14:textId="77777777" w:rsidR="00666510" w:rsidRPr="007F71FD" w:rsidRDefault="00000000" w:rsidP="00D66CC7">
      <w:pPr>
        <w:spacing w:after="160" w:line="300" w:lineRule="auto"/>
        <w:ind w:left="2160"/>
        <w:jc w:val="both"/>
        <w:rPr>
          <w:rFonts w:asciiTheme="majorBidi" w:hAnsiTheme="majorBidi" w:cstheme="majorBidi"/>
        </w:rPr>
      </w:pPr>
      <w:r w:rsidRPr="007F71FD">
        <w:rPr>
          <w:rFonts w:asciiTheme="majorBidi" w:hAnsiTheme="majorBidi" w:cstheme="majorBidi"/>
        </w:rPr>
        <w:t xml:space="preserve">The condition number of the covariance matrix is </w:t>
      </w:r>
      <w:proofErr w:type="gramStart"/>
      <w:r w:rsidRPr="007F71FD">
        <w:rPr>
          <w:rFonts w:asciiTheme="majorBidi" w:hAnsiTheme="majorBidi" w:cstheme="majorBidi"/>
        </w:rPr>
        <w:t>6.18×10¹¹</w:t>
      </w:r>
      <w:proofErr w:type="gramEnd"/>
      <w:r w:rsidRPr="007F71FD">
        <w:rPr>
          <w:rFonts w:asciiTheme="majorBidi" w:hAnsiTheme="majorBidi" w:cstheme="majorBidi"/>
        </w:rPr>
        <w:t xml:space="preserve">, which is extremely high. The condition number, defined as the ratio of the largest to smallest eigenvalue for symmetric positive definite matrices, quantifies the sensitivity of matrix inversion to perturbations. A condition number of this magnitude means that numerical errors in representing the covariance entries can be amplified by a factor of approximately 10¹¹ during inversion. For standard double-precision floating-point arithmetic (approximately 16 significant digits), this leaves only about 5 reliable digits in the inverse, which can materially affect the </w:t>
      </w:r>
      <w:proofErr w:type="spellStart"/>
      <w:r w:rsidRPr="007F71FD">
        <w:rPr>
          <w:rFonts w:asciiTheme="majorBidi" w:hAnsiTheme="majorBidi" w:cstheme="majorBidi"/>
        </w:rPr>
        <w:t>Mahalanobis</w:t>
      </w:r>
      <w:proofErr w:type="spellEnd"/>
      <w:r w:rsidRPr="007F71FD">
        <w:rPr>
          <w:rFonts w:asciiTheme="majorBidi" w:hAnsiTheme="majorBidi" w:cstheme="majorBidi"/>
        </w:rPr>
        <w:t xml:space="preserve"> distance computation and, consequently, classification decisions.</w:t>
      </w:r>
    </w:p>
    <w:p w14:paraId="2C1C7449" w14:textId="77777777" w:rsidR="00666510" w:rsidRPr="007F71FD" w:rsidRDefault="00000000" w:rsidP="00B74680">
      <w:pPr>
        <w:pStyle w:val="Heading3"/>
        <w:ind w:left="720" w:firstLine="720"/>
        <w:rPr>
          <w:rFonts w:asciiTheme="majorBidi" w:hAnsiTheme="majorBidi" w:cstheme="majorBidi"/>
          <w:color w:val="auto"/>
        </w:rPr>
      </w:pPr>
      <w:bookmarkStart w:id="25" w:name="_Toc221373854"/>
      <w:r w:rsidRPr="007F71FD">
        <w:rPr>
          <w:rFonts w:asciiTheme="majorBidi" w:hAnsiTheme="majorBidi" w:cstheme="majorBidi"/>
          <w:color w:val="auto"/>
        </w:rPr>
        <w:lastRenderedPageBreak/>
        <w:t>2.5.4 Singular vs. Ill-Conditioned Matrices</w:t>
      </w:r>
      <w:bookmarkEnd w:id="25"/>
    </w:p>
    <w:p w14:paraId="5AA5D1BC" w14:textId="77777777" w:rsidR="00666510" w:rsidRPr="007F71FD" w:rsidRDefault="00000000" w:rsidP="00B74680">
      <w:pPr>
        <w:spacing w:after="160" w:line="300" w:lineRule="auto"/>
        <w:ind w:left="2160"/>
        <w:jc w:val="both"/>
        <w:rPr>
          <w:rFonts w:asciiTheme="majorBidi" w:hAnsiTheme="majorBidi" w:cstheme="majorBidi"/>
        </w:rPr>
      </w:pPr>
      <w:r w:rsidRPr="007F71FD">
        <w:rPr>
          <w:rFonts w:asciiTheme="majorBidi" w:hAnsiTheme="majorBidi" w:cstheme="majorBidi"/>
        </w:rPr>
        <w:t xml:space="preserve">It is essential to distinguish between singular and ill-conditioned covariance matrices. A singular matrix has at least one zero eigenvalue and is not invertible. An ill-conditioned matrix is invertible but has eigenvalues spanning an extremely wide range, making the inverse numerically unreliable. The covariance matrix in this dataset is </w:t>
      </w:r>
      <w:proofErr w:type="gramStart"/>
      <w:r w:rsidRPr="007F71FD">
        <w:rPr>
          <w:rFonts w:asciiTheme="majorBidi" w:hAnsiTheme="majorBidi" w:cstheme="majorBidi"/>
        </w:rPr>
        <w:t>full-rank</w:t>
      </w:r>
      <w:proofErr w:type="gramEnd"/>
      <w:r w:rsidRPr="007F71FD">
        <w:rPr>
          <w:rFonts w:asciiTheme="majorBidi" w:hAnsiTheme="majorBidi" w:cstheme="majorBidi"/>
        </w:rPr>
        <w:t xml:space="preserve"> (non-singular) yet severely ill-conditioned (condition number of </w:t>
      </w:r>
      <w:proofErr w:type="gramStart"/>
      <w:r w:rsidRPr="007F71FD">
        <w:rPr>
          <w:rFonts w:asciiTheme="majorBidi" w:hAnsiTheme="majorBidi" w:cstheme="majorBidi"/>
        </w:rPr>
        <w:t>6.18×10¹¹</w:t>
      </w:r>
      <w:proofErr w:type="gramEnd"/>
      <w:r w:rsidRPr="007F71FD">
        <w:rPr>
          <w:rFonts w:asciiTheme="majorBidi" w:hAnsiTheme="majorBidi" w:cstheme="majorBidi"/>
        </w:rPr>
        <w:t>). This situation arises because features operate on vastly different scales (e.g., area features with variances on the order of 10⁴ versus fractal dimension features with variances on the order of 10⁻⁶). The practical implication is that while the matrix inverse exists mathematically, its computed version may be inaccurate, necessitating regularization.</w:t>
      </w:r>
    </w:p>
    <w:p w14:paraId="266C0E00" w14:textId="77777777" w:rsidR="00666510" w:rsidRPr="007F71FD" w:rsidRDefault="00000000" w:rsidP="004D03BE">
      <w:pPr>
        <w:pStyle w:val="Heading3"/>
        <w:ind w:left="720" w:firstLine="720"/>
        <w:rPr>
          <w:rFonts w:asciiTheme="majorBidi" w:hAnsiTheme="majorBidi" w:cstheme="majorBidi"/>
          <w:color w:val="auto"/>
        </w:rPr>
      </w:pPr>
      <w:bookmarkStart w:id="26" w:name="_Toc221373855"/>
      <w:r w:rsidRPr="007F71FD">
        <w:rPr>
          <w:rFonts w:asciiTheme="majorBidi" w:hAnsiTheme="majorBidi" w:cstheme="majorBidi"/>
          <w:color w:val="auto"/>
        </w:rPr>
        <w:t>2.6 Variance Analysis and Feature Contribution</w:t>
      </w:r>
      <w:bookmarkEnd w:id="26"/>
    </w:p>
    <w:p w14:paraId="1A61D8FD" w14:textId="44D2E472" w:rsidR="00666510" w:rsidRPr="007F71FD" w:rsidRDefault="007A3A18" w:rsidP="004D03BE">
      <w:pPr>
        <w:spacing w:after="160" w:line="300" w:lineRule="auto"/>
        <w:ind w:left="2160"/>
        <w:jc w:val="both"/>
        <w:rPr>
          <w:rFonts w:asciiTheme="majorBidi" w:hAnsiTheme="majorBidi" w:cstheme="majorBidi"/>
        </w:rPr>
      </w:pPr>
      <w:r w:rsidRPr="007F71FD">
        <w:rPr>
          <w:rFonts w:asciiTheme="majorBidi" w:hAnsiTheme="majorBidi" w:cstheme="majorBidi"/>
          <w:noProof/>
        </w:rPr>
        <w:drawing>
          <wp:anchor distT="0" distB="0" distL="114300" distR="114300" simplePos="0" relativeHeight="251659264" behindDoc="1" locked="0" layoutInCell="1" allowOverlap="1" wp14:anchorId="7F27C490" wp14:editId="7221E58C">
            <wp:simplePos x="0" y="0"/>
            <wp:positionH relativeFrom="margin">
              <wp:posOffset>-775970</wp:posOffset>
            </wp:positionH>
            <wp:positionV relativeFrom="paragraph">
              <wp:posOffset>685800</wp:posOffset>
            </wp:positionV>
            <wp:extent cx="7571105" cy="4114800"/>
            <wp:effectExtent l="0" t="0" r="0" b="0"/>
            <wp:wrapTight wrapText="bothSides">
              <wp:wrapPolygon edited="0">
                <wp:start x="0" y="0"/>
                <wp:lineTo x="0" y="21500"/>
                <wp:lineTo x="21522" y="21500"/>
                <wp:lineTo x="21522" y="0"/>
                <wp:lineTo x="0" y="0"/>
              </wp:wrapPolygon>
            </wp:wrapTight>
            <wp:docPr id="1856943129" name="1_6_feature_variances.png" descr="1_6_feature_variances.png" title="1_6_feature_varian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571105" cy="4114800"/>
                    </a:xfrm>
                    <a:prstGeom prst="rect">
                      <a:avLst/>
                    </a:prstGeom>
                  </pic:spPr>
                </pic:pic>
              </a:graphicData>
            </a:graphic>
            <wp14:sizeRelH relativeFrom="margin">
              <wp14:pctWidth>0</wp14:pctWidth>
            </wp14:sizeRelH>
            <wp14:sizeRelV relativeFrom="margin">
              <wp14:pctHeight>0</wp14:pctHeight>
            </wp14:sizeRelV>
          </wp:anchor>
        </w:drawing>
      </w:r>
      <w:r w:rsidRPr="007F71FD">
        <w:rPr>
          <w:rFonts w:asciiTheme="majorBidi" w:hAnsiTheme="majorBidi" w:cstheme="majorBidi"/>
        </w:rPr>
        <w:t>The variance of each feature was computed from the training data and ranked in ascending order. Figure 4 displays the feature variances on a logarithmic scale, revealing a range spanning many orders of magnitude.</w:t>
      </w:r>
    </w:p>
    <w:p w14:paraId="36CE2439" w14:textId="56744048" w:rsidR="00666510" w:rsidRPr="007F71FD" w:rsidRDefault="00666510">
      <w:pPr>
        <w:spacing w:before="120" w:after="40"/>
        <w:jc w:val="center"/>
        <w:rPr>
          <w:rFonts w:asciiTheme="majorBidi" w:hAnsiTheme="majorBidi" w:cstheme="majorBidi"/>
        </w:rPr>
      </w:pPr>
    </w:p>
    <w:p w14:paraId="1D506F08" w14:textId="77777777" w:rsidR="00666510" w:rsidRPr="007F71FD" w:rsidRDefault="00000000">
      <w:pPr>
        <w:spacing w:before="80" w:after="240"/>
        <w:jc w:val="center"/>
        <w:rPr>
          <w:rFonts w:asciiTheme="majorBidi" w:hAnsiTheme="majorBidi" w:cstheme="majorBidi"/>
        </w:rPr>
      </w:pPr>
      <w:r w:rsidRPr="007F71FD">
        <w:rPr>
          <w:rFonts w:asciiTheme="majorBidi" w:hAnsiTheme="majorBidi" w:cstheme="majorBidi"/>
          <w:i/>
          <w:iCs/>
          <w:sz w:val="20"/>
          <w:szCs w:val="20"/>
        </w:rPr>
        <w:t>Figure 4: Feature variances (log scale) showing the extreme range across features.</w:t>
      </w:r>
    </w:p>
    <w:p w14:paraId="31C054F5" w14:textId="77777777" w:rsidR="00666510" w:rsidRPr="007F71FD" w:rsidRDefault="00000000" w:rsidP="007A3A18">
      <w:pPr>
        <w:spacing w:after="160" w:line="300" w:lineRule="auto"/>
        <w:ind w:left="2160"/>
        <w:jc w:val="both"/>
        <w:rPr>
          <w:rFonts w:asciiTheme="majorBidi" w:hAnsiTheme="majorBidi" w:cstheme="majorBidi"/>
        </w:rPr>
      </w:pPr>
      <w:r w:rsidRPr="007F71FD">
        <w:rPr>
          <w:rFonts w:asciiTheme="majorBidi" w:hAnsiTheme="majorBidi" w:cstheme="majorBidi"/>
        </w:rPr>
        <w:lastRenderedPageBreak/>
        <w:t>The bottom 10 features by variance are listed in Table 5, with the three lowest-variance features falling below the 10th percentile threshold (</w:t>
      </w:r>
      <w:proofErr w:type="gramStart"/>
      <w:r w:rsidRPr="007F71FD">
        <w:rPr>
          <w:rFonts w:asciiTheme="majorBidi" w:hAnsiTheme="majorBidi" w:cstheme="majorBidi"/>
        </w:rPr>
        <w:t>4.92×10⁻⁵</w:t>
      </w:r>
      <w:proofErr w:type="gramEnd"/>
      <w:r w:rsidRPr="007F71FD">
        <w:rPr>
          <w:rFonts w:asciiTheme="majorBidi" w:hAnsiTheme="majorBidi" w:cstheme="majorBidi"/>
        </w:rPr>
        <w:t>).</w:t>
      </w:r>
    </w:p>
    <w:tbl>
      <w:tblPr>
        <w:tblStyle w:val="GridTable7Colorful"/>
        <w:tblW w:w="9588" w:type="dxa"/>
        <w:tblLook w:val="0400" w:firstRow="0" w:lastRow="0" w:firstColumn="0" w:lastColumn="0" w:noHBand="0" w:noVBand="1"/>
      </w:tblPr>
      <w:tblGrid>
        <w:gridCol w:w="4794"/>
        <w:gridCol w:w="4794"/>
      </w:tblGrid>
      <w:tr w:rsidR="00A30EA2" w:rsidRPr="007F71FD" w14:paraId="1D3C3522" w14:textId="77777777" w:rsidTr="007A3A18">
        <w:trPr>
          <w:cnfStyle w:val="000000100000" w:firstRow="0" w:lastRow="0" w:firstColumn="0" w:lastColumn="0" w:oddVBand="0" w:evenVBand="0" w:oddHBand="1" w:evenHBand="0" w:firstRowFirstColumn="0" w:firstRowLastColumn="0" w:lastRowFirstColumn="0" w:lastRowLastColumn="0"/>
          <w:trHeight w:val="380"/>
        </w:trPr>
        <w:tc>
          <w:tcPr>
            <w:tcW w:w="4794" w:type="dxa"/>
          </w:tcPr>
          <w:p w14:paraId="3A8806AF"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b/>
                <w:bCs/>
                <w:color w:val="auto"/>
                <w:sz w:val="20"/>
                <w:szCs w:val="20"/>
              </w:rPr>
              <w:t>Feature</w:t>
            </w:r>
          </w:p>
        </w:tc>
        <w:tc>
          <w:tcPr>
            <w:tcW w:w="4794" w:type="dxa"/>
          </w:tcPr>
          <w:p w14:paraId="0F752C96"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b/>
                <w:bCs/>
                <w:color w:val="auto"/>
                <w:sz w:val="20"/>
                <w:szCs w:val="20"/>
              </w:rPr>
              <w:t>Variance</w:t>
            </w:r>
          </w:p>
        </w:tc>
      </w:tr>
      <w:tr w:rsidR="00A30EA2" w:rsidRPr="007F71FD" w14:paraId="0BF67BA9" w14:textId="77777777" w:rsidTr="007A3A18">
        <w:trPr>
          <w:trHeight w:val="380"/>
        </w:trPr>
        <w:tc>
          <w:tcPr>
            <w:tcW w:w="4794" w:type="dxa"/>
          </w:tcPr>
          <w:p w14:paraId="29CF2D7F" w14:textId="77777777" w:rsidR="00666510" w:rsidRPr="007F71FD" w:rsidRDefault="00000000">
            <w:pPr>
              <w:jc w:val="center"/>
              <w:rPr>
                <w:rFonts w:asciiTheme="majorBidi" w:hAnsiTheme="majorBidi" w:cstheme="majorBidi"/>
                <w:color w:val="auto"/>
              </w:rPr>
            </w:pPr>
            <w:proofErr w:type="spellStart"/>
            <w:r w:rsidRPr="007F71FD">
              <w:rPr>
                <w:rFonts w:asciiTheme="majorBidi" w:hAnsiTheme="majorBidi" w:cstheme="majorBidi"/>
                <w:color w:val="auto"/>
                <w:sz w:val="20"/>
                <w:szCs w:val="20"/>
              </w:rPr>
              <w:t>se_fractal_dimension</w:t>
            </w:r>
            <w:proofErr w:type="spellEnd"/>
          </w:p>
        </w:tc>
        <w:tc>
          <w:tcPr>
            <w:tcW w:w="4794" w:type="dxa"/>
          </w:tcPr>
          <w:p w14:paraId="0C113A4E"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7.62 × 10⁻⁶</w:t>
            </w:r>
          </w:p>
        </w:tc>
      </w:tr>
      <w:tr w:rsidR="00A30EA2" w:rsidRPr="007F71FD" w14:paraId="79B8787A" w14:textId="77777777" w:rsidTr="007A3A18">
        <w:trPr>
          <w:cnfStyle w:val="000000100000" w:firstRow="0" w:lastRow="0" w:firstColumn="0" w:lastColumn="0" w:oddVBand="0" w:evenVBand="0" w:oddHBand="1" w:evenHBand="0" w:firstRowFirstColumn="0" w:firstRowLastColumn="0" w:lastRowFirstColumn="0" w:lastRowLastColumn="0"/>
          <w:trHeight w:val="399"/>
        </w:trPr>
        <w:tc>
          <w:tcPr>
            <w:tcW w:w="4794" w:type="dxa"/>
          </w:tcPr>
          <w:p w14:paraId="09F2B427" w14:textId="77777777" w:rsidR="00666510" w:rsidRPr="007F71FD" w:rsidRDefault="00000000">
            <w:pPr>
              <w:jc w:val="center"/>
              <w:rPr>
                <w:rFonts w:asciiTheme="majorBidi" w:hAnsiTheme="majorBidi" w:cstheme="majorBidi"/>
                <w:color w:val="auto"/>
              </w:rPr>
            </w:pPr>
            <w:proofErr w:type="spellStart"/>
            <w:r w:rsidRPr="007F71FD">
              <w:rPr>
                <w:rFonts w:asciiTheme="majorBidi" w:hAnsiTheme="majorBidi" w:cstheme="majorBidi"/>
                <w:color w:val="auto"/>
                <w:sz w:val="20"/>
                <w:szCs w:val="20"/>
              </w:rPr>
              <w:t>se_smoothness</w:t>
            </w:r>
            <w:proofErr w:type="spellEnd"/>
          </w:p>
        </w:tc>
        <w:tc>
          <w:tcPr>
            <w:tcW w:w="4794" w:type="dxa"/>
          </w:tcPr>
          <w:p w14:paraId="3EF5E0A9"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9.52 × 10⁻⁶</w:t>
            </w:r>
          </w:p>
        </w:tc>
      </w:tr>
      <w:tr w:rsidR="00A30EA2" w:rsidRPr="007F71FD" w14:paraId="0C02F57B" w14:textId="77777777" w:rsidTr="007A3A18">
        <w:trPr>
          <w:trHeight w:val="380"/>
        </w:trPr>
        <w:tc>
          <w:tcPr>
            <w:tcW w:w="4794" w:type="dxa"/>
          </w:tcPr>
          <w:p w14:paraId="34F2CC4B" w14:textId="77777777" w:rsidR="00666510" w:rsidRPr="007F71FD" w:rsidRDefault="00000000">
            <w:pPr>
              <w:jc w:val="center"/>
              <w:rPr>
                <w:rFonts w:asciiTheme="majorBidi" w:hAnsiTheme="majorBidi" w:cstheme="majorBidi"/>
                <w:color w:val="auto"/>
              </w:rPr>
            </w:pPr>
            <w:proofErr w:type="spellStart"/>
            <w:r w:rsidRPr="007F71FD">
              <w:rPr>
                <w:rFonts w:asciiTheme="majorBidi" w:hAnsiTheme="majorBidi" w:cstheme="majorBidi"/>
                <w:color w:val="auto"/>
                <w:sz w:val="20"/>
                <w:szCs w:val="20"/>
              </w:rPr>
              <w:t>se_concave_points</w:t>
            </w:r>
            <w:proofErr w:type="spellEnd"/>
          </w:p>
        </w:tc>
        <w:tc>
          <w:tcPr>
            <w:tcW w:w="4794" w:type="dxa"/>
          </w:tcPr>
          <w:p w14:paraId="61942958"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4.00 × 10⁻⁵</w:t>
            </w:r>
          </w:p>
        </w:tc>
      </w:tr>
      <w:tr w:rsidR="00A30EA2" w:rsidRPr="007F71FD" w14:paraId="0AF27FB1" w14:textId="77777777" w:rsidTr="007A3A18">
        <w:trPr>
          <w:cnfStyle w:val="000000100000" w:firstRow="0" w:lastRow="0" w:firstColumn="0" w:lastColumn="0" w:oddVBand="0" w:evenVBand="0" w:oddHBand="1" w:evenHBand="0" w:firstRowFirstColumn="0" w:firstRowLastColumn="0" w:lastRowFirstColumn="0" w:lastRowLastColumn="0"/>
          <w:trHeight w:val="399"/>
        </w:trPr>
        <w:tc>
          <w:tcPr>
            <w:tcW w:w="4794" w:type="dxa"/>
          </w:tcPr>
          <w:p w14:paraId="6890215C" w14:textId="77777777" w:rsidR="00666510" w:rsidRPr="007F71FD" w:rsidRDefault="00000000">
            <w:pPr>
              <w:jc w:val="center"/>
              <w:rPr>
                <w:rFonts w:asciiTheme="majorBidi" w:hAnsiTheme="majorBidi" w:cstheme="majorBidi"/>
                <w:color w:val="auto"/>
              </w:rPr>
            </w:pPr>
            <w:proofErr w:type="spellStart"/>
            <w:r w:rsidRPr="007F71FD">
              <w:rPr>
                <w:rFonts w:asciiTheme="majorBidi" w:hAnsiTheme="majorBidi" w:cstheme="majorBidi"/>
                <w:color w:val="auto"/>
                <w:sz w:val="20"/>
                <w:szCs w:val="20"/>
              </w:rPr>
              <w:t>mean_fractal_dimension</w:t>
            </w:r>
            <w:proofErr w:type="spellEnd"/>
          </w:p>
        </w:tc>
        <w:tc>
          <w:tcPr>
            <w:tcW w:w="4794" w:type="dxa"/>
          </w:tcPr>
          <w:p w14:paraId="7C5CB0AB"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5.02 × 10⁻⁵</w:t>
            </w:r>
          </w:p>
        </w:tc>
      </w:tr>
      <w:tr w:rsidR="00A30EA2" w:rsidRPr="007F71FD" w14:paraId="782CC218" w14:textId="77777777" w:rsidTr="007A3A18">
        <w:trPr>
          <w:trHeight w:val="380"/>
        </w:trPr>
        <w:tc>
          <w:tcPr>
            <w:tcW w:w="4794" w:type="dxa"/>
          </w:tcPr>
          <w:p w14:paraId="14196E9D" w14:textId="77777777" w:rsidR="00666510" w:rsidRPr="007F71FD" w:rsidRDefault="00000000">
            <w:pPr>
              <w:jc w:val="center"/>
              <w:rPr>
                <w:rFonts w:asciiTheme="majorBidi" w:hAnsiTheme="majorBidi" w:cstheme="majorBidi"/>
                <w:color w:val="auto"/>
              </w:rPr>
            </w:pPr>
            <w:proofErr w:type="spellStart"/>
            <w:r w:rsidRPr="007F71FD">
              <w:rPr>
                <w:rFonts w:asciiTheme="majorBidi" w:hAnsiTheme="majorBidi" w:cstheme="majorBidi"/>
                <w:color w:val="auto"/>
                <w:sz w:val="20"/>
                <w:szCs w:val="20"/>
              </w:rPr>
              <w:t>se_symmetry</w:t>
            </w:r>
            <w:proofErr w:type="spellEnd"/>
          </w:p>
        </w:tc>
        <w:tc>
          <w:tcPr>
            <w:tcW w:w="4794" w:type="dxa"/>
          </w:tcPr>
          <w:p w14:paraId="2EB53130"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6.25 × 10⁻⁵</w:t>
            </w:r>
          </w:p>
        </w:tc>
      </w:tr>
    </w:tbl>
    <w:p w14:paraId="681F13BE" w14:textId="77777777" w:rsidR="00666510" w:rsidRPr="007F71FD" w:rsidRDefault="00000000">
      <w:pPr>
        <w:spacing w:before="80" w:after="240"/>
        <w:jc w:val="center"/>
        <w:rPr>
          <w:rFonts w:asciiTheme="majorBidi" w:hAnsiTheme="majorBidi" w:cstheme="majorBidi"/>
        </w:rPr>
      </w:pPr>
      <w:r w:rsidRPr="007F71FD">
        <w:rPr>
          <w:rFonts w:asciiTheme="majorBidi" w:hAnsiTheme="majorBidi" w:cstheme="majorBidi"/>
          <w:i/>
          <w:iCs/>
          <w:sz w:val="20"/>
          <w:szCs w:val="20"/>
        </w:rPr>
        <w:t>Table 5: Five lowest-variance features in the training dataset.</w:t>
      </w:r>
    </w:p>
    <w:p w14:paraId="0B455823" w14:textId="77777777" w:rsidR="00666510" w:rsidRPr="007F71FD" w:rsidRDefault="00000000" w:rsidP="007A3A18">
      <w:pPr>
        <w:spacing w:after="160" w:line="300" w:lineRule="auto"/>
        <w:ind w:left="2160"/>
        <w:jc w:val="both"/>
        <w:rPr>
          <w:rFonts w:asciiTheme="majorBidi" w:hAnsiTheme="majorBidi" w:cstheme="majorBidi"/>
        </w:rPr>
      </w:pPr>
      <w:r w:rsidRPr="007F71FD">
        <w:rPr>
          <w:rFonts w:asciiTheme="majorBidi" w:hAnsiTheme="majorBidi" w:cstheme="majorBidi"/>
        </w:rPr>
        <w:t>The presence of low-variance features does not necessarily imply covariance matrix singularity. A feature with low but non-zero variance still contributes a non-zero diagonal entry to the covariance matrix, which can maintain full rank. However, low-variance features combined with correlations to other features can produce near-zero eigenvalues in the covariance matrix, even when all diagonal entries are non-zero. This occurs because the determinant (and smallest eigenvalue) depends on the full matrix structure, not just the diagonal. In this dataset, the extremely small eigenvalue (</w:t>
      </w:r>
      <w:proofErr w:type="gramStart"/>
      <w:r w:rsidRPr="007F71FD">
        <w:rPr>
          <w:rFonts w:asciiTheme="majorBidi" w:hAnsiTheme="majorBidi" w:cstheme="majorBidi"/>
        </w:rPr>
        <w:t>7.43×10⁻⁷</w:t>
      </w:r>
      <w:proofErr w:type="gramEnd"/>
      <w:r w:rsidRPr="007F71FD">
        <w:rPr>
          <w:rFonts w:asciiTheme="majorBidi" w:hAnsiTheme="majorBidi" w:cstheme="majorBidi"/>
        </w:rPr>
        <w:t>) likely arises from near-linear dependencies among features with already small variances, which jointly create a near-singular direction in feature space.</w:t>
      </w:r>
    </w:p>
    <w:p w14:paraId="7E52F0B5" w14:textId="77777777" w:rsidR="00666510" w:rsidRPr="007F71FD" w:rsidRDefault="00000000" w:rsidP="00FC4BD5">
      <w:pPr>
        <w:pStyle w:val="Heading2"/>
        <w:ind w:firstLine="720"/>
        <w:rPr>
          <w:rFonts w:asciiTheme="majorBidi" w:hAnsiTheme="majorBidi" w:cstheme="majorBidi"/>
          <w:color w:val="auto"/>
        </w:rPr>
      </w:pPr>
      <w:bookmarkStart w:id="27" w:name="_Toc221373856"/>
      <w:r w:rsidRPr="007F71FD">
        <w:rPr>
          <w:rFonts w:asciiTheme="majorBidi" w:hAnsiTheme="majorBidi" w:cstheme="majorBidi"/>
          <w:color w:val="auto"/>
        </w:rPr>
        <w:t>2.7 Variance-Based Feature Elimination</w:t>
      </w:r>
      <w:bookmarkEnd w:id="27"/>
    </w:p>
    <w:p w14:paraId="4EE94038" w14:textId="77777777" w:rsidR="00666510" w:rsidRPr="007F71FD" w:rsidRDefault="00000000" w:rsidP="00FC4BD5">
      <w:pPr>
        <w:spacing w:after="160" w:line="300" w:lineRule="auto"/>
        <w:ind w:left="1440"/>
        <w:jc w:val="both"/>
        <w:rPr>
          <w:rFonts w:asciiTheme="majorBidi" w:hAnsiTheme="majorBidi" w:cstheme="majorBidi"/>
        </w:rPr>
      </w:pPr>
      <w:r w:rsidRPr="007F71FD">
        <w:rPr>
          <w:rFonts w:asciiTheme="majorBidi" w:hAnsiTheme="majorBidi" w:cstheme="majorBidi"/>
        </w:rPr>
        <w:t>Features with variance below the 10th percentile threshold (</w:t>
      </w:r>
      <w:proofErr w:type="gramStart"/>
      <w:r w:rsidRPr="007F71FD">
        <w:rPr>
          <w:rFonts w:asciiTheme="majorBidi" w:hAnsiTheme="majorBidi" w:cstheme="majorBidi"/>
        </w:rPr>
        <w:t>4.92×10⁻⁵</w:t>
      </w:r>
      <w:proofErr w:type="gramEnd"/>
      <w:r w:rsidRPr="007F71FD">
        <w:rPr>
          <w:rFonts w:asciiTheme="majorBidi" w:hAnsiTheme="majorBidi" w:cstheme="majorBidi"/>
        </w:rPr>
        <w:t xml:space="preserve">) were identified and removed. Three features were eliminated: </w:t>
      </w:r>
      <w:proofErr w:type="spellStart"/>
      <w:r w:rsidRPr="007F71FD">
        <w:rPr>
          <w:rFonts w:asciiTheme="majorBidi" w:hAnsiTheme="majorBidi" w:cstheme="majorBidi"/>
        </w:rPr>
        <w:t>se_smoothness</w:t>
      </w:r>
      <w:proofErr w:type="spellEnd"/>
      <w:r w:rsidRPr="007F71FD">
        <w:rPr>
          <w:rFonts w:asciiTheme="majorBidi" w:hAnsiTheme="majorBidi" w:cstheme="majorBidi"/>
        </w:rPr>
        <w:t xml:space="preserve">, </w:t>
      </w:r>
      <w:proofErr w:type="spellStart"/>
      <w:r w:rsidRPr="007F71FD">
        <w:rPr>
          <w:rFonts w:asciiTheme="majorBidi" w:hAnsiTheme="majorBidi" w:cstheme="majorBidi"/>
        </w:rPr>
        <w:t>se_concave_points</w:t>
      </w:r>
      <w:proofErr w:type="spellEnd"/>
      <w:r w:rsidRPr="007F71FD">
        <w:rPr>
          <w:rFonts w:asciiTheme="majorBidi" w:hAnsiTheme="majorBidi" w:cstheme="majorBidi"/>
        </w:rPr>
        <w:t xml:space="preserve">, and </w:t>
      </w:r>
      <w:proofErr w:type="spellStart"/>
      <w:r w:rsidRPr="007F71FD">
        <w:rPr>
          <w:rFonts w:asciiTheme="majorBidi" w:hAnsiTheme="majorBidi" w:cstheme="majorBidi"/>
        </w:rPr>
        <w:t>se_fractal_dimension</w:t>
      </w:r>
      <w:proofErr w:type="spellEnd"/>
      <w:r w:rsidRPr="007F71FD">
        <w:rPr>
          <w:rFonts w:asciiTheme="majorBidi" w:hAnsiTheme="majorBidi" w:cstheme="majorBidi"/>
        </w:rPr>
        <w:t>. The resulting reduced feature set contains 27 features.</w:t>
      </w:r>
    </w:p>
    <w:p w14:paraId="655196E8" w14:textId="77777777" w:rsidR="00666510" w:rsidRPr="007F71FD" w:rsidRDefault="00000000" w:rsidP="0015131E">
      <w:pPr>
        <w:pStyle w:val="Heading3"/>
        <w:ind w:left="720" w:firstLine="720"/>
        <w:rPr>
          <w:rFonts w:asciiTheme="majorBidi" w:hAnsiTheme="majorBidi" w:cstheme="majorBidi"/>
          <w:color w:val="auto"/>
        </w:rPr>
      </w:pPr>
      <w:bookmarkStart w:id="28" w:name="_Toc221373857"/>
      <w:r w:rsidRPr="007F71FD">
        <w:rPr>
          <w:rFonts w:asciiTheme="majorBidi" w:hAnsiTheme="majorBidi" w:cstheme="majorBidi"/>
          <w:color w:val="auto"/>
        </w:rPr>
        <w:t>2.7.1 Covariance Analysis Comparison</w:t>
      </w:r>
      <w:bookmarkEnd w:id="28"/>
    </w:p>
    <w:tbl>
      <w:tblPr>
        <w:tblStyle w:val="GridTable7Colorful"/>
        <w:tblW w:w="9582" w:type="dxa"/>
        <w:tblLook w:val="0400" w:firstRow="0" w:lastRow="0" w:firstColumn="0" w:lastColumn="0" w:noHBand="0" w:noVBand="1"/>
      </w:tblPr>
      <w:tblGrid>
        <w:gridCol w:w="3194"/>
        <w:gridCol w:w="3194"/>
        <w:gridCol w:w="3194"/>
      </w:tblGrid>
      <w:tr w:rsidR="00A30EA2" w:rsidRPr="007F71FD" w14:paraId="7256DBD6" w14:textId="77777777" w:rsidTr="00345BAF">
        <w:trPr>
          <w:cnfStyle w:val="000000100000" w:firstRow="0" w:lastRow="0" w:firstColumn="0" w:lastColumn="0" w:oddVBand="0" w:evenVBand="0" w:oddHBand="1" w:evenHBand="0" w:firstRowFirstColumn="0" w:firstRowLastColumn="0" w:lastRowFirstColumn="0" w:lastRowLastColumn="0"/>
          <w:trHeight w:val="316"/>
        </w:trPr>
        <w:tc>
          <w:tcPr>
            <w:tcW w:w="3194" w:type="dxa"/>
          </w:tcPr>
          <w:p w14:paraId="06173813"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b/>
                <w:bCs/>
                <w:color w:val="auto"/>
                <w:sz w:val="20"/>
                <w:szCs w:val="20"/>
              </w:rPr>
              <w:t>Metric</w:t>
            </w:r>
          </w:p>
        </w:tc>
        <w:tc>
          <w:tcPr>
            <w:tcW w:w="3194" w:type="dxa"/>
          </w:tcPr>
          <w:p w14:paraId="43CED2B2"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b/>
                <w:bCs/>
                <w:color w:val="auto"/>
                <w:sz w:val="20"/>
                <w:szCs w:val="20"/>
              </w:rPr>
              <w:t>Before (30)</w:t>
            </w:r>
          </w:p>
        </w:tc>
        <w:tc>
          <w:tcPr>
            <w:tcW w:w="3194" w:type="dxa"/>
          </w:tcPr>
          <w:p w14:paraId="7075CD6E"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b/>
                <w:bCs/>
                <w:color w:val="auto"/>
                <w:sz w:val="20"/>
                <w:szCs w:val="20"/>
              </w:rPr>
              <w:t>After (27)</w:t>
            </w:r>
          </w:p>
        </w:tc>
      </w:tr>
      <w:tr w:rsidR="00A30EA2" w:rsidRPr="007F71FD" w14:paraId="516CBB5C" w14:textId="77777777" w:rsidTr="00345BAF">
        <w:trPr>
          <w:trHeight w:val="316"/>
        </w:trPr>
        <w:tc>
          <w:tcPr>
            <w:tcW w:w="3194" w:type="dxa"/>
          </w:tcPr>
          <w:p w14:paraId="093C89B8"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Rank</w:t>
            </w:r>
          </w:p>
        </w:tc>
        <w:tc>
          <w:tcPr>
            <w:tcW w:w="3194" w:type="dxa"/>
          </w:tcPr>
          <w:p w14:paraId="727C1DC0"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30</w:t>
            </w:r>
          </w:p>
        </w:tc>
        <w:tc>
          <w:tcPr>
            <w:tcW w:w="3194" w:type="dxa"/>
          </w:tcPr>
          <w:p w14:paraId="1E8E3AA6"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27</w:t>
            </w:r>
          </w:p>
        </w:tc>
      </w:tr>
      <w:tr w:rsidR="00A30EA2" w:rsidRPr="007F71FD" w14:paraId="22AD6940" w14:textId="77777777" w:rsidTr="00345BAF">
        <w:trPr>
          <w:cnfStyle w:val="000000100000" w:firstRow="0" w:lastRow="0" w:firstColumn="0" w:lastColumn="0" w:oddVBand="0" w:evenVBand="0" w:oddHBand="1" w:evenHBand="0" w:firstRowFirstColumn="0" w:firstRowLastColumn="0" w:lastRowFirstColumn="0" w:lastRowLastColumn="0"/>
          <w:trHeight w:val="316"/>
        </w:trPr>
        <w:tc>
          <w:tcPr>
            <w:tcW w:w="3194" w:type="dxa"/>
          </w:tcPr>
          <w:p w14:paraId="535C9615"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Condition Number</w:t>
            </w:r>
          </w:p>
        </w:tc>
        <w:tc>
          <w:tcPr>
            <w:tcW w:w="3194" w:type="dxa"/>
          </w:tcPr>
          <w:p w14:paraId="21F67F6B"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6.18 × 10¹¹</w:t>
            </w:r>
          </w:p>
        </w:tc>
        <w:tc>
          <w:tcPr>
            <w:tcW w:w="3194" w:type="dxa"/>
          </w:tcPr>
          <w:p w14:paraId="0882F2E8"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1.61 × 10¹¹</w:t>
            </w:r>
          </w:p>
        </w:tc>
      </w:tr>
      <w:tr w:rsidR="00A30EA2" w:rsidRPr="007F71FD" w14:paraId="124D2CDB" w14:textId="77777777" w:rsidTr="00345BAF">
        <w:trPr>
          <w:trHeight w:val="316"/>
        </w:trPr>
        <w:tc>
          <w:tcPr>
            <w:tcW w:w="3194" w:type="dxa"/>
          </w:tcPr>
          <w:p w14:paraId="71AB9437"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Min Eigenvalue</w:t>
            </w:r>
          </w:p>
        </w:tc>
        <w:tc>
          <w:tcPr>
            <w:tcW w:w="3194" w:type="dxa"/>
          </w:tcPr>
          <w:p w14:paraId="5E61E542"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7.43 × 10⁻⁷</w:t>
            </w:r>
          </w:p>
        </w:tc>
        <w:tc>
          <w:tcPr>
            <w:tcW w:w="3194" w:type="dxa"/>
          </w:tcPr>
          <w:p w14:paraId="6CA508BD"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2.86 × 10⁻⁶</w:t>
            </w:r>
          </w:p>
        </w:tc>
      </w:tr>
      <w:tr w:rsidR="00A30EA2" w:rsidRPr="007F71FD" w14:paraId="4EB2F61F" w14:textId="77777777" w:rsidTr="00345BAF">
        <w:trPr>
          <w:cnfStyle w:val="000000100000" w:firstRow="0" w:lastRow="0" w:firstColumn="0" w:lastColumn="0" w:oddVBand="0" w:evenVBand="0" w:oddHBand="1" w:evenHBand="0" w:firstRowFirstColumn="0" w:firstRowLastColumn="0" w:lastRowFirstColumn="0" w:lastRowLastColumn="0"/>
          <w:trHeight w:val="316"/>
        </w:trPr>
        <w:tc>
          <w:tcPr>
            <w:tcW w:w="3194" w:type="dxa"/>
          </w:tcPr>
          <w:p w14:paraId="35BE7A24"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Max Eigenvalue</w:t>
            </w:r>
          </w:p>
        </w:tc>
        <w:tc>
          <w:tcPr>
            <w:tcW w:w="3194" w:type="dxa"/>
          </w:tcPr>
          <w:p w14:paraId="676093D6"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4.59 × 10⁵</w:t>
            </w:r>
          </w:p>
        </w:tc>
        <w:tc>
          <w:tcPr>
            <w:tcW w:w="3194" w:type="dxa"/>
          </w:tcPr>
          <w:p w14:paraId="7F1473FF"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4.59 × 10⁵</w:t>
            </w:r>
          </w:p>
        </w:tc>
      </w:tr>
    </w:tbl>
    <w:p w14:paraId="4298E019" w14:textId="77777777" w:rsidR="00666510" w:rsidRPr="007F71FD" w:rsidRDefault="00000000">
      <w:pPr>
        <w:spacing w:before="80" w:after="240"/>
        <w:jc w:val="center"/>
        <w:rPr>
          <w:rFonts w:asciiTheme="majorBidi" w:hAnsiTheme="majorBidi" w:cstheme="majorBidi"/>
        </w:rPr>
      </w:pPr>
      <w:r w:rsidRPr="007F71FD">
        <w:rPr>
          <w:rFonts w:asciiTheme="majorBidi" w:hAnsiTheme="majorBidi" w:cstheme="majorBidi"/>
          <w:i/>
          <w:iCs/>
          <w:sz w:val="20"/>
          <w:szCs w:val="20"/>
        </w:rPr>
        <w:t>Table 6: Covariance matrix properties before and after variance-based feature elimination.</w:t>
      </w:r>
    </w:p>
    <w:p w14:paraId="7DD9FAF1" w14:textId="77777777" w:rsidR="00666510" w:rsidRPr="007F71FD" w:rsidRDefault="00000000" w:rsidP="00C52C28">
      <w:pPr>
        <w:spacing w:after="160" w:line="300" w:lineRule="auto"/>
        <w:ind w:left="2160"/>
        <w:jc w:val="both"/>
        <w:rPr>
          <w:rFonts w:asciiTheme="majorBidi" w:hAnsiTheme="majorBidi" w:cstheme="majorBidi"/>
        </w:rPr>
      </w:pPr>
      <w:r w:rsidRPr="007F71FD">
        <w:rPr>
          <w:rFonts w:asciiTheme="majorBidi" w:hAnsiTheme="majorBidi" w:cstheme="majorBidi"/>
        </w:rPr>
        <w:t xml:space="preserve">Removing the three lowest-variance features improved the condition number from </w:t>
      </w:r>
      <w:proofErr w:type="gramStart"/>
      <w:r w:rsidRPr="007F71FD">
        <w:rPr>
          <w:rFonts w:asciiTheme="majorBidi" w:hAnsiTheme="majorBidi" w:cstheme="majorBidi"/>
        </w:rPr>
        <w:t>6.18×10¹¹</w:t>
      </w:r>
      <w:proofErr w:type="gramEnd"/>
      <w:r w:rsidRPr="007F71FD">
        <w:rPr>
          <w:rFonts w:asciiTheme="majorBidi" w:hAnsiTheme="majorBidi" w:cstheme="majorBidi"/>
        </w:rPr>
        <w:t xml:space="preserve"> to </w:t>
      </w:r>
      <w:proofErr w:type="gramStart"/>
      <w:r w:rsidRPr="007F71FD">
        <w:rPr>
          <w:rFonts w:asciiTheme="majorBidi" w:hAnsiTheme="majorBidi" w:cstheme="majorBidi"/>
        </w:rPr>
        <w:t>1.61×10¹¹</w:t>
      </w:r>
      <w:proofErr w:type="gramEnd"/>
      <w:r w:rsidRPr="007F71FD">
        <w:rPr>
          <w:rFonts w:asciiTheme="majorBidi" w:hAnsiTheme="majorBidi" w:cstheme="majorBidi"/>
        </w:rPr>
        <w:t xml:space="preserve"> and increased the minimum eigenvalue by approximately a factor of four. However, the condition number remains extremely high (on the order of 10¹¹), indicating that variance-based feature elimination alone is insufficient to resolve the ill-conditioning problem. This is because the dominant </w:t>
      </w:r>
      <w:r w:rsidRPr="007F71FD">
        <w:rPr>
          <w:rFonts w:asciiTheme="majorBidi" w:hAnsiTheme="majorBidi" w:cstheme="majorBidi"/>
        </w:rPr>
        <w:lastRenderedPageBreak/>
        <w:t>source of ill-conditioning is the extreme scale disparity among retained features (e.g., area features versus smoothness features), which cannot be addressed by removing only the lowest-variance features. More effective remedies include feature standardization or Tikhonov regularization of the covariance matrix.</w:t>
      </w:r>
    </w:p>
    <w:p w14:paraId="2E7CE3EA" w14:textId="77777777" w:rsidR="00666510" w:rsidRPr="007F71FD" w:rsidRDefault="00000000" w:rsidP="00890E92">
      <w:pPr>
        <w:pStyle w:val="Heading3"/>
        <w:ind w:left="720" w:firstLine="720"/>
        <w:rPr>
          <w:rFonts w:asciiTheme="majorBidi" w:hAnsiTheme="majorBidi" w:cstheme="majorBidi"/>
          <w:color w:val="auto"/>
        </w:rPr>
      </w:pPr>
      <w:bookmarkStart w:id="29" w:name="_Toc221373858"/>
      <w:r w:rsidRPr="007F71FD">
        <w:rPr>
          <w:rFonts w:asciiTheme="majorBidi" w:hAnsiTheme="majorBidi" w:cstheme="majorBidi"/>
          <w:color w:val="auto"/>
        </w:rPr>
        <w:t>2.8 Re-Estimation with Reduced Features</w:t>
      </w:r>
      <w:bookmarkEnd w:id="29"/>
    </w:p>
    <w:p w14:paraId="0840654C" w14:textId="77777777" w:rsidR="00666510" w:rsidRPr="007F71FD" w:rsidRDefault="00000000" w:rsidP="00FB3974">
      <w:pPr>
        <w:spacing w:after="160" w:line="300" w:lineRule="auto"/>
        <w:ind w:left="2160"/>
        <w:jc w:val="both"/>
        <w:rPr>
          <w:rFonts w:asciiTheme="majorBidi" w:hAnsiTheme="majorBidi" w:cstheme="majorBidi"/>
        </w:rPr>
      </w:pPr>
      <w:r w:rsidRPr="007F71FD">
        <w:rPr>
          <w:rFonts w:asciiTheme="majorBidi" w:hAnsiTheme="majorBidi" w:cstheme="majorBidi"/>
        </w:rPr>
        <w:t>LDA and QDA were re-trained on the 27-feature reduced dataset. The classification results are presented in Table 7.</w:t>
      </w:r>
    </w:p>
    <w:tbl>
      <w:tblPr>
        <w:tblStyle w:val="GridTable7Colorful"/>
        <w:tblW w:w="9424" w:type="dxa"/>
        <w:tblLook w:val="0400" w:firstRow="0" w:lastRow="0" w:firstColumn="0" w:lastColumn="0" w:noHBand="0" w:noVBand="1"/>
      </w:tblPr>
      <w:tblGrid>
        <w:gridCol w:w="1812"/>
        <w:gridCol w:w="1208"/>
        <w:gridCol w:w="1601"/>
        <w:gridCol w:w="1601"/>
        <w:gridCol w:w="1601"/>
        <w:gridCol w:w="1601"/>
      </w:tblGrid>
      <w:tr w:rsidR="00A30EA2" w:rsidRPr="007F71FD" w14:paraId="0FBB3DAC" w14:textId="77777777" w:rsidTr="0078571B">
        <w:trPr>
          <w:cnfStyle w:val="000000100000" w:firstRow="0" w:lastRow="0" w:firstColumn="0" w:lastColumn="0" w:oddVBand="0" w:evenVBand="0" w:oddHBand="1" w:evenHBand="0" w:firstRowFirstColumn="0" w:firstRowLastColumn="0" w:lastRowFirstColumn="0" w:lastRowLastColumn="0"/>
          <w:trHeight w:val="308"/>
        </w:trPr>
        <w:tc>
          <w:tcPr>
            <w:tcW w:w="1812" w:type="dxa"/>
          </w:tcPr>
          <w:p w14:paraId="297ACD8E"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b/>
                <w:bCs/>
                <w:color w:val="auto"/>
                <w:sz w:val="20"/>
                <w:szCs w:val="20"/>
              </w:rPr>
              <w:t>Classifier</w:t>
            </w:r>
          </w:p>
        </w:tc>
        <w:tc>
          <w:tcPr>
            <w:tcW w:w="1208" w:type="dxa"/>
          </w:tcPr>
          <w:p w14:paraId="672C9C39"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b/>
                <w:bCs/>
                <w:color w:val="auto"/>
                <w:sz w:val="20"/>
                <w:szCs w:val="20"/>
              </w:rPr>
              <w:t>Set</w:t>
            </w:r>
          </w:p>
        </w:tc>
        <w:tc>
          <w:tcPr>
            <w:tcW w:w="1601" w:type="dxa"/>
          </w:tcPr>
          <w:p w14:paraId="3572162B"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b/>
                <w:bCs/>
                <w:color w:val="auto"/>
                <w:sz w:val="20"/>
                <w:szCs w:val="20"/>
              </w:rPr>
              <w:t>Accuracy</w:t>
            </w:r>
          </w:p>
        </w:tc>
        <w:tc>
          <w:tcPr>
            <w:tcW w:w="1601" w:type="dxa"/>
          </w:tcPr>
          <w:p w14:paraId="74C932D4"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b/>
                <w:bCs/>
                <w:color w:val="auto"/>
                <w:sz w:val="20"/>
                <w:szCs w:val="20"/>
              </w:rPr>
              <w:t>Precision</w:t>
            </w:r>
          </w:p>
        </w:tc>
        <w:tc>
          <w:tcPr>
            <w:tcW w:w="1601" w:type="dxa"/>
          </w:tcPr>
          <w:p w14:paraId="65AFEC98"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b/>
                <w:bCs/>
                <w:color w:val="auto"/>
                <w:sz w:val="20"/>
                <w:szCs w:val="20"/>
              </w:rPr>
              <w:t>Recall</w:t>
            </w:r>
          </w:p>
        </w:tc>
        <w:tc>
          <w:tcPr>
            <w:tcW w:w="1601" w:type="dxa"/>
          </w:tcPr>
          <w:p w14:paraId="29146D8B"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b/>
                <w:bCs/>
                <w:color w:val="auto"/>
                <w:sz w:val="20"/>
                <w:szCs w:val="20"/>
              </w:rPr>
              <w:t>F1</w:t>
            </w:r>
          </w:p>
        </w:tc>
      </w:tr>
      <w:tr w:rsidR="00A30EA2" w:rsidRPr="007F71FD" w14:paraId="0D6A6E62" w14:textId="77777777" w:rsidTr="0078571B">
        <w:trPr>
          <w:trHeight w:val="308"/>
        </w:trPr>
        <w:tc>
          <w:tcPr>
            <w:tcW w:w="1812" w:type="dxa"/>
          </w:tcPr>
          <w:p w14:paraId="1D39B099"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LDA (27)</w:t>
            </w:r>
          </w:p>
        </w:tc>
        <w:tc>
          <w:tcPr>
            <w:tcW w:w="1208" w:type="dxa"/>
          </w:tcPr>
          <w:p w14:paraId="4938B180"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Train</w:t>
            </w:r>
          </w:p>
        </w:tc>
        <w:tc>
          <w:tcPr>
            <w:tcW w:w="1601" w:type="dxa"/>
          </w:tcPr>
          <w:p w14:paraId="1EFE6620"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0.9693</w:t>
            </w:r>
          </w:p>
        </w:tc>
        <w:tc>
          <w:tcPr>
            <w:tcW w:w="1601" w:type="dxa"/>
          </w:tcPr>
          <w:p w14:paraId="20A09F50"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1.0000</w:t>
            </w:r>
          </w:p>
        </w:tc>
        <w:tc>
          <w:tcPr>
            <w:tcW w:w="1601" w:type="dxa"/>
          </w:tcPr>
          <w:p w14:paraId="4D0C70B1"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0.9176</w:t>
            </w:r>
          </w:p>
        </w:tc>
        <w:tc>
          <w:tcPr>
            <w:tcW w:w="1601" w:type="dxa"/>
          </w:tcPr>
          <w:p w14:paraId="714C0BB7"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0.9571</w:t>
            </w:r>
          </w:p>
        </w:tc>
      </w:tr>
      <w:tr w:rsidR="00A30EA2" w:rsidRPr="007F71FD" w14:paraId="32AF1526" w14:textId="77777777" w:rsidTr="0078571B">
        <w:trPr>
          <w:cnfStyle w:val="000000100000" w:firstRow="0" w:lastRow="0" w:firstColumn="0" w:lastColumn="0" w:oddVBand="0" w:evenVBand="0" w:oddHBand="1" w:evenHBand="0" w:firstRowFirstColumn="0" w:firstRowLastColumn="0" w:lastRowFirstColumn="0" w:lastRowLastColumn="0"/>
          <w:trHeight w:val="308"/>
        </w:trPr>
        <w:tc>
          <w:tcPr>
            <w:tcW w:w="1812" w:type="dxa"/>
          </w:tcPr>
          <w:p w14:paraId="471965AA"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LDA (27)</w:t>
            </w:r>
          </w:p>
        </w:tc>
        <w:tc>
          <w:tcPr>
            <w:tcW w:w="1208" w:type="dxa"/>
          </w:tcPr>
          <w:p w14:paraId="345E1036"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Test</w:t>
            </w:r>
          </w:p>
        </w:tc>
        <w:tc>
          <w:tcPr>
            <w:tcW w:w="1601" w:type="dxa"/>
          </w:tcPr>
          <w:p w14:paraId="17A0BF36"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0.9292</w:t>
            </w:r>
          </w:p>
        </w:tc>
        <w:tc>
          <w:tcPr>
            <w:tcW w:w="1601" w:type="dxa"/>
          </w:tcPr>
          <w:p w14:paraId="0CD43B0F"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0.9474</w:t>
            </w:r>
          </w:p>
        </w:tc>
        <w:tc>
          <w:tcPr>
            <w:tcW w:w="1601" w:type="dxa"/>
          </w:tcPr>
          <w:p w14:paraId="44EA6A04"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0.8571</w:t>
            </w:r>
          </w:p>
        </w:tc>
        <w:tc>
          <w:tcPr>
            <w:tcW w:w="1601" w:type="dxa"/>
          </w:tcPr>
          <w:p w14:paraId="6FF204CD"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0.9000</w:t>
            </w:r>
          </w:p>
        </w:tc>
      </w:tr>
      <w:tr w:rsidR="00A30EA2" w:rsidRPr="007F71FD" w14:paraId="693D901D" w14:textId="77777777" w:rsidTr="0078571B">
        <w:trPr>
          <w:trHeight w:val="308"/>
        </w:trPr>
        <w:tc>
          <w:tcPr>
            <w:tcW w:w="1812" w:type="dxa"/>
          </w:tcPr>
          <w:p w14:paraId="01CB2335"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QDA (27)</w:t>
            </w:r>
          </w:p>
        </w:tc>
        <w:tc>
          <w:tcPr>
            <w:tcW w:w="1208" w:type="dxa"/>
          </w:tcPr>
          <w:p w14:paraId="691257E8"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Train</w:t>
            </w:r>
          </w:p>
        </w:tc>
        <w:tc>
          <w:tcPr>
            <w:tcW w:w="1601" w:type="dxa"/>
          </w:tcPr>
          <w:p w14:paraId="7FC34D33"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0.9715</w:t>
            </w:r>
          </w:p>
        </w:tc>
        <w:tc>
          <w:tcPr>
            <w:tcW w:w="1601" w:type="dxa"/>
          </w:tcPr>
          <w:p w14:paraId="0275A048"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0.9876</w:t>
            </w:r>
          </w:p>
        </w:tc>
        <w:tc>
          <w:tcPr>
            <w:tcW w:w="1601" w:type="dxa"/>
          </w:tcPr>
          <w:p w14:paraId="75929C48"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0.9353</w:t>
            </w:r>
          </w:p>
        </w:tc>
        <w:tc>
          <w:tcPr>
            <w:tcW w:w="1601" w:type="dxa"/>
          </w:tcPr>
          <w:p w14:paraId="148263DB"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0.9607</w:t>
            </w:r>
          </w:p>
        </w:tc>
      </w:tr>
      <w:tr w:rsidR="00A30EA2" w:rsidRPr="007F71FD" w14:paraId="05CBFFE9" w14:textId="77777777" w:rsidTr="0078571B">
        <w:trPr>
          <w:cnfStyle w:val="000000100000" w:firstRow="0" w:lastRow="0" w:firstColumn="0" w:lastColumn="0" w:oddVBand="0" w:evenVBand="0" w:oddHBand="1" w:evenHBand="0" w:firstRowFirstColumn="0" w:firstRowLastColumn="0" w:lastRowFirstColumn="0" w:lastRowLastColumn="0"/>
          <w:trHeight w:val="308"/>
        </w:trPr>
        <w:tc>
          <w:tcPr>
            <w:tcW w:w="1812" w:type="dxa"/>
          </w:tcPr>
          <w:p w14:paraId="79CE9447"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QDA (27)</w:t>
            </w:r>
          </w:p>
        </w:tc>
        <w:tc>
          <w:tcPr>
            <w:tcW w:w="1208" w:type="dxa"/>
          </w:tcPr>
          <w:p w14:paraId="051B6FA4"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Test</w:t>
            </w:r>
          </w:p>
        </w:tc>
        <w:tc>
          <w:tcPr>
            <w:tcW w:w="1601" w:type="dxa"/>
          </w:tcPr>
          <w:p w14:paraId="0896A632"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0.9292</w:t>
            </w:r>
          </w:p>
        </w:tc>
        <w:tc>
          <w:tcPr>
            <w:tcW w:w="1601" w:type="dxa"/>
          </w:tcPr>
          <w:p w14:paraId="167287CF"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0.9048</w:t>
            </w:r>
          </w:p>
        </w:tc>
        <w:tc>
          <w:tcPr>
            <w:tcW w:w="1601" w:type="dxa"/>
          </w:tcPr>
          <w:p w14:paraId="42D0DA27"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0.9048</w:t>
            </w:r>
          </w:p>
        </w:tc>
        <w:tc>
          <w:tcPr>
            <w:tcW w:w="1601" w:type="dxa"/>
          </w:tcPr>
          <w:p w14:paraId="614DEEB8"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0.9048</w:t>
            </w:r>
          </w:p>
        </w:tc>
      </w:tr>
    </w:tbl>
    <w:p w14:paraId="7E2532CE" w14:textId="77777777" w:rsidR="00666510" w:rsidRPr="007F71FD" w:rsidRDefault="00000000">
      <w:pPr>
        <w:spacing w:before="80" w:after="240"/>
        <w:jc w:val="center"/>
        <w:rPr>
          <w:rFonts w:asciiTheme="majorBidi" w:hAnsiTheme="majorBidi" w:cstheme="majorBidi"/>
        </w:rPr>
      </w:pPr>
      <w:r w:rsidRPr="007F71FD">
        <w:rPr>
          <w:rFonts w:asciiTheme="majorBidi" w:hAnsiTheme="majorBidi" w:cstheme="majorBidi"/>
          <w:i/>
          <w:iCs/>
          <w:sz w:val="20"/>
          <w:szCs w:val="20"/>
        </w:rPr>
        <w:t>Table 7: Classification performance after variance-based feature elimination (27 features).</w:t>
      </w:r>
    </w:p>
    <w:p w14:paraId="741B0CA2" w14:textId="77777777" w:rsidR="00666510" w:rsidRPr="007F71FD" w:rsidRDefault="00000000" w:rsidP="0078571B">
      <w:pPr>
        <w:spacing w:after="160" w:line="300" w:lineRule="auto"/>
        <w:ind w:left="2160"/>
        <w:jc w:val="both"/>
        <w:rPr>
          <w:rFonts w:asciiTheme="majorBidi" w:hAnsiTheme="majorBidi" w:cstheme="majorBidi"/>
        </w:rPr>
      </w:pPr>
      <w:r w:rsidRPr="007F71FD">
        <w:rPr>
          <w:rFonts w:asciiTheme="majorBidi" w:hAnsiTheme="majorBidi" w:cstheme="majorBidi"/>
        </w:rPr>
        <w:t>Removing the three low-variance features resulted in a slight decrease in test accuracy for both LDA (from 93.81% to 92.92%) and QDA (from 93.81% to 92.92%). This marginal degradation suggests that the removed features, despite their low variance, did carry some discriminative information. The training performance remained nearly unchanged, indicating that the model’s capacity to fit the training data was not materially affected. These results confirm that variance is not a reliable proxy for discriminative relevance; a feature with low variance can still be informative if its distribution differs systematically between classes.</w:t>
      </w:r>
    </w:p>
    <w:p w14:paraId="4CC0902C" w14:textId="77777777" w:rsidR="00666510" w:rsidRPr="007F71FD" w:rsidRDefault="00000000" w:rsidP="001469B8">
      <w:pPr>
        <w:pStyle w:val="Heading2"/>
        <w:ind w:firstLine="720"/>
        <w:rPr>
          <w:rFonts w:asciiTheme="majorBidi" w:hAnsiTheme="majorBidi" w:cstheme="majorBidi"/>
          <w:color w:val="auto"/>
        </w:rPr>
      </w:pPr>
      <w:bookmarkStart w:id="30" w:name="_Toc221373859"/>
      <w:r w:rsidRPr="007F71FD">
        <w:rPr>
          <w:rFonts w:asciiTheme="majorBidi" w:hAnsiTheme="majorBidi" w:cstheme="majorBidi"/>
          <w:color w:val="auto"/>
        </w:rPr>
        <w:t>2.9 Performance Evaluation and Error Analysis</w:t>
      </w:r>
      <w:bookmarkEnd w:id="30"/>
    </w:p>
    <w:p w14:paraId="1267C26D" w14:textId="77777777" w:rsidR="00666510" w:rsidRPr="007F71FD" w:rsidRDefault="00000000" w:rsidP="001469B8">
      <w:pPr>
        <w:pStyle w:val="Heading3"/>
        <w:ind w:left="720" w:firstLine="720"/>
        <w:rPr>
          <w:rFonts w:asciiTheme="majorBidi" w:hAnsiTheme="majorBidi" w:cstheme="majorBidi"/>
          <w:color w:val="auto"/>
        </w:rPr>
      </w:pPr>
      <w:bookmarkStart w:id="31" w:name="_Toc221373860"/>
      <w:r w:rsidRPr="007F71FD">
        <w:rPr>
          <w:rFonts w:asciiTheme="majorBidi" w:hAnsiTheme="majorBidi" w:cstheme="majorBidi"/>
          <w:color w:val="auto"/>
        </w:rPr>
        <w:t>2.9.1 Comprehensive Performance Summary</w:t>
      </w:r>
      <w:bookmarkEnd w:id="31"/>
    </w:p>
    <w:p w14:paraId="319A8C4A" w14:textId="77777777" w:rsidR="00666510" w:rsidRPr="007F71FD" w:rsidRDefault="00000000" w:rsidP="001469B8">
      <w:pPr>
        <w:spacing w:after="160" w:line="300" w:lineRule="auto"/>
        <w:ind w:left="1440" w:firstLine="720"/>
        <w:jc w:val="both"/>
        <w:rPr>
          <w:rFonts w:asciiTheme="majorBidi" w:hAnsiTheme="majorBidi" w:cstheme="majorBidi"/>
        </w:rPr>
      </w:pPr>
      <w:r w:rsidRPr="007F71FD">
        <w:rPr>
          <w:rFonts w:asciiTheme="majorBidi" w:hAnsiTheme="majorBidi" w:cstheme="majorBidi"/>
        </w:rPr>
        <w:t>Table 8 consolidates all classification results across the five model configurations evaluated.</w:t>
      </w:r>
    </w:p>
    <w:p w14:paraId="36F9E935" w14:textId="77777777" w:rsidR="001F6CC5" w:rsidRPr="007F71FD" w:rsidRDefault="001F6CC5" w:rsidP="001469B8">
      <w:pPr>
        <w:spacing w:after="160" w:line="300" w:lineRule="auto"/>
        <w:ind w:left="1440" w:firstLine="720"/>
        <w:jc w:val="both"/>
        <w:rPr>
          <w:rFonts w:asciiTheme="majorBidi" w:hAnsiTheme="majorBidi" w:cstheme="majorBidi"/>
        </w:rPr>
      </w:pPr>
    </w:p>
    <w:p w14:paraId="09AC9E04" w14:textId="77777777" w:rsidR="001F6CC5" w:rsidRPr="007F71FD" w:rsidRDefault="001F6CC5" w:rsidP="001469B8">
      <w:pPr>
        <w:spacing w:after="160" w:line="300" w:lineRule="auto"/>
        <w:ind w:left="1440" w:firstLine="720"/>
        <w:jc w:val="both"/>
        <w:rPr>
          <w:rFonts w:asciiTheme="majorBidi" w:hAnsiTheme="majorBidi" w:cstheme="majorBidi"/>
        </w:rPr>
      </w:pPr>
    </w:p>
    <w:tbl>
      <w:tblPr>
        <w:tblStyle w:val="GridTable7Colorful"/>
        <w:tblW w:w="9478" w:type="dxa"/>
        <w:tblLook w:val="0400" w:firstRow="0" w:lastRow="0" w:firstColumn="0" w:lastColumn="0" w:noHBand="0" w:noVBand="1"/>
      </w:tblPr>
      <w:tblGrid>
        <w:gridCol w:w="2126"/>
        <w:gridCol w:w="1012"/>
        <w:gridCol w:w="1585"/>
        <w:gridCol w:w="1585"/>
        <w:gridCol w:w="1585"/>
        <w:gridCol w:w="1585"/>
      </w:tblGrid>
      <w:tr w:rsidR="00A30EA2" w:rsidRPr="007F71FD" w14:paraId="5E505EC2" w14:textId="77777777" w:rsidTr="001F6CC5">
        <w:trPr>
          <w:cnfStyle w:val="000000100000" w:firstRow="0" w:lastRow="0" w:firstColumn="0" w:lastColumn="0" w:oddVBand="0" w:evenVBand="0" w:oddHBand="1" w:evenHBand="0" w:firstRowFirstColumn="0" w:firstRowLastColumn="0" w:lastRowFirstColumn="0" w:lastRowLastColumn="0"/>
          <w:trHeight w:val="296"/>
        </w:trPr>
        <w:tc>
          <w:tcPr>
            <w:tcW w:w="2126" w:type="dxa"/>
          </w:tcPr>
          <w:p w14:paraId="1104D1AC"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b/>
                <w:bCs/>
                <w:color w:val="auto"/>
                <w:sz w:val="20"/>
                <w:szCs w:val="20"/>
              </w:rPr>
              <w:t>Classifier</w:t>
            </w:r>
          </w:p>
        </w:tc>
        <w:tc>
          <w:tcPr>
            <w:tcW w:w="1012" w:type="dxa"/>
          </w:tcPr>
          <w:p w14:paraId="00EC5E59"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b/>
                <w:bCs/>
                <w:color w:val="auto"/>
                <w:sz w:val="20"/>
                <w:szCs w:val="20"/>
              </w:rPr>
              <w:t>Set</w:t>
            </w:r>
          </w:p>
        </w:tc>
        <w:tc>
          <w:tcPr>
            <w:tcW w:w="1585" w:type="dxa"/>
          </w:tcPr>
          <w:p w14:paraId="06EC2BEA"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b/>
                <w:bCs/>
                <w:color w:val="auto"/>
                <w:sz w:val="20"/>
                <w:szCs w:val="20"/>
              </w:rPr>
              <w:t>Acc</w:t>
            </w:r>
          </w:p>
        </w:tc>
        <w:tc>
          <w:tcPr>
            <w:tcW w:w="1585" w:type="dxa"/>
          </w:tcPr>
          <w:p w14:paraId="2D5D7099" w14:textId="77777777" w:rsidR="00666510" w:rsidRPr="007F71FD" w:rsidRDefault="00000000">
            <w:pPr>
              <w:jc w:val="center"/>
              <w:rPr>
                <w:rFonts w:asciiTheme="majorBidi" w:hAnsiTheme="majorBidi" w:cstheme="majorBidi"/>
                <w:color w:val="auto"/>
              </w:rPr>
            </w:pPr>
            <w:proofErr w:type="spellStart"/>
            <w:r w:rsidRPr="007F71FD">
              <w:rPr>
                <w:rFonts w:asciiTheme="majorBidi" w:hAnsiTheme="majorBidi" w:cstheme="majorBidi"/>
                <w:b/>
                <w:bCs/>
                <w:color w:val="auto"/>
                <w:sz w:val="20"/>
                <w:szCs w:val="20"/>
              </w:rPr>
              <w:t>Prec</w:t>
            </w:r>
            <w:proofErr w:type="spellEnd"/>
          </w:p>
        </w:tc>
        <w:tc>
          <w:tcPr>
            <w:tcW w:w="1585" w:type="dxa"/>
          </w:tcPr>
          <w:p w14:paraId="74B57296"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b/>
                <w:bCs/>
                <w:color w:val="auto"/>
                <w:sz w:val="20"/>
                <w:szCs w:val="20"/>
              </w:rPr>
              <w:t>Recall</w:t>
            </w:r>
          </w:p>
        </w:tc>
        <w:tc>
          <w:tcPr>
            <w:tcW w:w="1585" w:type="dxa"/>
          </w:tcPr>
          <w:p w14:paraId="6FF9D43F"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b/>
                <w:bCs/>
                <w:color w:val="auto"/>
                <w:sz w:val="20"/>
                <w:szCs w:val="20"/>
              </w:rPr>
              <w:t>F1</w:t>
            </w:r>
          </w:p>
        </w:tc>
      </w:tr>
      <w:tr w:rsidR="00A30EA2" w:rsidRPr="007F71FD" w14:paraId="4001565D" w14:textId="77777777" w:rsidTr="001F6CC5">
        <w:trPr>
          <w:trHeight w:val="296"/>
        </w:trPr>
        <w:tc>
          <w:tcPr>
            <w:tcW w:w="2126" w:type="dxa"/>
          </w:tcPr>
          <w:p w14:paraId="4C502BA4"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GNB</w:t>
            </w:r>
          </w:p>
        </w:tc>
        <w:tc>
          <w:tcPr>
            <w:tcW w:w="1012" w:type="dxa"/>
          </w:tcPr>
          <w:p w14:paraId="3AA71363"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Train</w:t>
            </w:r>
          </w:p>
        </w:tc>
        <w:tc>
          <w:tcPr>
            <w:tcW w:w="1585" w:type="dxa"/>
          </w:tcPr>
          <w:p w14:paraId="369F8A84"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0.9364</w:t>
            </w:r>
          </w:p>
        </w:tc>
        <w:tc>
          <w:tcPr>
            <w:tcW w:w="1585" w:type="dxa"/>
          </w:tcPr>
          <w:p w14:paraId="2191C3B8"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0.9273</w:t>
            </w:r>
          </w:p>
        </w:tc>
        <w:tc>
          <w:tcPr>
            <w:tcW w:w="1585" w:type="dxa"/>
          </w:tcPr>
          <w:p w14:paraId="700E348B"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0.9000</w:t>
            </w:r>
          </w:p>
        </w:tc>
        <w:tc>
          <w:tcPr>
            <w:tcW w:w="1585" w:type="dxa"/>
          </w:tcPr>
          <w:p w14:paraId="6C02BC5E"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0.9134</w:t>
            </w:r>
          </w:p>
        </w:tc>
      </w:tr>
      <w:tr w:rsidR="00A30EA2" w:rsidRPr="007F71FD" w14:paraId="2FAFB13F" w14:textId="77777777" w:rsidTr="001F6CC5">
        <w:trPr>
          <w:cnfStyle w:val="000000100000" w:firstRow="0" w:lastRow="0" w:firstColumn="0" w:lastColumn="0" w:oddVBand="0" w:evenVBand="0" w:oddHBand="1" w:evenHBand="0" w:firstRowFirstColumn="0" w:firstRowLastColumn="0" w:lastRowFirstColumn="0" w:lastRowLastColumn="0"/>
          <w:trHeight w:val="296"/>
        </w:trPr>
        <w:tc>
          <w:tcPr>
            <w:tcW w:w="2126" w:type="dxa"/>
          </w:tcPr>
          <w:p w14:paraId="0E5AFD23"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GNB</w:t>
            </w:r>
          </w:p>
        </w:tc>
        <w:tc>
          <w:tcPr>
            <w:tcW w:w="1012" w:type="dxa"/>
          </w:tcPr>
          <w:p w14:paraId="53ADE8E7"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Test</w:t>
            </w:r>
          </w:p>
        </w:tc>
        <w:tc>
          <w:tcPr>
            <w:tcW w:w="1585" w:type="dxa"/>
          </w:tcPr>
          <w:p w14:paraId="51CCC0CE"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0.9115</w:t>
            </w:r>
          </w:p>
        </w:tc>
        <w:tc>
          <w:tcPr>
            <w:tcW w:w="1585" w:type="dxa"/>
          </w:tcPr>
          <w:p w14:paraId="370D8557"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0.8810</w:t>
            </w:r>
          </w:p>
        </w:tc>
        <w:tc>
          <w:tcPr>
            <w:tcW w:w="1585" w:type="dxa"/>
          </w:tcPr>
          <w:p w14:paraId="1CC120AA"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0.8810</w:t>
            </w:r>
          </w:p>
        </w:tc>
        <w:tc>
          <w:tcPr>
            <w:tcW w:w="1585" w:type="dxa"/>
          </w:tcPr>
          <w:p w14:paraId="380EED3B"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0.8810</w:t>
            </w:r>
          </w:p>
        </w:tc>
      </w:tr>
      <w:tr w:rsidR="00A30EA2" w:rsidRPr="007F71FD" w14:paraId="6524415B" w14:textId="77777777" w:rsidTr="001F6CC5">
        <w:trPr>
          <w:trHeight w:val="296"/>
        </w:trPr>
        <w:tc>
          <w:tcPr>
            <w:tcW w:w="2126" w:type="dxa"/>
          </w:tcPr>
          <w:p w14:paraId="022F9C4D"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LDA</w:t>
            </w:r>
          </w:p>
        </w:tc>
        <w:tc>
          <w:tcPr>
            <w:tcW w:w="1012" w:type="dxa"/>
          </w:tcPr>
          <w:p w14:paraId="778BE45A"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Train</w:t>
            </w:r>
          </w:p>
        </w:tc>
        <w:tc>
          <w:tcPr>
            <w:tcW w:w="1585" w:type="dxa"/>
          </w:tcPr>
          <w:p w14:paraId="4CC43B3F"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0.9715</w:t>
            </w:r>
          </w:p>
        </w:tc>
        <w:tc>
          <w:tcPr>
            <w:tcW w:w="1585" w:type="dxa"/>
          </w:tcPr>
          <w:p w14:paraId="1F21B5AF"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1.0000</w:t>
            </w:r>
          </w:p>
        </w:tc>
        <w:tc>
          <w:tcPr>
            <w:tcW w:w="1585" w:type="dxa"/>
          </w:tcPr>
          <w:p w14:paraId="6B43AD39"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0.9235</w:t>
            </w:r>
          </w:p>
        </w:tc>
        <w:tc>
          <w:tcPr>
            <w:tcW w:w="1585" w:type="dxa"/>
          </w:tcPr>
          <w:p w14:paraId="1E595BD2"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0.9602</w:t>
            </w:r>
          </w:p>
        </w:tc>
      </w:tr>
      <w:tr w:rsidR="00A30EA2" w:rsidRPr="007F71FD" w14:paraId="676EECB7" w14:textId="77777777" w:rsidTr="001F6CC5">
        <w:trPr>
          <w:cnfStyle w:val="000000100000" w:firstRow="0" w:lastRow="0" w:firstColumn="0" w:lastColumn="0" w:oddVBand="0" w:evenVBand="0" w:oddHBand="1" w:evenHBand="0" w:firstRowFirstColumn="0" w:firstRowLastColumn="0" w:lastRowFirstColumn="0" w:lastRowLastColumn="0"/>
          <w:trHeight w:val="296"/>
        </w:trPr>
        <w:tc>
          <w:tcPr>
            <w:tcW w:w="2126" w:type="dxa"/>
          </w:tcPr>
          <w:p w14:paraId="3AEC377F"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LDA</w:t>
            </w:r>
          </w:p>
        </w:tc>
        <w:tc>
          <w:tcPr>
            <w:tcW w:w="1012" w:type="dxa"/>
          </w:tcPr>
          <w:p w14:paraId="1319CB25"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Test</w:t>
            </w:r>
          </w:p>
        </w:tc>
        <w:tc>
          <w:tcPr>
            <w:tcW w:w="1585" w:type="dxa"/>
          </w:tcPr>
          <w:p w14:paraId="5F931345"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0.9381</w:t>
            </w:r>
          </w:p>
        </w:tc>
        <w:tc>
          <w:tcPr>
            <w:tcW w:w="1585" w:type="dxa"/>
          </w:tcPr>
          <w:p w14:paraId="28572D30"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0.9487</w:t>
            </w:r>
          </w:p>
        </w:tc>
        <w:tc>
          <w:tcPr>
            <w:tcW w:w="1585" w:type="dxa"/>
          </w:tcPr>
          <w:p w14:paraId="336D4C3A"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0.8810</w:t>
            </w:r>
          </w:p>
        </w:tc>
        <w:tc>
          <w:tcPr>
            <w:tcW w:w="1585" w:type="dxa"/>
          </w:tcPr>
          <w:p w14:paraId="031212FC"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0.9136</w:t>
            </w:r>
          </w:p>
        </w:tc>
      </w:tr>
      <w:tr w:rsidR="00A30EA2" w:rsidRPr="007F71FD" w14:paraId="6D664B03" w14:textId="77777777" w:rsidTr="001F6CC5">
        <w:trPr>
          <w:trHeight w:val="296"/>
        </w:trPr>
        <w:tc>
          <w:tcPr>
            <w:tcW w:w="2126" w:type="dxa"/>
          </w:tcPr>
          <w:p w14:paraId="257C17E7"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QDA</w:t>
            </w:r>
          </w:p>
        </w:tc>
        <w:tc>
          <w:tcPr>
            <w:tcW w:w="1012" w:type="dxa"/>
          </w:tcPr>
          <w:p w14:paraId="24ADC738"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Train</w:t>
            </w:r>
          </w:p>
        </w:tc>
        <w:tc>
          <w:tcPr>
            <w:tcW w:w="1585" w:type="dxa"/>
          </w:tcPr>
          <w:p w14:paraId="39C08211"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0.9715</w:t>
            </w:r>
          </w:p>
        </w:tc>
        <w:tc>
          <w:tcPr>
            <w:tcW w:w="1585" w:type="dxa"/>
          </w:tcPr>
          <w:p w14:paraId="294A8E09"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0.9876</w:t>
            </w:r>
          </w:p>
        </w:tc>
        <w:tc>
          <w:tcPr>
            <w:tcW w:w="1585" w:type="dxa"/>
          </w:tcPr>
          <w:p w14:paraId="2C37AA2A"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0.9353</w:t>
            </w:r>
          </w:p>
        </w:tc>
        <w:tc>
          <w:tcPr>
            <w:tcW w:w="1585" w:type="dxa"/>
          </w:tcPr>
          <w:p w14:paraId="6E87DE41"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0.9607</w:t>
            </w:r>
          </w:p>
        </w:tc>
      </w:tr>
      <w:tr w:rsidR="00A30EA2" w:rsidRPr="007F71FD" w14:paraId="08C589EA" w14:textId="77777777" w:rsidTr="001F6CC5">
        <w:trPr>
          <w:cnfStyle w:val="000000100000" w:firstRow="0" w:lastRow="0" w:firstColumn="0" w:lastColumn="0" w:oddVBand="0" w:evenVBand="0" w:oddHBand="1" w:evenHBand="0" w:firstRowFirstColumn="0" w:firstRowLastColumn="0" w:lastRowFirstColumn="0" w:lastRowLastColumn="0"/>
          <w:trHeight w:val="296"/>
        </w:trPr>
        <w:tc>
          <w:tcPr>
            <w:tcW w:w="2126" w:type="dxa"/>
          </w:tcPr>
          <w:p w14:paraId="0858A569"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QDA</w:t>
            </w:r>
          </w:p>
        </w:tc>
        <w:tc>
          <w:tcPr>
            <w:tcW w:w="1012" w:type="dxa"/>
          </w:tcPr>
          <w:p w14:paraId="4BCE4F3D"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Test</w:t>
            </w:r>
          </w:p>
        </w:tc>
        <w:tc>
          <w:tcPr>
            <w:tcW w:w="1585" w:type="dxa"/>
          </w:tcPr>
          <w:p w14:paraId="44C2A370"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0.9381</w:t>
            </w:r>
          </w:p>
        </w:tc>
        <w:tc>
          <w:tcPr>
            <w:tcW w:w="1585" w:type="dxa"/>
          </w:tcPr>
          <w:p w14:paraId="7A04D614"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0.9070</w:t>
            </w:r>
          </w:p>
        </w:tc>
        <w:tc>
          <w:tcPr>
            <w:tcW w:w="1585" w:type="dxa"/>
          </w:tcPr>
          <w:p w14:paraId="2695A7AA"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0.9286</w:t>
            </w:r>
          </w:p>
        </w:tc>
        <w:tc>
          <w:tcPr>
            <w:tcW w:w="1585" w:type="dxa"/>
          </w:tcPr>
          <w:p w14:paraId="564DFBE6"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0.9176</w:t>
            </w:r>
          </w:p>
        </w:tc>
      </w:tr>
      <w:tr w:rsidR="00A30EA2" w:rsidRPr="007F71FD" w14:paraId="56DDE98D" w14:textId="77777777" w:rsidTr="001F6CC5">
        <w:trPr>
          <w:trHeight w:val="296"/>
        </w:trPr>
        <w:tc>
          <w:tcPr>
            <w:tcW w:w="2126" w:type="dxa"/>
          </w:tcPr>
          <w:p w14:paraId="1D4883F1"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LDA (27)</w:t>
            </w:r>
          </w:p>
        </w:tc>
        <w:tc>
          <w:tcPr>
            <w:tcW w:w="1012" w:type="dxa"/>
          </w:tcPr>
          <w:p w14:paraId="01FA754B"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Train</w:t>
            </w:r>
          </w:p>
        </w:tc>
        <w:tc>
          <w:tcPr>
            <w:tcW w:w="1585" w:type="dxa"/>
          </w:tcPr>
          <w:p w14:paraId="00726F54"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0.9693</w:t>
            </w:r>
          </w:p>
        </w:tc>
        <w:tc>
          <w:tcPr>
            <w:tcW w:w="1585" w:type="dxa"/>
          </w:tcPr>
          <w:p w14:paraId="41259C05"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1.0000</w:t>
            </w:r>
          </w:p>
        </w:tc>
        <w:tc>
          <w:tcPr>
            <w:tcW w:w="1585" w:type="dxa"/>
          </w:tcPr>
          <w:p w14:paraId="5ADF469F"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0.9176</w:t>
            </w:r>
          </w:p>
        </w:tc>
        <w:tc>
          <w:tcPr>
            <w:tcW w:w="1585" w:type="dxa"/>
          </w:tcPr>
          <w:p w14:paraId="42A5348D"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0.9571</w:t>
            </w:r>
          </w:p>
        </w:tc>
      </w:tr>
      <w:tr w:rsidR="00A30EA2" w:rsidRPr="007F71FD" w14:paraId="168BFB08" w14:textId="77777777" w:rsidTr="001F6CC5">
        <w:trPr>
          <w:cnfStyle w:val="000000100000" w:firstRow="0" w:lastRow="0" w:firstColumn="0" w:lastColumn="0" w:oddVBand="0" w:evenVBand="0" w:oddHBand="1" w:evenHBand="0" w:firstRowFirstColumn="0" w:firstRowLastColumn="0" w:lastRowFirstColumn="0" w:lastRowLastColumn="0"/>
          <w:trHeight w:val="296"/>
        </w:trPr>
        <w:tc>
          <w:tcPr>
            <w:tcW w:w="2126" w:type="dxa"/>
          </w:tcPr>
          <w:p w14:paraId="1A55A862"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lastRenderedPageBreak/>
              <w:t>LDA (27)</w:t>
            </w:r>
          </w:p>
        </w:tc>
        <w:tc>
          <w:tcPr>
            <w:tcW w:w="1012" w:type="dxa"/>
          </w:tcPr>
          <w:p w14:paraId="63296921"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Test</w:t>
            </w:r>
          </w:p>
        </w:tc>
        <w:tc>
          <w:tcPr>
            <w:tcW w:w="1585" w:type="dxa"/>
          </w:tcPr>
          <w:p w14:paraId="46B2F34D"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0.9292</w:t>
            </w:r>
          </w:p>
        </w:tc>
        <w:tc>
          <w:tcPr>
            <w:tcW w:w="1585" w:type="dxa"/>
          </w:tcPr>
          <w:p w14:paraId="5A2CA26B"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0.9474</w:t>
            </w:r>
          </w:p>
        </w:tc>
        <w:tc>
          <w:tcPr>
            <w:tcW w:w="1585" w:type="dxa"/>
          </w:tcPr>
          <w:p w14:paraId="7D5FCDB7"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0.8571</w:t>
            </w:r>
          </w:p>
        </w:tc>
        <w:tc>
          <w:tcPr>
            <w:tcW w:w="1585" w:type="dxa"/>
          </w:tcPr>
          <w:p w14:paraId="5F63E66E"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0.9000</w:t>
            </w:r>
          </w:p>
        </w:tc>
      </w:tr>
      <w:tr w:rsidR="00A30EA2" w:rsidRPr="007F71FD" w14:paraId="6D7AD025" w14:textId="77777777" w:rsidTr="001F6CC5">
        <w:trPr>
          <w:trHeight w:val="296"/>
        </w:trPr>
        <w:tc>
          <w:tcPr>
            <w:tcW w:w="2126" w:type="dxa"/>
          </w:tcPr>
          <w:p w14:paraId="132A190E"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QDA (27)</w:t>
            </w:r>
          </w:p>
        </w:tc>
        <w:tc>
          <w:tcPr>
            <w:tcW w:w="1012" w:type="dxa"/>
          </w:tcPr>
          <w:p w14:paraId="510FFBF0"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Train</w:t>
            </w:r>
          </w:p>
        </w:tc>
        <w:tc>
          <w:tcPr>
            <w:tcW w:w="1585" w:type="dxa"/>
          </w:tcPr>
          <w:p w14:paraId="6D40F576"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0.9715</w:t>
            </w:r>
          </w:p>
        </w:tc>
        <w:tc>
          <w:tcPr>
            <w:tcW w:w="1585" w:type="dxa"/>
          </w:tcPr>
          <w:p w14:paraId="70159072"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0.9876</w:t>
            </w:r>
          </w:p>
        </w:tc>
        <w:tc>
          <w:tcPr>
            <w:tcW w:w="1585" w:type="dxa"/>
          </w:tcPr>
          <w:p w14:paraId="06536ADD"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0.9353</w:t>
            </w:r>
          </w:p>
        </w:tc>
        <w:tc>
          <w:tcPr>
            <w:tcW w:w="1585" w:type="dxa"/>
          </w:tcPr>
          <w:p w14:paraId="49376718"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0.9607</w:t>
            </w:r>
          </w:p>
        </w:tc>
      </w:tr>
      <w:tr w:rsidR="00A30EA2" w:rsidRPr="007F71FD" w14:paraId="2F32DF1B" w14:textId="77777777" w:rsidTr="001F6CC5">
        <w:trPr>
          <w:cnfStyle w:val="000000100000" w:firstRow="0" w:lastRow="0" w:firstColumn="0" w:lastColumn="0" w:oddVBand="0" w:evenVBand="0" w:oddHBand="1" w:evenHBand="0" w:firstRowFirstColumn="0" w:firstRowLastColumn="0" w:lastRowFirstColumn="0" w:lastRowLastColumn="0"/>
          <w:trHeight w:val="296"/>
        </w:trPr>
        <w:tc>
          <w:tcPr>
            <w:tcW w:w="2126" w:type="dxa"/>
          </w:tcPr>
          <w:p w14:paraId="1B8FFFC6"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QDA (27)</w:t>
            </w:r>
          </w:p>
        </w:tc>
        <w:tc>
          <w:tcPr>
            <w:tcW w:w="1012" w:type="dxa"/>
          </w:tcPr>
          <w:p w14:paraId="7E540ACB"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Test</w:t>
            </w:r>
          </w:p>
        </w:tc>
        <w:tc>
          <w:tcPr>
            <w:tcW w:w="1585" w:type="dxa"/>
          </w:tcPr>
          <w:p w14:paraId="792F12F7"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0.9292</w:t>
            </w:r>
          </w:p>
        </w:tc>
        <w:tc>
          <w:tcPr>
            <w:tcW w:w="1585" w:type="dxa"/>
          </w:tcPr>
          <w:p w14:paraId="1DF78C70"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0.9048</w:t>
            </w:r>
          </w:p>
        </w:tc>
        <w:tc>
          <w:tcPr>
            <w:tcW w:w="1585" w:type="dxa"/>
          </w:tcPr>
          <w:p w14:paraId="3CD35E28"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0.9048</w:t>
            </w:r>
          </w:p>
        </w:tc>
        <w:tc>
          <w:tcPr>
            <w:tcW w:w="1585" w:type="dxa"/>
          </w:tcPr>
          <w:p w14:paraId="13D00A96"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0.9048</w:t>
            </w:r>
          </w:p>
        </w:tc>
      </w:tr>
    </w:tbl>
    <w:p w14:paraId="4DA5D4A4" w14:textId="77777777" w:rsidR="00666510" w:rsidRPr="007F71FD" w:rsidRDefault="00000000">
      <w:pPr>
        <w:spacing w:before="80" w:after="240"/>
        <w:jc w:val="center"/>
        <w:rPr>
          <w:rFonts w:asciiTheme="majorBidi" w:hAnsiTheme="majorBidi" w:cstheme="majorBidi"/>
        </w:rPr>
      </w:pPr>
      <w:r w:rsidRPr="007F71FD">
        <w:rPr>
          <w:rFonts w:asciiTheme="majorBidi" w:hAnsiTheme="majorBidi" w:cstheme="majorBidi"/>
          <w:i/>
          <w:iCs/>
          <w:sz w:val="20"/>
          <w:szCs w:val="20"/>
        </w:rPr>
        <w:t>Table 8: Comprehensive performance comparison across all classifier configurations.</w:t>
      </w:r>
    </w:p>
    <w:p w14:paraId="6DDB7C81" w14:textId="77777777" w:rsidR="00666510" w:rsidRPr="007F71FD" w:rsidRDefault="00000000" w:rsidP="001F6CC5">
      <w:pPr>
        <w:pStyle w:val="Heading3"/>
        <w:ind w:left="720" w:firstLine="720"/>
        <w:rPr>
          <w:rFonts w:asciiTheme="majorBidi" w:hAnsiTheme="majorBidi" w:cstheme="majorBidi"/>
          <w:color w:val="auto"/>
        </w:rPr>
      </w:pPr>
      <w:bookmarkStart w:id="32" w:name="_Toc221373861"/>
      <w:r w:rsidRPr="007F71FD">
        <w:rPr>
          <w:rFonts w:asciiTheme="majorBidi" w:hAnsiTheme="majorBidi" w:cstheme="majorBidi"/>
          <w:color w:val="auto"/>
        </w:rPr>
        <w:t>2.9.2 Error Analysis</w:t>
      </w:r>
      <w:bookmarkEnd w:id="32"/>
    </w:p>
    <w:p w14:paraId="18445468" w14:textId="77777777" w:rsidR="00666510" w:rsidRPr="007F71FD" w:rsidRDefault="00000000" w:rsidP="001F6CC5">
      <w:pPr>
        <w:spacing w:after="160" w:line="300" w:lineRule="auto"/>
        <w:ind w:left="2160"/>
        <w:jc w:val="both"/>
        <w:rPr>
          <w:rFonts w:asciiTheme="majorBidi" w:hAnsiTheme="majorBidi" w:cstheme="majorBidi"/>
        </w:rPr>
      </w:pPr>
      <w:r w:rsidRPr="007F71FD">
        <w:rPr>
          <w:rFonts w:asciiTheme="majorBidi" w:hAnsiTheme="majorBidi" w:cstheme="majorBidi"/>
        </w:rPr>
        <w:t>The confusion matrices for LDA and QDA on the test set are presented in Figures 5 and 6. The error analysis reveals the following pattern:</w:t>
      </w:r>
    </w:p>
    <w:tbl>
      <w:tblPr>
        <w:tblStyle w:val="GridTable7Colorful"/>
        <w:tblW w:w="9576" w:type="dxa"/>
        <w:tblLook w:val="0400" w:firstRow="0" w:lastRow="0" w:firstColumn="0" w:lastColumn="0" w:noHBand="0" w:noVBand="1"/>
      </w:tblPr>
      <w:tblGrid>
        <w:gridCol w:w="2394"/>
        <w:gridCol w:w="2394"/>
        <w:gridCol w:w="2394"/>
        <w:gridCol w:w="2394"/>
      </w:tblGrid>
      <w:tr w:rsidR="00A30EA2" w:rsidRPr="007F71FD" w14:paraId="183FD14C" w14:textId="77777777" w:rsidTr="001F6CC5">
        <w:trPr>
          <w:cnfStyle w:val="000000100000" w:firstRow="0" w:lastRow="0" w:firstColumn="0" w:lastColumn="0" w:oddVBand="0" w:evenVBand="0" w:oddHBand="1" w:evenHBand="0" w:firstRowFirstColumn="0" w:firstRowLastColumn="0" w:lastRowFirstColumn="0" w:lastRowLastColumn="0"/>
          <w:trHeight w:val="405"/>
        </w:trPr>
        <w:tc>
          <w:tcPr>
            <w:tcW w:w="2394" w:type="dxa"/>
          </w:tcPr>
          <w:p w14:paraId="1066D0DB"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b/>
                <w:bCs/>
                <w:color w:val="auto"/>
                <w:sz w:val="20"/>
                <w:szCs w:val="20"/>
              </w:rPr>
              <w:t>Classifier</w:t>
            </w:r>
          </w:p>
        </w:tc>
        <w:tc>
          <w:tcPr>
            <w:tcW w:w="2394" w:type="dxa"/>
          </w:tcPr>
          <w:p w14:paraId="53672871"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b/>
                <w:bCs/>
                <w:color w:val="auto"/>
                <w:sz w:val="20"/>
                <w:szCs w:val="20"/>
              </w:rPr>
              <w:t>Total Errors</w:t>
            </w:r>
          </w:p>
        </w:tc>
        <w:tc>
          <w:tcPr>
            <w:tcW w:w="2394" w:type="dxa"/>
          </w:tcPr>
          <w:p w14:paraId="37874A72"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b/>
                <w:bCs/>
                <w:color w:val="auto"/>
                <w:sz w:val="20"/>
                <w:szCs w:val="20"/>
              </w:rPr>
              <w:t>FP</w:t>
            </w:r>
          </w:p>
        </w:tc>
        <w:tc>
          <w:tcPr>
            <w:tcW w:w="2394" w:type="dxa"/>
          </w:tcPr>
          <w:p w14:paraId="5C3FD79F"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b/>
                <w:bCs/>
                <w:color w:val="auto"/>
                <w:sz w:val="20"/>
                <w:szCs w:val="20"/>
              </w:rPr>
              <w:t>FN</w:t>
            </w:r>
          </w:p>
        </w:tc>
      </w:tr>
      <w:tr w:rsidR="00A30EA2" w:rsidRPr="007F71FD" w14:paraId="68BC14B8" w14:textId="77777777" w:rsidTr="001F6CC5">
        <w:trPr>
          <w:trHeight w:val="405"/>
        </w:trPr>
        <w:tc>
          <w:tcPr>
            <w:tcW w:w="2394" w:type="dxa"/>
          </w:tcPr>
          <w:p w14:paraId="634CFE9D"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LDA</w:t>
            </w:r>
          </w:p>
        </w:tc>
        <w:tc>
          <w:tcPr>
            <w:tcW w:w="2394" w:type="dxa"/>
          </w:tcPr>
          <w:p w14:paraId="1BD0BB1B"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7</w:t>
            </w:r>
          </w:p>
        </w:tc>
        <w:tc>
          <w:tcPr>
            <w:tcW w:w="2394" w:type="dxa"/>
          </w:tcPr>
          <w:p w14:paraId="31A6CE21"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2</w:t>
            </w:r>
          </w:p>
        </w:tc>
        <w:tc>
          <w:tcPr>
            <w:tcW w:w="2394" w:type="dxa"/>
          </w:tcPr>
          <w:p w14:paraId="673EA13A"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5</w:t>
            </w:r>
          </w:p>
        </w:tc>
      </w:tr>
      <w:tr w:rsidR="00A30EA2" w:rsidRPr="007F71FD" w14:paraId="4EEB2319" w14:textId="77777777" w:rsidTr="001F6CC5">
        <w:trPr>
          <w:cnfStyle w:val="000000100000" w:firstRow="0" w:lastRow="0" w:firstColumn="0" w:lastColumn="0" w:oddVBand="0" w:evenVBand="0" w:oddHBand="1" w:evenHBand="0" w:firstRowFirstColumn="0" w:firstRowLastColumn="0" w:lastRowFirstColumn="0" w:lastRowLastColumn="0"/>
          <w:trHeight w:val="405"/>
        </w:trPr>
        <w:tc>
          <w:tcPr>
            <w:tcW w:w="2394" w:type="dxa"/>
          </w:tcPr>
          <w:p w14:paraId="1273D134"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QDA</w:t>
            </w:r>
          </w:p>
        </w:tc>
        <w:tc>
          <w:tcPr>
            <w:tcW w:w="2394" w:type="dxa"/>
          </w:tcPr>
          <w:p w14:paraId="002D831F"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7</w:t>
            </w:r>
          </w:p>
        </w:tc>
        <w:tc>
          <w:tcPr>
            <w:tcW w:w="2394" w:type="dxa"/>
          </w:tcPr>
          <w:p w14:paraId="6D0BFDD2"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4</w:t>
            </w:r>
          </w:p>
        </w:tc>
        <w:tc>
          <w:tcPr>
            <w:tcW w:w="2394" w:type="dxa"/>
          </w:tcPr>
          <w:p w14:paraId="00155F06"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3</w:t>
            </w:r>
          </w:p>
        </w:tc>
      </w:tr>
      <w:tr w:rsidR="00A30EA2" w:rsidRPr="007F71FD" w14:paraId="62DC5B64" w14:textId="77777777" w:rsidTr="001F6CC5">
        <w:trPr>
          <w:trHeight w:val="405"/>
        </w:trPr>
        <w:tc>
          <w:tcPr>
            <w:tcW w:w="2394" w:type="dxa"/>
          </w:tcPr>
          <w:p w14:paraId="2DAE5F95"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LDA (27)</w:t>
            </w:r>
          </w:p>
        </w:tc>
        <w:tc>
          <w:tcPr>
            <w:tcW w:w="2394" w:type="dxa"/>
          </w:tcPr>
          <w:p w14:paraId="1595B504"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8</w:t>
            </w:r>
          </w:p>
        </w:tc>
        <w:tc>
          <w:tcPr>
            <w:tcW w:w="2394" w:type="dxa"/>
          </w:tcPr>
          <w:p w14:paraId="2B4E24C9"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2</w:t>
            </w:r>
          </w:p>
        </w:tc>
        <w:tc>
          <w:tcPr>
            <w:tcW w:w="2394" w:type="dxa"/>
          </w:tcPr>
          <w:p w14:paraId="6FE5EDB0"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6</w:t>
            </w:r>
          </w:p>
        </w:tc>
      </w:tr>
      <w:tr w:rsidR="00A30EA2" w:rsidRPr="007F71FD" w14:paraId="0D927838" w14:textId="77777777" w:rsidTr="001F6CC5">
        <w:trPr>
          <w:cnfStyle w:val="000000100000" w:firstRow="0" w:lastRow="0" w:firstColumn="0" w:lastColumn="0" w:oddVBand="0" w:evenVBand="0" w:oddHBand="1" w:evenHBand="0" w:firstRowFirstColumn="0" w:firstRowLastColumn="0" w:lastRowFirstColumn="0" w:lastRowLastColumn="0"/>
          <w:trHeight w:val="405"/>
        </w:trPr>
        <w:tc>
          <w:tcPr>
            <w:tcW w:w="2394" w:type="dxa"/>
          </w:tcPr>
          <w:p w14:paraId="3AAAFF3E"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QDA (27)</w:t>
            </w:r>
          </w:p>
        </w:tc>
        <w:tc>
          <w:tcPr>
            <w:tcW w:w="2394" w:type="dxa"/>
          </w:tcPr>
          <w:p w14:paraId="4D0EC749"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8</w:t>
            </w:r>
          </w:p>
        </w:tc>
        <w:tc>
          <w:tcPr>
            <w:tcW w:w="2394" w:type="dxa"/>
          </w:tcPr>
          <w:p w14:paraId="4B002C96"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4</w:t>
            </w:r>
          </w:p>
        </w:tc>
        <w:tc>
          <w:tcPr>
            <w:tcW w:w="2394" w:type="dxa"/>
          </w:tcPr>
          <w:p w14:paraId="60BB5400"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4</w:t>
            </w:r>
          </w:p>
        </w:tc>
      </w:tr>
    </w:tbl>
    <w:p w14:paraId="471AA541" w14:textId="77777777" w:rsidR="00666510" w:rsidRPr="007F71FD" w:rsidRDefault="00000000">
      <w:pPr>
        <w:spacing w:before="80" w:after="240"/>
        <w:jc w:val="center"/>
        <w:rPr>
          <w:rFonts w:asciiTheme="majorBidi" w:hAnsiTheme="majorBidi" w:cstheme="majorBidi"/>
        </w:rPr>
      </w:pPr>
      <w:r w:rsidRPr="007F71FD">
        <w:rPr>
          <w:rFonts w:asciiTheme="majorBidi" w:hAnsiTheme="majorBidi" w:cstheme="majorBidi"/>
          <w:i/>
          <w:iCs/>
          <w:sz w:val="20"/>
          <w:szCs w:val="20"/>
        </w:rPr>
        <w:t>Table 9: Error analysis on the test set.</w:t>
      </w:r>
    </w:p>
    <w:p w14:paraId="64428F32" w14:textId="77777777" w:rsidR="00666510" w:rsidRPr="007F71FD" w:rsidRDefault="00000000">
      <w:pPr>
        <w:spacing w:before="120" w:after="40"/>
        <w:jc w:val="center"/>
        <w:rPr>
          <w:rFonts w:asciiTheme="majorBidi" w:hAnsiTheme="majorBidi" w:cstheme="majorBidi"/>
        </w:rPr>
      </w:pPr>
      <w:r w:rsidRPr="007F71FD">
        <w:rPr>
          <w:rFonts w:asciiTheme="majorBidi" w:hAnsiTheme="majorBidi" w:cstheme="majorBidi"/>
          <w:noProof/>
        </w:rPr>
        <w:drawing>
          <wp:inline distT="0" distB="0" distL="0" distR="0" wp14:anchorId="049598B9" wp14:editId="11749E1B">
            <wp:extent cx="3927764" cy="3076748"/>
            <wp:effectExtent l="0" t="0" r="0" b="0"/>
            <wp:docPr id="2138695624" name="1_9_confusion_matrix_lda_test.png" descr="1_9_confusion_matrix_lda_test.png" title="1_9_confusion_matrix_lda_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936581" cy="3083654"/>
                    </a:xfrm>
                    <a:prstGeom prst="rect">
                      <a:avLst/>
                    </a:prstGeom>
                  </pic:spPr>
                </pic:pic>
              </a:graphicData>
            </a:graphic>
          </wp:inline>
        </w:drawing>
      </w:r>
    </w:p>
    <w:p w14:paraId="687C502C" w14:textId="77777777" w:rsidR="00666510" w:rsidRPr="007F71FD" w:rsidRDefault="00000000">
      <w:pPr>
        <w:spacing w:before="80" w:after="240"/>
        <w:jc w:val="center"/>
        <w:rPr>
          <w:rFonts w:asciiTheme="majorBidi" w:hAnsiTheme="majorBidi" w:cstheme="majorBidi"/>
        </w:rPr>
      </w:pPr>
      <w:r w:rsidRPr="007F71FD">
        <w:rPr>
          <w:rFonts w:asciiTheme="majorBidi" w:hAnsiTheme="majorBidi" w:cstheme="majorBidi"/>
          <w:i/>
          <w:iCs/>
          <w:sz w:val="20"/>
          <w:szCs w:val="20"/>
        </w:rPr>
        <w:t>Figure 5: Confusion matrix for LDA on the test set.</w:t>
      </w:r>
    </w:p>
    <w:p w14:paraId="041C8E1E" w14:textId="77777777" w:rsidR="00666510" w:rsidRPr="007F71FD" w:rsidRDefault="00000000">
      <w:pPr>
        <w:spacing w:before="120" w:after="40"/>
        <w:jc w:val="center"/>
        <w:rPr>
          <w:rFonts w:asciiTheme="majorBidi" w:hAnsiTheme="majorBidi" w:cstheme="majorBidi"/>
        </w:rPr>
      </w:pPr>
      <w:r w:rsidRPr="007F71FD">
        <w:rPr>
          <w:rFonts w:asciiTheme="majorBidi" w:hAnsiTheme="majorBidi" w:cstheme="majorBidi"/>
          <w:noProof/>
        </w:rPr>
        <w:lastRenderedPageBreak/>
        <w:drawing>
          <wp:inline distT="0" distB="0" distL="0" distR="0" wp14:anchorId="6D36EBF9" wp14:editId="75D02560">
            <wp:extent cx="4191000" cy="3282950"/>
            <wp:effectExtent l="0" t="0" r="0" b="0"/>
            <wp:docPr id="2140829414" name="1_9_confusion_matrix_qda_test.png" descr="1_9_confusion_matrix_qda_test.png" title="1_9_confusion_matrix_qda_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95231" cy="3286264"/>
                    </a:xfrm>
                    <a:prstGeom prst="rect">
                      <a:avLst/>
                    </a:prstGeom>
                  </pic:spPr>
                </pic:pic>
              </a:graphicData>
            </a:graphic>
          </wp:inline>
        </w:drawing>
      </w:r>
    </w:p>
    <w:p w14:paraId="5684B81D" w14:textId="77777777" w:rsidR="00666510" w:rsidRPr="007F71FD" w:rsidRDefault="00000000">
      <w:pPr>
        <w:spacing w:before="80" w:after="240"/>
        <w:jc w:val="center"/>
        <w:rPr>
          <w:rFonts w:asciiTheme="majorBidi" w:hAnsiTheme="majorBidi" w:cstheme="majorBidi"/>
        </w:rPr>
      </w:pPr>
      <w:r w:rsidRPr="007F71FD">
        <w:rPr>
          <w:rFonts w:asciiTheme="majorBidi" w:hAnsiTheme="majorBidi" w:cstheme="majorBidi"/>
          <w:i/>
          <w:iCs/>
          <w:sz w:val="20"/>
          <w:szCs w:val="20"/>
        </w:rPr>
        <w:t>Figure 6: Confusion matrix for QDA on the test set.</w:t>
      </w:r>
    </w:p>
    <w:p w14:paraId="3C98189C" w14:textId="77777777" w:rsidR="00666510" w:rsidRPr="007F71FD" w:rsidRDefault="00000000" w:rsidP="001F6CC5">
      <w:pPr>
        <w:spacing w:after="160" w:line="300" w:lineRule="auto"/>
        <w:ind w:left="2160"/>
        <w:jc w:val="both"/>
        <w:rPr>
          <w:rFonts w:asciiTheme="majorBidi" w:hAnsiTheme="majorBidi" w:cstheme="majorBidi"/>
        </w:rPr>
      </w:pPr>
      <w:r w:rsidRPr="007F71FD">
        <w:rPr>
          <w:rFonts w:asciiTheme="majorBidi" w:hAnsiTheme="majorBidi" w:cstheme="majorBidi"/>
        </w:rPr>
        <w:t>LDA exhibits a higher proportion of false negatives (5 FN vs. 2 FP), meaning it is more likely to miss malignant cases. QDA distributes its errors more evenly (4 FP, 3 FN), achieving higher recall (0.9286) for the malignant class at the cost of slightly lower precision (0.9070). In a medical diagnostic setting, QDA’s error profile may be preferred because the cost of missing a malignant tumor (false negative) is typically far greater than the cost of a false alarm (false positive).</w:t>
      </w:r>
    </w:p>
    <w:p w14:paraId="31F4FDFA" w14:textId="77777777" w:rsidR="00666510" w:rsidRPr="007F71FD" w:rsidRDefault="00000000">
      <w:pPr>
        <w:spacing w:before="120" w:after="40"/>
        <w:jc w:val="center"/>
        <w:rPr>
          <w:rFonts w:asciiTheme="majorBidi" w:hAnsiTheme="majorBidi" w:cstheme="majorBidi"/>
        </w:rPr>
      </w:pPr>
      <w:r w:rsidRPr="007F71FD">
        <w:rPr>
          <w:rFonts w:asciiTheme="majorBidi" w:hAnsiTheme="majorBidi" w:cstheme="majorBidi"/>
          <w:noProof/>
        </w:rPr>
        <w:drawing>
          <wp:inline distT="0" distB="0" distL="0" distR="0" wp14:anchorId="14D3B92E" wp14:editId="33E62FC4">
            <wp:extent cx="5361060" cy="2639291"/>
            <wp:effectExtent l="0" t="0" r="0" b="8890"/>
            <wp:docPr id="1552902750" name="1_9_classifier_comparison_accuracy.png" descr="1_9_classifier_comparison_accuracy.png" title="1_9_classifier_comparison_accura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66104" cy="2641774"/>
                    </a:xfrm>
                    <a:prstGeom prst="rect">
                      <a:avLst/>
                    </a:prstGeom>
                  </pic:spPr>
                </pic:pic>
              </a:graphicData>
            </a:graphic>
          </wp:inline>
        </w:drawing>
      </w:r>
    </w:p>
    <w:p w14:paraId="1EC0297A" w14:textId="77777777" w:rsidR="00666510" w:rsidRPr="007F71FD" w:rsidRDefault="00000000">
      <w:pPr>
        <w:spacing w:before="80" w:after="240"/>
        <w:jc w:val="center"/>
        <w:rPr>
          <w:rFonts w:asciiTheme="majorBidi" w:hAnsiTheme="majorBidi" w:cstheme="majorBidi"/>
        </w:rPr>
      </w:pPr>
      <w:r w:rsidRPr="007F71FD">
        <w:rPr>
          <w:rFonts w:asciiTheme="majorBidi" w:hAnsiTheme="majorBidi" w:cstheme="majorBidi"/>
          <w:i/>
          <w:iCs/>
          <w:sz w:val="20"/>
          <w:szCs w:val="20"/>
        </w:rPr>
        <w:t>Figure 7: Classifier accuracy comparison across all configurations.</w:t>
      </w:r>
    </w:p>
    <w:p w14:paraId="4D03F600" w14:textId="77777777" w:rsidR="00666510" w:rsidRPr="007F71FD" w:rsidRDefault="00000000" w:rsidP="001F6CC5">
      <w:pPr>
        <w:pStyle w:val="Heading3"/>
        <w:ind w:left="720" w:firstLine="720"/>
        <w:rPr>
          <w:rFonts w:asciiTheme="majorBidi" w:hAnsiTheme="majorBidi" w:cstheme="majorBidi"/>
          <w:color w:val="auto"/>
        </w:rPr>
      </w:pPr>
      <w:bookmarkStart w:id="33" w:name="_Toc221373862"/>
      <w:r w:rsidRPr="007F71FD">
        <w:rPr>
          <w:rFonts w:asciiTheme="majorBidi" w:hAnsiTheme="majorBidi" w:cstheme="majorBidi"/>
          <w:color w:val="auto"/>
        </w:rPr>
        <w:t>2.9.3 Generalization Analysis</w:t>
      </w:r>
      <w:bookmarkEnd w:id="33"/>
    </w:p>
    <w:p w14:paraId="2C013F2F" w14:textId="77777777" w:rsidR="00666510" w:rsidRPr="007F71FD" w:rsidRDefault="00000000" w:rsidP="001F6CC5">
      <w:pPr>
        <w:spacing w:after="160" w:line="300" w:lineRule="auto"/>
        <w:ind w:left="2160"/>
        <w:jc w:val="both"/>
        <w:rPr>
          <w:rFonts w:asciiTheme="majorBidi" w:hAnsiTheme="majorBidi" w:cstheme="majorBidi"/>
        </w:rPr>
      </w:pPr>
      <w:r w:rsidRPr="007F71FD">
        <w:rPr>
          <w:rFonts w:asciiTheme="majorBidi" w:hAnsiTheme="majorBidi" w:cstheme="majorBidi"/>
        </w:rPr>
        <w:lastRenderedPageBreak/>
        <w:t xml:space="preserve">Both LDA and QDA exhibit a train-test accuracy gap of 3.34 percentage points (train: 97.15%, test: 93.81%), suggesting mild overfitting. The identical gaps indicate that the additional flexibility of QDA (class-specific covariance) does not lead to additional overfitting compared to LDA on this dataset, likely due to the regularization applied during estimation. The relatively small generalization gap for both models confirms that 30 features with 456 training samples </w:t>
      </w:r>
      <w:proofErr w:type="gramStart"/>
      <w:r w:rsidRPr="007F71FD">
        <w:rPr>
          <w:rFonts w:asciiTheme="majorBidi" w:hAnsiTheme="majorBidi" w:cstheme="majorBidi"/>
        </w:rPr>
        <w:t>provides</w:t>
      </w:r>
      <w:proofErr w:type="gramEnd"/>
      <w:r w:rsidRPr="007F71FD">
        <w:rPr>
          <w:rFonts w:asciiTheme="majorBidi" w:hAnsiTheme="majorBidi" w:cstheme="majorBidi"/>
        </w:rPr>
        <w:t xml:space="preserve"> sufficient data for reasonable generalization, particularly given the regularization employed.</w:t>
      </w:r>
    </w:p>
    <w:p w14:paraId="46E1B81A" w14:textId="77777777" w:rsidR="00666510" w:rsidRPr="007F71FD" w:rsidRDefault="00000000" w:rsidP="001F6CC5">
      <w:pPr>
        <w:pStyle w:val="Heading2"/>
        <w:ind w:firstLine="720"/>
        <w:rPr>
          <w:rFonts w:asciiTheme="majorBidi" w:hAnsiTheme="majorBidi" w:cstheme="majorBidi"/>
          <w:color w:val="auto"/>
        </w:rPr>
      </w:pPr>
      <w:bookmarkStart w:id="34" w:name="_Toc221373863"/>
      <w:r w:rsidRPr="007F71FD">
        <w:rPr>
          <w:rFonts w:asciiTheme="majorBidi" w:hAnsiTheme="majorBidi" w:cstheme="majorBidi"/>
          <w:color w:val="auto"/>
        </w:rPr>
        <w:t>2.10 Model Parameters and Complexity Comparison</w:t>
      </w:r>
      <w:bookmarkEnd w:id="34"/>
    </w:p>
    <w:p w14:paraId="5C60A8F7" w14:textId="77777777" w:rsidR="00666510" w:rsidRPr="007F71FD" w:rsidRDefault="00000000" w:rsidP="001F6CC5">
      <w:pPr>
        <w:spacing w:after="160" w:line="300" w:lineRule="auto"/>
        <w:ind w:left="1440"/>
        <w:jc w:val="both"/>
        <w:rPr>
          <w:rFonts w:asciiTheme="majorBidi" w:hAnsiTheme="majorBidi" w:cstheme="majorBidi"/>
        </w:rPr>
      </w:pPr>
      <w:r w:rsidRPr="007F71FD">
        <w:rPr>
          <w:rFonts w:asciiTheme="majorBidi" w:hAnsiTheme="majorBidi" w:cstheme="majorBidi"/>
        </w:rPr>
        <w:t>LDA requires 527 free parameters (2 priors + 60 mean entries + 465 unique covariance entries), while QDA requires 992 parameters (2 priors + 60 mean entries + 930 unique covariance entries across two matrices). QDA’s parameter count is approximately 1.88 times that of LDA. Despite this increased complexity, QDA does not demonstrate superior test accuracy on this dataset, consistent with the theoretical expectation that more flexible models require more data to realize their advantage. The nearly identical test accuracies (93.81%) suggest that the true class-conditional covariance structures are sufficiently similar that LDA’s shared covariance assumption is not overly restrictive, and QDA’s additional flexibility is not needed.</w:t>
      </w:r>
    </w:p>
    <w:p w14:paraId="033EFEAD" w14:textId="77777777" w:rsidR="00666510" w:rsidRPr="007F71FD" w:rsidRDefault="00000000">
      <w:pPr>
        <w:rPr>
          <w:rFonts w:asciiTheme="majorBidi" w:hAnsiTheme="majorBidi" w:cstheme="majorBidi"/>
        </w:rPr>
      </w:pPr>
      <w:r w:rsidRPr="007F71FD">
        <w:rPr>
          <w:rFonts w:asciiTheme="majorBidi" w:hAnsiTheme="majorBidi" w:cstheme="majorBidi"/>
        </w:rPr>
        <w:br w:type="page"/>
      </w:r>
    </w:p>
    <w:p w14:paraId="22BCD864" w14:textId="77777777" w:rsidR="00666510" w:rsidRPr="007F71FD" w:rsidRDefault="00000000" w:rsidP="001F6CC5">
      <w:pPr>
        <w:pStyle w:val="Heading1"/>
        <w:rPr>
          <w:rFonts w:asciiTheme="majorBidi" w:hAnsiTheme="majorBidi" w:cstheme="majorBidi"/>
          <w:color w:val="auto"/>
        </w:rPr>
      </w:pPr>
      <w:bookmarkStart w:id="35" w:name="_Toc221373864"/>
      <w:r w:rsidRPr="007F71FD">
        <w:rPr>
          <w:rFonts w:asciiTheme="majorBidi" w:hAnsiTheme="majorBidi" w:cstheme="majorBidi"/>
          <w:color w:val="auto"/>
        </w:rPr>
        <w:lastRenderedPageBreak/>
        <w:t>3. Part 2: Dimensionality Reduction</w:t>
      </w:r>
      <w:bookmarkEnd w:id="35"/>
    </w:p>
    <w:p w14:paraId="41C627E2" w14:textId="77777777" w:rsidR="00666510" w:rsidRPr="007F71FD" w:rsidRDefault="00000000" w:rsidP="00411EA1">
      <w:pPr>
        <w:pStyle w:val="Heading2"/>
        <w:ind w:left="720"/>
        <w:rPr>
          <w:rFonts w:asciiTheme="majorBidi" w:hAnsiTheme="majorBidi" w:cstheme="majorBidi"/>
          <w:color w:val="auto"/>
        </w:rPr>
      </w:pPr>
      <w:bookmarkStart w:id="36" w:name="_Toc221373865"/>
      <w:r w:rsidRPr="007F71FD">
        <w:rPr>
          <w:rFonts w:asciiTheme="majorBidi" w:hAnsiTheme="majorBidi" w:cstheme="majorBidi"/>
          <w:color w:val="auto"/>
        </w:rPr>
        <w:t>3.1 Dataset: The ORL Face Database</w:t>
      </w:r>
      <w:bookmarkEnd w:id="36"/>
    </w:p>
    <w:p w14:paraId="69F4D261" w14:textId="77777777" w:rsidR="00666510" w:rsidRPr="007F71FD" w:rsidRDefault="00000000" w:rsidP="00411EA1">
      <w:pPr>
        <w:spacing w:after="160" w:line="300" w:lineRule="auto"/>
        <w:ind w:left="1440"/>
        <w:jc w:val="both"/>
        <w:rPr>
          <w:rFonts w:asciiTheme="majorBidi" w:hAnsiTheme="majorBidi" w:cstheme="majorBidi"/>
        </w:rPr>
      </w:pPr>
      <w:r w:rsidRPr="007F71FD">
        <w:rPr>
          <w:rFonts w:asciiTheme="majorBidi" w:hAnsiTheme="majorBidi" w:cstheme="majorBidi"/>
        </w:rPr>
        <w:t xml:space="preserve">The ORL (Olivetti Research Laboratory) face database contains 400 grayscale images of 40 distinct subjects, with 10 images per subject. Each image has a resolution of </w:t>
      </w:r>
      <w:proofErr w:type="gramStart"/>
      <w:r w:rsidRPr="007F71FD">
        <w:rPr>
          <w:rFonts w:asciiTheme="majorBidi" w:hAnsiTheme="majorBidi" w:cstheme="majorBidi"/>
        </w:rPr>
        <w:t>112×92</w:t>
      </w:r>
      <w:proofErr w:type="gramEnd"/>
      <w:r w:rsidRPr="007F71FD">
        <w:rPr>
          <w:rFonts w:asciiTheme="majorBidi" w:hAnsiTheme="majorBidi" w:cstheme="majorBidi"/>
        </w:rPr>
        <w:t xml:space="preserve"> pixels, yielding 10,304-dimensional feature vectors when flattened. The images were taken under varying conditions of lighting, facial expression, and facial details (presence or absence of glasses), providing natural intra-class variation suitable for evaluating recognition systems.</w:t>
      </w:r>
    </w:p>
    <w:p w14:paraId="7037C5CD" w14:textId="77777777" w:rsidR="00666510" w:rsidRPr="007F71FD" w:rsidRDefault="00000000" w:rsidP="00411EA1">
      <w:pPr>
        <w:pStyle w:val="Heading2"/>
        <w:ind w:left="720"/>
        <w:rPr>
          <w:rFonts w:asciiTheme="majorBidi" w:hAnsiTheme="majorBidi" w:cstheme="majorBidi"/>
          <w:color w:val="auto"/>
        </w:rPr>
      </w:pPr>
      <w:bookmarkStart w:id="37" w:name="_Toc221373866"/>
      <w:r w:rsidRPr="007F71FD">
        <w:rPr>
          <w:rFonts w:asciiTheme="majorBidi" w:hAnsiTheme="majorBidi" w:cstheme="majorBidi"/>
          <w:color w:val="auto"/>
        </w:rPr>
        <w:t>3.2 Principal Component Analysis (PCA)</w:t>
      </w:r>
      <w:bookmarkEnd w:id="37"/>
    </w:p>
    <w:p w14:paraId="26AC3F43" w14:textId="77777777" w:rsidR="00666510" w:rsidRPr="007F71FD" w:rsidRDefault="00000000" w:rsidP="00411EA1">
      <w:pPr>
        <w:pStyle w:val="Heading3"/>
        <w:ind w:left="1440"/>
        <w:rPr>
          <w:rFonts w:asciiTheme="majorBidi" w:hAnsiTheme="majorBidi" w:cstheme="majorBidi"/>
          <w:color w:val="auto"/>
        </w:rPr>
      </w:pPr>
      <w:bookmarkStart w:id="38" w:name="_Toc221373867"/>
      <w:r w:rsidRPr="007F71FD">
        <w:rPr>
          <w:rFonts w:asciiTheme="majorBidi" w:hAnsiTheme="majorBidi" w:cstheme="majorBidi"/>
          <w:color w:val="auto"/>
        </w:rPr>
        <w:t>3.2.1 Data Preprocessing</w:t>
      </w:r>
      <w:bookmarkEnd w:id="38"/>
    </w:p>
    <w:p w14:paraId="3903B57F" w14:textId="77777777" w:rsidR="00666510" w:rsidRPr="007F71FD" w:rsidRDefault="00000000" w:rsidP="00411EA1">
      <w:pPr>
        <w:spacing w:after="160" w:line="300" w:lineRule="auto"/>
        <w:ind w:left="2160"/>
        <w:jc w:val="both"/>
        <w:rPr>
          <w:rFonts w:asciiTheme="majorBidi" w:hAnsiTheme="majorBidi" w:cstheme="majorBidi"/>
        </w:rPr>
      </w:pPr>
      <w:r w:rsidRPr="007F71FD">
        <w:rPr>
          <w:rFonts w:asciiTheme="majorBidi" w:hAnsiTheme="majorBidi" w:cstheme="majorBidi"/>
        </w:rPr>
        <w:t>All images were loaded, flattened to 10,304-dimensional vectors, and organized into a data matrix X of shape 400×10,304. The mean face was computed as the element-wise average across all 400 images and is visualized in Figure 8. Mean subtraction was applied to center the data, which is a prerequisite for PCA as it ensures that the principal components capture directions of maximum variance rather than being influenced by the global offset.</w:t>
      </w:r>
    </w:p>
    <w:p w14:paraId="5E569FE7" w14:textId="77777777" w:rsidR="00666510" w:rsidRPr="007F71FD" w:rsidRDefault="00000000">
      <w:pPr>
        <w:spacing w:before="120" w:after="40"/>
        <w:jc w:val="center"/>
        <w:rPr>
          <w:rFonts w:asciiTheme="majorBidi" w:hAnsiTheme="majorBidi" w:cstheme="majorBidi"/>
        </w:rPr>
      </w:pPr>
      <w:r w:rsidRPr="007F71FD">
        <w:rPr>
          <w:rFonts w:asciiTheme="majorBidi" w:hAnsiTheme="majorBidi" w:cstheme="majorBidi"/>
          <w:noProof/>
        </w:rPr>
        <w:drawing>
          <wp:inline distT="0" distB="0" distL="0" distR="0" wp14:anchorId="0AC17A0B" wp14:editId="3B73B5D0">
            <wp:extent cx="2190750" cy="2743200"/>
            <wp:effectExtent l="0" t="0" r="0" b="0"/>
            <wp:docPr id="2061416733" name="2_2_1_mean_face.png" descr="2_2_1_mean_face.png" title="2_2_1_mean_f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190750" cy="2743200"/>
                    </a:xfrm>
                    <a:prstGeom prst="rect">
                      <a:avLst/>
                    </a:prstGeom>
                  </pic:spPr>
                </pic:pic>
              </a:graphicData>
            </a:graphic>
          </wp:inline>
        </w:drawing>
      </w:r>
    </w:p>
    <w:p w14:paraId="3C4147CC" w14:textId="77777777" w:rsidR="00666510" w:rsidRPr="007F71FD" w:rsidRDefault="00000000">
      <w:pPr>
        <w:spacing w:before="80" w:after="240"/>
        <w:jc w:val="center"/>
        <w:rPr>
          <w:rFonts w:asciiTheme="majorBidi" w:hAnsiTheme="majorBidi" w:cstheme="majorBidi"/>
        </w:rPr>
      </w:pPr>
      <w:r w:rsidRPr="007F71FD">
        <w:rPr>
          <w:rFonts w:asciiTheme="majorBidi" w:hAnsiTheme="majorBidi" w:cstheme="majorBidi"/>
          <w:i/>
          <w:iCs/>
          <w:sz w:val="20"/>
          <w:szCs w:val="20"/>
        </w:rPr>
        <w:t>Figure 8: Mean face computed from the ORL database.</w:t>
      </w:r>
    </w:p>
    <w:p w14:paraId="2F6C1FA6" w14:textId="77777777" w:rsidR="00666510" w:rsidRPr="007F71FD" w:rsidRDefault="00000000" w:rsidP="00411EA1">
      <w:pPr>
        <w:spacing w:after="160" w:line="300" w:lineRule="auto"/>
        <w:ind w:left="2160"/>
        <w:jc w:val="both"/>
        <w:rPr>
          <w:rFonts w:asciiTheme="majorBidi" w:hAnsiTheme="majorBidi" w:cstheme="majorBidi"/>
        </w:rPr>
      </w:pPr>
      <w:r w:rsidRPr="007F71FD">
        <w:rPr>
          <w:rFonts w:asciiTheme="majorBidi" w:hAnsiTheme="majorBidi" w:cstheme="majorBidi"/>
        </w:rPr>
        <w:t>Figure 9 shows randomly selected original faces alongside their mean-subtracted counterparts. The mean-subtracted images represent the residual variation from the average face, which forms the basis for eigenface computation.</w:t>
      </w:r>
    </w:p>
    <w:p w14:paraId="6206E22B" w14:textId="77777777" w:rsidR="00666510" w:rsidRPr="007F71FD" w:rsidRDefault="00000000">
      <w:pPr>
        <w:spacing w:before="120" w:after="40"/>
        <w:jc w:val="center"/>
        <w:rPr>
          <w:rFonts w:asciiTheme="majorBidi" w:hAnsiTheme="majorBidi" w:cstheme="majorBidi"/>
        </w:rPr>
      </w:pPr>
      <w:r w:rsidRPr="007F71FD">
        <w:rPr>
          <w:rFonts w:asciiTheme="majorBidi" w:hAnsiTheme="majorBidi" w:cstheme="majorBidi"/>
          <w:noProof/>
        </w:rPr>
        <w:lastRenderedPageBreak/>
        <w:drawing>
          <wp:inline distT="0" distB="0" distL="0" distR="0" wp14:anchorId="6112C0C8" wp14:editId="277A98CB">
            <wp:extent cx="5143500" cy="2438400"/>
            <wp:effectExtent l="0" t="0" r="0" b="0"/>
            <wp:docPr id="94598313" name="2_2_1_original_vs_mean_subtracted.png" descr="2_2_1_original_vs_mean_subtracted.png" title="2_2_1_original_vs_mean_subtrac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43500" cy="2438400"/>
                    </a:xfrm>
                    <a:prstGeom prst="rect">
                      <a:avLst/>
                    </a:prstGeom>
                  </pic:spPr>
                </pic:pic>
              </a:graphicData>
            </a:graphic>
          </wp:inline>
        </w:drawing>
      </w:r>
    </w:p>
    <w:p w14:paraId="3D1F74AC" w14:textId="77777777" w:rsidR="00666510" w:rsidRPr="007F71FD" w:rsidRDefault="00000000">
      <w:pPr>
        <w:spacing w:before="80" w:after="240"/>
        <w:jc w:val="center"/>
        <w:rPr>
          <w:rFonts w:asciiTheme="majorBidi" w:hAnsiTheme="majorBidi" w:cstheme="majorBidi"/>
        </w:rPr>
      </w:pPr>
      <w:r w:rsidRPr="007F71FD">
        <w:rPr>
          <w:rFonts w:asciiTheme="majorBidi" w:hAnsiTheme="majorBidi" w:cstheme="majorBidi"/>
          <w:i/>
          <w:iCs/>
          <w:sz w:val="20"/>
          <w:szCs w:val="20"/>
        </w:rPr>
        <w:t>Figure 9: Original images (top row) versus mean-subtracted images (bottom row).</w:t>
      </w:r>
    </w:p>
    <w:p w14:paraId="7ACBB748" w14:textId="77777777" w:rsidR="00666510" w:rsidRPr="007F71FD" w:rsidRDefault="00000000" w:rsidP="009E3A25">
      <w:pPr>
        <w:spacing w:after="160" w:line="300" w:lineRule="auto"/>
        <w:ind w:left="2160"/>
        <w:jc w:val="both"/>
        <w:rPr>
          <w:rFonts w:asciiTheme="majorBidi" w:hAnsiTheme="majorBidi" w:cstheme="majorBidi"/>
        </w:rPr>
      </w:pPr>
      <w:r w:rsidRPr="007F71FD">
        <w:rPr>
          <w:rFonts w:asciiTheme="majorBidi" w:hAnsiTheme="majorBidi" w:cstheme="majorBidi"/>
        </w:rPr>
        <w:t>Two normalization strategies were considered: mean subtraction only and full standardization (unit variance scaling). Mean subtraction alone preserves the natural variance structure of pixel intensities, which is desirable for face recognition since pixels with higher variance (e.g., around the eyes, mouth) tend to carry more discriminative information. Standardization equalizes all pixel variances, which can suppress informative variation and was therefore not adopted.</w:t>
      </w:r>
    </w:p>
    <w:p w14:paraId="74434C53" w14:textId="77777777" w:rsidR="00666510" w:rsidRPr="007F71FD" w:rsidRDefault="00000000" w:rsidP="00610C99">
      <w:pPr>
        <w:pStyle w:val="Heading3"/>
        <w:ind w:left="720" w:firstLine="720"/>
        <w:rPr>
          <w:rFonts w:asciiTheme="majorBidi" w:hAnsiTheme="majorBidi" w:cstheme="majorBidi"/>
          <w:color w:val="auto"/>
        </w:rPr>
      </w:pPr>
      <w:bookmarkStart w:id="39" w:name="_Toc221373868"/>
      <w:r w:rsidRPr="007F71FD">
        <w:rPr>
          <w:rFonts w:asciiTheme="majorBidi" w:hAnsiTheme="majorBidi" w:cstheme="majorBidi"/>
          <w:color w:val="auto"/>
        </w:rPr>
        <w:t>3.2.2 PCA Implementation</w:t>
      </w:r>
      <w:bookmarkEnd w:id="39"/>
    </w:p>
    <w:p w14:paraId="54D40011" w14:textId="021D7FE9" w:rsidR="00666510" w:rsidRPr="007F71FD" w:rsidRDefault="00000000" w:rsidP="00610C99">
      <w:pPr>
        <w:spacing w:after="160" w:line="300" w:lineRule="auto"/>
        <w:ind w:left="2160"/>
        <w:jc w:val="both"/>
        <w:rPr>
          <w:rFonts w:asciiTheme="majorBidi" w:hAnsiTheme="majorBidi" w:cstheme="majorBidi"/>
        </w:rPr>
      </w:pPr>
      <w:r w:rsidRPr="007F71FD">
        <w:rPr>
          <w:rFonts w:asciiTheme="majorBidi" w:hAnsiTheme="majorBidi" w:cstheme="majorBidi"/>
        </w:rPr>
        <w:t xml:space="preserve">Since the dimensionality (10,304) greatly exceeds the number of samples (400), the standard covariance matrix XᵀX would be impractically large (10,304×10,304). Instead, the algebraic PCA trick was employed: the smaller 400×400 matrix XXᵀ was computed, its eigenvectors were found, and these were transformed back to the original space via </w:t>
      </w:r>
      <m:oMath>
        <m:sSup>
          <m:sSupPr>
            <m:ctrlPr>
              <w:rPr>
                <w:rFonts w:ascii="Cambria Math" w:hAnsi="Cambria Math" w:cstheme="majorBidi"/>
                <w:i/>
              </w:rPr>
            </m:ctrlPr>
          </m:sSupPr>
          <m:e>
            <m:r>
              <w:rPr>
                <w:rFonts w:ascii="Cambria Math" w:hAnsi="Cambria Math" w:cstheme="majorBidi"/>
              </w:rPr>
              <m:t>X</m:t>
            </m:r>
          </m:e>
          <m:sup>
            <m:r>
              <m:rPr>
                <m:sty m:val="p"/>
              </m:rPr>
              <w:rPr>
                <w:rFonts w:ascii="Cambria Math" w:hAnsi="Cambria Math" w:cstheme="majorBidi"/>
              </w:rPr>
              <m:t>⊤</m:t>
            </m:r>
          </m:sup>
        </m:sSup>
        <m:r>
          <w:rPr>
            <w:rFonts w:ascii="Cambria Math" w:hAnsi="Cambria Math" w:cstheme="majorBidi"/>
          </w:rPr>
          <m:t>u</m:t>
        </m:r>
        <m:r>
          <w:rPr>
            <w:rFonts w:ascii="Cambria Math" w:hAnsi="Cambria Math" w:cstheme="majorBidi"/>
          </w:rPr>
          <m:t xml:space="preserve"> </m:t>
        </m:r>
      </m:oMath>
      <w:r w:rsidRPr="007F71FD">
        <w:rPr>
          <w:rFonts w:asciiTheme="majorBidi" w:hAnsiTheme="majorBidi" w:cstheme="majorBidi"/>
        </w:rPr>
        <w:t>to obtain the principal components. This approach yields identical results while operating in the computationally feasible sample-dimensional space.</w:t>
      </w:r>
    </w:p>
    <w:p w14:paraId="64136603" w14:textId="77777777" w:rsidR="00666510" w:rsidRPr="007F71FD" w:rsidRDefault="00000000" w:rsidP="00610C99">
      <w:pPr>
        <w:spacing w:after="160" w:line="300" w:lineRule="auto"/>
        <w:ind w:left="2160"/>
        <w:jc w:val="both"/>
        <w:rPr>
          <w:rFonts w:asciiTheme="majorBidi" w:hAnsiTheme="majorBidi" w:cstheme="majorBidi"/>
        </w:rPr>
      </w:pPr>
      <w:r w:rsidRPr="007F71FD">
        <w:rPr>
          <w:rFonts w:asciiTheme="majorBidi" w:hAnsiTheme="majorBidi" w:cstheme="majorBidi"/>
        </w:rPr>
        <w:t xml:space="preserve">The eigenvalue decomposition yielded 400 principal components. Figure 10 shows the eigenvalue distribution and cumulative explained variance ratio. The rapid decay of eigenvalues indicates that a small number of components capture </w:t>
      </w:r>
      <w:proofErr w:type="gramStart"/>
      <w:r w:rsidRPr="007F71FD">
        <w:rPr>
          <w:rFonts w:asciiTheme="majorBidi" w:hAnsiTheme="majorBidi" w:cstheme="majorBidi"/>
        </w:rPr>
        <w:t>the majority of</w:t>
      </w:r>
      <w:proofErr w:type="gramEnd"/>
      <w:r w:rsidRPr="007F71FD">
        <w:rPr>
          <w:rFonts w:asciiTheme="majorBidi" w:hAnsiTheme="majorBidi" w:cstheme="majorBidi"/>
        </w:rPr>
        <w:t xml:space="preserve"> the data variance.</w:t>
      </w:r>
    </w:p>
    <w:p w14:paraId="573D7920" w14:textId="77777777" w:rsidR="00666510" w:rsidRPr="007F71FD" w:rsidRDefault="00000000">
      <w:pPr>
        <w:spacing w:before="120" w:after="40"/>
        <w:jc w:val="center"/>
        <w:rPr>
          <w:rFonts w:asciiTheme="majorBidi" w:hAnsiTheme="majorBidi" w:cstheme="majorBidi"/>
        </w:rPr>
      </w:pPr>
      <w:r w:rsidRPr="007F71FD">
        <w:rPr>
          <w:rFonts w:asciiTheme="majorBidi" w:hAnsiTheme="majorBidi" w:cstheme="majorBidi"/>
          <w:noProof/>
        </w:rPr>
        <w:lastRenderedPageBreak/>
        <w:drawing>
          <wp:inline distT="0" distB="0" distL="0" distR="0" wp14:anchorId="254458F2" wp14:editId="4A151467">
            <wp:extent cx="5334000" cy="1866900"/>
            <wp:effectExtent l="0" t="0" r="0" b="0"/>
            <wp:docPr id="1249991397" name="2_2_2_pca_eigenvalues.png" descr="2_2_2_pca_eigenvalues.png" title="2_2_2_pca_eigenvalu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1866900"/>
                    </a:xfrm>
                    <a:prstGeom prst="rect">
                      <a:avLst/>
                    </a:prstGeom>
                  </pic:spPr>
                </pic:pic>
              </a:graphicData>
            </a:graphic>
          </wp:inline>
        </w:drawing>
      </w:r>
    </w:p>
    <w:p w14:paraId="6C5C9A03" w14:textId="77777777" w:rsidR="00666510" w:rsidRPr="007F71FD" w:rsidRDefault="00000000">
      <w:pPr>
        <w:spacing w:before="80" w:after="240"/>
        <w:jc w:val="center"/>
        <w:rPr>
          <w:rFonts w:asciiTheme="majorBidi" w:hAnsiTheme="majorBidi" w:cstheme="majorBidi"/>
        </w:rPr>
      </w:pPr>
      <w:r w:rsidRPr="007F71FD">
        <w:rPr>
          <w:rFonts w:asciiTheme="majorBidi" w:hAnsiTheme="majorBidi" w:cstheme="majorBidi"/>
          <w:i/>
          <w:iCs/>
          <w:sz w:val="20"/>
          <w:szCs w:val="20"/>
        </w:rPr>
        <w:t>Figure 10: PCA eigenvalue distribution and cumulative explained variance.</w:t>
      </w:r>
    </w:p>
    <w:p w14:paraId="378D59AE" w14:textId="77777777" w:rsidR="00666510" w:rsidRPr="007F71FD" w:rsidRDefault="00000000" w:rsidP="002E2C64">
      <w:pPr>
        <w:spacing w:after="160" w:line="300" w:lineRule="auto"/>
        <w:ind w:left="2160"/>
        <w:jc w:val="both"/>
        <w:rPr>
          <w:rFonts w:asciiTheme="majorBidi" w:hAnsiTheme="majorBidi" w:cstheme="majorBidi"/>
        </w:rPr>
      </w:pPr>
      <w:r w:rsidRPr="007F71FD">
        <w:rPr>
          <w:rFonts w:asciiTheme="majorBidi" w:hAnsiTheme="majorBidi" w:cstheme="majorBidi"/>
        </w:rPr>
        <w:t>The top 50 eigenfaces (principal components reshaped to image dimensions) are visualized in Figure 11. The first eigenfaces capture global illumination and face shape variations, while later eigenfaces represent progressively finer textural and local structural details.</w:t>
      </w:r>
    </w:p>
    <w:p w14:paraId="44B633F7" w14:textId="77777777" w:rsidR="00666510" w:rsidRPr="007F71FD" w:rsidRDefault="00000000">
      <w:pPr>
        <w:spacing w:before="120" w:after="40"/>
        <w:jc w:val="center"/>
        <w:rPr>
          <w:rFonts w:asciiTheme="majorBidi" w:hAnsiTheme="majorBidi" w:cstheme="majorBidi"/>
        </w:rPr>
      </w:pPr>
      <w:r w:rsidRPr="007F71FD">
        <w:rPr>
          <w:rFonts w:asciiTheme="majorBidi" w:hAnsiTheme="majorBidi" w:cstheme="majorBidi"/>
          <w:noProof/>
        </w:rPr>
        <w:drawing>
          <wp:inline distT="0" distB="0" distL="0" distR="0" wp14:anchorId="25BCA11D" wp14:editId="507DAC60">
            <wp:extent cx="5334000" cy="3200400"/>
            <wp:effectExtent l="0" t="0" r="0" b="0"/>
            <wp:docPr id="1229448341" name="2_2_2_eigenfaces.png" descr="2_2_2_eigenfaces.png" title="2_2_2_eigenfa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3200400"/>
                    </a:xfrm>
                    <a:prstGeom prst="rect">
                      <a:avLst/>
                    </a:prstGeom>
                  </pic:spPr>
                </pic:pic>
              </a:graphicData>
            </a:graphic>
          </wp:inline>
        </w:drawing>
      </w:r>
    </w:p>
    <w:p w14:paraId="1CF456B6" w14:textId="77777777" w:rsidR="00666510" w:rsidRPr="007F71FD" w:rsidRDefault="00000000">
      <w:pPr>
        <w:spacing w:before="80" w:after="240"/>
        <w:jc w:val="center"/>
        <w:rPr>
          <w:rFonts w:asciiTheme="majorBidi" w:hAnsiTheme="majorBidi" w:cstheme="majorBidi"/>
        </w:rPr>
      </w:pPr>
      <w:r w:rsidRPr="007F71FD">
        <w:rPr>
          <w:rFonts w:asciiTheme="majorBidi" w:hAnsiTheme="majorBidi" w:cstheme="majorBidi"/>
          <w:i/>
          <w:iCs/>
          <w:sz w:val="20"/>
          <w:szCs w:val="20"/>
        </w:rPr>
        <w:t>Figure 11: Top 50 eigenfaces ordered by decreasing eigenvalue magnitude.</w:t>
      </w:r>
    </w:p>
    <w:p w14:paraId="64AF3EA2" w14:textId="77777777" w:rsidR="00666510" w:rsidRPr="007F71FD" w:rsidRDefault="00000000" w:rsidP="003B71AA">
      <w:pPr>
        <w:pStyle w:val="Heading3"/>
        <w:ind w:left="720" w:firstLine="720"/>
        <w:rPr>
          <w:rFonts w:asciiTheme="majorBidi" w:hAnsiTheme="majorBidi" w:cstheme="majorBidi"/>
          <w:color w:val="auto"/>
        </w:rPr>
      </w:pPr>
      <w:bookmarkStart w:id="40" w:name="_Toc221373869"/>
      <w:r w:rsidRPr="007F71FD">
        <w:rPr>
          <w:rFonts w:asciiTheme="majorBidi" w:hAnsiTheme="majorBidi" w:cstheme="majorBidi"/>
          <w:color w:val="auto"/>
        </w:rPr>
        <w:t>3.2.3 Projection and Reconstruction</w:t>
      </w:r>
      <w:bookmarkEnd w:id="40"/>
    </w:p>
    <w:p w14:paraId="3202C7BC" w14:textId="77777777" w:rsidR="00666510" w:rsidRPr="007F71FD" w:rsidRDefault="00000000" w:rsidP="003B71AA">
      <w:pPr>
        <w:spacing w:after="160" w:line="300" w:lineRule="auto"/>
        <w:ind w:left="2160"/>
        <w:jc w:val="both"/>
        <w:rPr>
          <w:rFonts w:asciiTheme="majorBidi" w:hAnsiTheme="majorBidi" w:cstheme="majorBidi"/>
        </w:rPr>
      </w:pPr>
      <w:r w:rsidRPr="007F71FD">
        <w:rPr>
          <w:rFonts w:asciiTheme="majorBidi" w:hAnsiTheme="majorBidi" w:cstheme="majorBidi"/>
        </w:rPr>
        <w:t>Images were projected onto the first 50 principal components and reconstructed by mapping back to the original pixel space and adding the mean face. Figure 12 compares original and reconstructed faces. The mean squared reconstruction error with 50 components was 285.75, indicating that significant structural information is captured even with a 200-fold dimensionality reduction (from 10,304 to 50 dimensions).</w:t>
      </w:r>
    </w:p>
    <w:p w14:paraId="2FB54CF1" w14:textId="77777777" w:rsidR="00666510" w:rsidRPr="007F71FD" w:rsidRDefault="00000000">
      <w:pPr>
        <w:spacing w:before="120" w:after="40"/>
        <w:jc w:val="center"/>
        <w:rPr>
          <w:rFonts w:asciiTheme="majorBidi" w:hAnsiTheme="majorBidi" w:cstheme="majorBidi"/>
        </w:rPr>
      </w:pPr>
      <w:r w:rsidRPr="007F71FD">
        <w:rPr>
          <w:rFonts w:asciiTheme="majorBidi" w:hAnsiTheme="majorBidi" w:cstheme="majorBidi"/>
          <w:noProof/>
        </w:rPr>
        <w:lastRenderedPageBreak/>
        <w:drawing>
          <wp:inline distT="0" distB="0" distL="0" distR="0" wp14:anchorId="004ACCB9" wp14:editId="509C939F">
            <wp:extent cx="5143500" cy="2438400"/>
            <wp:effectExtent l="0" t="0" r="0" b="0"/>
            <wp:docPr id="443695218" name="2_2_3_reconstruction_comparison.png" descr="2_2_3_reconstruction_comparison.png" title="2_2_3_reconstruction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43500" cy="2438400"/>
                    </a:xfrm>
                    <a:prstGeom prst="rect">
                      <a:avLst/>
                    </a:prstGeom>
                  </pic:spPr>
                </pic:pic>
              </a:graphicData>
            </a:graphic>
          </wp:inline>
        </w:drawing>
      </w:r>
    </w:p>
    <w:p w14:paraId="595584A1" w14:textId="77777777" w:rsidR="00666510" w:rsidRPr="007F71FD" w:rsidRDefault="00000000">
      <w:pPr>
        <w:spacing w:before="80" w:after="240"/>
        <w:jc w:val="center"/>
        <w:rPr>
          <w:rFonts w:asciiTheme="majorBidi" w:hAnsiTheme="majorBidi" w:cstheme="majorBidi"/>
        </w:rPr>
      </w:pPr>
      <w:r w:rsidRPr="007F71FD">
        <w:rPr>
          <w:rFonts w:asciiTheme="majorBidi" w:hAnsiTheme="majorBidi" w:cstheme="majorBidi"/>
          <w:i/>
          <w:iCs/>
          <w:sz w:val="20"/>
          <w:szCs w:val="20"/>
        </w:rPr>
        <w:t>Figure 12: Original images (top row) versus reconstructions from 50 principal components (bottom row).</w:t>
      </w:r>
    </w:p>
    <w:p w14:paraId="40CDEE7A" w14:textId="77777777" w:rsidR="00666510" w:rsidRPr="007F71FD" w:rsidRDefault="00000000" w:rsidP="00194C7D">
      <w:pPr>
        <w:pStyle w:val="Heading3"/>
        <w:ind w:left="720" w:firstLine="720"/>
        <w:rPr>
          <w:rFonts w:asciiTheme="majorBidi" w:hAnsiTheme="majorBidi" w:cstheme="majorBidi"/>
          <w:color w:val="auto"/>
        </w:rPr>
      </w:pPr>
      <w:bookmarkStart w:id="41" w:name="_Toc221373870"/>
      <w:r w:rsidRPr="007F71FD">
        <w:rPr>
          <w:rFonts w:asciiTheme="majorBidi" w:hAnsiTheme="majorBidi" w:cstheme="majorBidi"/>
          <w:color w:val="auto"/>
        </w:rPr>
        <w:t>3.2.4 Variance Retention</w:t>
      </w:r>
      <w:bookmarkEnd w:id="41"/>
    </w:p>
    <w:p w14:paraId="37429DEE" w14:textId="77777777" w:rsidR="00666510" w:rsidRPr="007F71FD" w:rsidRDefault="00000000" w:rsidP="00194C7D">
      <w:pPr>
        <w:spacing w:after="160" w:line="300" w:lineRule="auto"/>
        <w:ind w:left="2160"/>
        <w:jc w:val="both"/>
        <w:rPr>
          <w:rFonts w:asciiTheme="majorBidi" w:hAnsiTheme="majorBidi" w:cstheme="majorBidi"/>
        </w:rPr>
      </w:pPr>
      <w:r w:rsidRPr="007F71FD">
        <w:rPr>
          <w:rFonts w:asciiTheme="majorBidi" w:hAnsiTheme="majorBidi" w:cstheme="majorBidi"/>
        </w:rPr>
        <w:t>The number of principal components required to retain given variance thresholds was determined: 111 components for 90%, 190 components for 95%, and 325 components for 99%. These results confirm that while the data admits substantial dimensionality reduction, the variance is distributed across many components, reflecting the high complexity and variability of face images.</w:t>
      </w:r>
    </w:p>
    <w:p w14:paraId="11B1849D" w14:textId="77777777" w:rsidR="00666510" w:rsidRPr="007F71FD" w:rsidRDefault="00000000" w:rsidP="00194C7D">
      <w:pPr>
        <w:pStyle w:val="Heading3"/>
        <w:ind w:left="720" w:firstLine="720"/>
        <w:rPr>
          <w:rFonts w:asciiTheme="majorBidi" w:hAnsiTheme="majorBidi" w:cstheme="majorBidi"/>
          <w:color w:val="auto"/>
        </w:rPr>
      </w:pPr>
      <w:bookmarkStart w:id="42" w:name="_Toc221373871"/>
      <w:r w:rsidRPr="007F71FD">
        <w:rPr>
          <w:rFonts w:asciiTheme="majorBidi" w:hAnsiTheme="majorBidi" w:cstheme="majorBidi"/>
          <w:color w:val="auto"/>
        </w:rPr>
        <w:t>3.2.5 Face Recognition in PCA Space</w:t>
      </w:r>
      <w:bookmarkEnd w:id="42"/>
    </w:p>
    <w:p w14:paraId="623923A5" w14:textId="77777777" w:rsidR="00666510" w:rsidRPr="007F71FD" w:rsidRDefault="00000000" w:rsidP="00194C7D">
      <w:pPr>
        <w:spacing w:after="160" w:line="300" w:lineRule="auto"/>
        <w:ind w:left="2160"/>
        <w:jc w:val="both"/>
        <w:rPr>
          <w:rFonts w:asciiTheme="majorBidi" w:hAnsiTheme="majorBidi" w:cstheme="majorBidi"/>
        </w:rPr>
      </w:pPr>
      <w:r w:rsidRPr="007F71FD">
        <w:rPr>
          <w:rFonts w:asciiTheme="majorBidi" w:hAnsiTheme="majorBidi" w:cstheme="majorBidi"/>
        </w:rPr>
        <w:t>The dataset was split using a leave-one-out strategy (one image per subject for testing, nine for training), yielding 360 training and 40 testing samples. Two classifiers were evaluated in PCA space across varying numbers of principal components: a Nearest Centroid classifier and a Bayesian (Gaussian) classifier.</w:t>
      </w:r>
    </w:p>
    <w:tbl>
      <w:tblPr>
        <w:tblStyle w:val="GridTable7Colorful"/>
        <w:tblW w:w="9576" w:type="dxa"/>
        <w:tblLook w:val="0400" w:firstRow="0" w:lastRow="0" w:firstColumn="0" w:lastColumn="0" w:noHBand="0" w:noVBand="1"/>
      </w:tblPr>
      <w:tblGrid>
        <w:gridCol w:w="2394"/>
        <w:gridCol w:w="3591"/>
        <w:gridCol w:w="3591"/>
      </w:tblGrid>
      <w:tr w:rsidR="00A30EA2" w:rsidRPr="007F71FD" w14:paraId="6B800037" w14:textId="77777777" w:rsidTr="003B1F19">
        <w:trPr>
          <w:cnfStyle w:val="000000100000" w:firstRow="0" w:lastRow="0" w:firstColumn="0" w:lastColumn="0" w:oddVBand="0" w:evenVBand="0" w:oddHBand="1" w:evenHBand="0" w:firstRowFirstColumn="0" w:firstRowLastColumn="0" w:lastRowFirstColumn="0" w:lastRowLastColumn="0"/>
          <w:trHeight w:val="360"/>
        </w:trPr>
        <w:tc>
          <w:tcPr>
            <w:tcW w:w="2394" w:type="dxa"/>
          </w:tcPr>
          <w:p w14:paraId="45195C04" w14:textId="77777777" w:rsidR="00666510" w:rsidRPr="007F71FD" w:rsidRDefault="00000000">
            <w:pPr>
              <w:jc w:val="center"/>
              <w:rPr>
                <w:rFonts w:asciiTheme="majorBidi" w:hAnsiTheme="majorBidi" w:cstheme="majorBidi"/>
                <w:color w:val="auto"/>
              </w:rPr>
            </w:pPr>
            <w:proofErr w:type="spellStart"/>
            <w:r w:rsidRPr="007F71FD">
              <w:rPr>
                <w:rFonts w:asciiTheme="majorBidi" w:hAnsiTheme="majorBidi" w:cstheme="majorBidi"/>
                <w:b/>
                <w:bCs/>
                <w:color w:val="auto"/>
                <w:sz w:val="20"/>
                <w:szCs w:val="20"/>
              </w:rPr>
              <w:t>n_components</w:t>
            </w:r>
            <w:proofErr w:type="spellEnd"/>
          </w:p>
        </w:tc>
        <w:tc>
          <w:tcPr>
            <w:tcW w:w="3591" w:type="dxa"/>
          </w:tcPr>
          <w:p w14:paraId="78EBCE94"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b/>
                <w:bCs/>
                <w:color w:val="auto"/>
                <w:sz w:val="20"/>
                <w:szCs w:val="20"/>
              </w:rPr>
              <w:t>Nearest Centroid</w:t>
            </w:r>
          </w:p>
        </w:tc>
        <w:tc>
          <w:tcPr>
            <w:tcW w:w="3591" w:type="dxa"/>
          </w:tcPr>
          <w:p w14:paraId="09610EC3"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b/>
                <w:bCs/>
                <w:color w:val="auto"/>
                <w:sz w:val="20"/>
                <w:szCs w:val="20"/>
              </w:rPr>
              <w:t>Bayesian</w:t>
            </w:r>
          </w:p>
        </w:tc>
      </w:tr>
      <w:tr w:rsidR="00A30EA2" w:rsidRPr="007F71FD" w14:paraId="125A0F6E" w14:textId="77777777" w:rsidTr="003B1F19">
        <w:trPr>
          <w:trHeight w:val="360"/>
        </w:trPr>
        <w:tc>
          <w:tcPr>
            <w:tcW w:w="2394" w:type="dxa"/>
          </w:tcPr>
          <w:p w14:paraId="289532B8"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10</w:t>
            </w:r>
          </w:p>
        </w:tc>
        <w:tc>
          <w:tcPr>
            <w:tcW w:w="3591" w:type="dxa"/>
          </w:tcPr>
          <w:p w14:paraId="7EC796AE"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0.9000</w:t>
            </w:r>
          </w:p>
        </w:tc>
        <w:tc>
          <w:tcPr>
            <w:tcW w:w="3591" w:type="dxa"/>
          </w:tcPr>
          <w:p w14:paraId="49EC893F"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0.6750</w:t>
            </w:r>
          </w:p>
        </w:tc>
      </w:tr>
      <w:tr w:rsidR="00A30EA2" w:rsidRPr="007F71FD" w14:paraId="01EB9E14" w14:textId="77777777" w:rsidTr="003B1F19">
        <w:trPr>
          <w:cnfStyle w:val="000000100000" w:firstRow="0" w:lastRow="0" w:firstColumn="0" w:lastColumn="0" w:oddVBand="0" w:evenVBand="0" w:oddHBand="1" w:evenHBand="0" w:firstRowFirstColumn="0" w:firstRowLastColumn="0" w:lastRowFirstColumn="0" w:lastRowLastColumn="0"/>
          <w:trHeight w:val="360"/>
        </w:trPr>
        <w:tc>
          <w:tcPr>
            <w:tcW w:w="2394" w:type="dxa"/>
          </w:tcPr>
          <w:p w14:paraId="240EA4C3"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20</w:t>
            </w:r>
          </w:p>
        </w:tc>
        <w:tc>
          <w:tcPr>
            <w:tcW w:w="3591" w:type="dxa"/>
          </w:tcPr>
          <w:p w14:paraId="60D39059"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0.9250</w:t>
            </w:r>
          </w:p>
        </w:tc>
        <w:tc>
          <w:tcPr>
            <w:tcW w:w="3591" w:type="dxa"/>
          </w:tcPr>
          <w:p w14:paraId="2F55996C"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0.9500</w:t>
            </w:r>
          </w:p>
        </w:tc>
      </w:tr>
      <w:tr w:rsidR="00A30EA2" w:rsidRPr="007F71FD" w14:paraId="159C7982" w14:textId="77777777" w:rsidTr="003B1F19">
        <w:trPr>
          <w:trHeight w:val="360"/>
        </w:trPr>
        <w:tc>
          <w:tcPr>
            <w:tcW w:w="2394" w:type="dxa"/>
          </w:tcPr>
          <w:p w14:paraId="471C1093"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30</w:t>
            </w:r>
          </w:p>
        </w:tc>
        <w:tc>
          <w:tcPr>
            <w:tcW w:w="3591" w:type="dxa"/>
          </w:tcPr>
          <w:p w14:paraId="1AB4B0CC"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0.9250</w:t>
            </w:r>
          </w:p>
        </w:tc>
        <w:tc>
          <w:tcPr>
            <w:tcW w:w="3591" w:type="dxa"/>
          </w:tcPr>
          <w:p w14:paraId="20EF40FA"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0.9750</w:t>
            </w:r>
          </w:p>
        </w:tc>
      </w:tr>
      <w:tr w:rsidR="00A30EA2" w:rsidRPr="007F71FD" w14:paraId="04D672A8" w14:textId="77777777" w:rsidTr="003B1F19">
        <w:trPr>
          <w:cnfStyle w:val="000000100000" w:firstRow="0" w:lastRow="0" w:firstColumn="0" w:lastColumn="0" w:oddVBand="0" w:evenVBand="0" w:oddHBand="1" w:evenHBand="0" w:firstRowFirstColumn="0" w:firstRowLastColumn="0" w:lastRowFirstColumn="0" w:lastRowLastColumn="0"/>
          <w:trHeight w:val="360"/>
        </w:trPr>
        <w:tc>
          <w:tcPr>
            <w:tcW w:w="2394" w:type="dxa"/>
          </w:tcPr>
          <w:p w14:paraId="2EEE3D08"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50</w:t>
            </w:r>
          </w:p>
        </w:tc>
        <w:tc>
          <w:tcPr>
            <w:tcW w:w="3591" w:type="dxa"/>
          </w:tcPr>
          <w:p w14:paraId="04A8165B"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0.9250</w:t>
            </w:r>
          </w:p>
        </w:tc>
        <w:tc>
          <w:tcPr>
            <w:tcW w:w="3591" w:type="dxa"/>
          </w:tcPr>
          <w:p w14:paraId="3F6E483F"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1.0000</w:t>
            </w:r>
          </w:p>
        </w:tc>
      </w:tr>
      <w:tr w:rsidR="00A30EA2" w:rsidRPr="007F71FD" w14:paraId="792FF72D" w14:textId="77777777" w:rsidTr="003B1F19">
        <w:trPr>
          <w:trHeight w:val="360"/>
        </w:trPr>
        <w:tc>
          <w:tcPr>
            <w:tcW w:w="2394" w:type="dxa"/>
          </w:tcPr>
          <w:p w14:paraId="31F93B5F"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75</w:t>
            </w:r>
          </w:p>
        </w:tc>
        <w:tc>
          <w:tcPr>
            <w:tcW w:w="3591" w:type="dxa"/>
          </w:tcPr>
          <w:p w14:paraId="41678906"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0.9250</w:t>
            </w:r>
          </w:p>
        </w:tc>
        <w:tc>
          <w:tcPr>
            <w:tcW w:w="3591" w:type="dxa"/>
          </w:tcPr>
          <w:p w14:paraId="3C007908"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0.9750</w:t>
            </w:r>
          </w:p>
        </w:tc>
      </w:tr>
      <w:tr w:rsidR="00A30EA2" w:rsidRPr="007F71FD" w14:paraId="28495F7F" w14:textId="77777777" w:rsidTr="003B1F19">
        <w:trPr>
          <w:cnfStyle w:val="000000100000" w:firstRow="0" w:lastRow="0" w:firstColumn="0" w:lastColumn="0" w:oddVBand="0" w:evenVBand="0" w:oddHBand="1" w:evenHBand="0" w:firstRowFirstColumn="0" w:firstRowLastColumn="0" w:lastRowFirstColumn="0" w:lastRowLastColumn="0"/>
          <w:trHeight w:val="360"/>
        </w:trPr>
        <w:tc>
          <w:tcPr>
            <w:tcW w:w="2394" w:type="dxa"/>
          </w:tcPr>
          <w:p w14:paraId="402A804B"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100</w:t>
            </w:r>
          </w:p>
        </w:tc>
        <w:tc>
          <w:tcPr>
            <w:tcW w:w="3591" w:type="dxa"/>
          </w:tcPr>
          <w:p w14:paraId="39889C55"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0.9250</w:t>
            </w:r>
          </w:p>
        </w:tc>
        <w:tc>
          <w:tcPr>
            <w:tcW w:w="3591" w:type="dxa"/>
          </w:tcPr>
          <w:p w14:paraId="48E22F9C"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0.9750</w:t>
            </w:r>
          </w:p>
        </w:tc>
      </w:tr>
      <w:tr w:rsidR="00A30EA2" w:rsidRPr="007F71FD" w14:paraId="73063434" w14:textId="77777777" w:rsidTr="003B1F19">
        <w:trPr>
          <w:trHeight w:val="360"/>
        </w:trPr>
        <w:tc>
          <w:tcPr>
            <w:tcW w:w="2394" w:type="dxa"/>
          </w:tcPr>
          <w:p w14:paraId="21E14D3A"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150</w:t>
            </w:r>
          </w:p>
        </w:tc>
        <w:tc>
          <w:tcPr>
            <w:tcW w:w="3591" w:type="dxa"/>
          </w:tcPr>
          <w:p w14:paraId="5B5C657D"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0.9250</w:t>
            </w:r>
          </w:p>
        </w:tc>
        <w:tc>
          <w:tcPr>
            <w:tcW w:w="3591" w:type="dxa"/>
          </w:tcPr>
          <w:p w14:paraId="02AE47D4"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0.9750</w:t>
            </w:r>
          </w:p>
        </w:tc>
      </w:tr>
      <w:tr w:rsidR="00A30EA2" w:rsidRPr="007F71FD" w14:paraId="70E4E19D" w14:textId="77777777" w:rsidTr="003B1F19">
        <w:trPr>
          <w:cnfStyle w:val="000000100000" w:firstRow="0" w:lastRow="0" w:firstColumn="0" w:lastColumn="0" w:oddVBand="0" w:evenVBand="0" w:oddHBand="1" w:evenHBand="0" w:firstRowFirstColumn="0" w:firstRowLastColumn="0" w:lastRowFirstColumn="0" w:lastRowLastColumn="0"/>
          <w:trHeight w:val="360"/>
        </w:trPr>
        <w:tc>
          <w:tcPr>
            <w:tcW w:w="2394" w:type="dxa"/>
          </w:tcPr>
          <w:p w14:paraId="500DA4D4"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200</w:t>
            </w:r>
          </w:p>
        </w:tc>
        <w:tc>
          <w:tcPr>
            <w:tcW w:w="3591" w:type="dxa"/>
          </w:tcPr>
          <w:p w14:paraId="36794630"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0.9250</w:t>
            </w:r>
          </w:p>
        </w:tc>
        <w:tc>
          <w:tcPr>
            <w:tcW w:w="3591" w:type="dxa"/>
          </w:tcPr>
          <w:p w14:paraId="65866BDD"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0.9750</w:t>
            </w:r>
          </w:p>
        </w:tc>
      </w:tr>
    </w:tbl>
    <w:p w14:paraId="17B02632" w14:textId="77777777" w:rsidR="00666510" w:rsidRPr="007F71FD" w:rsidRDefault="00000000">
      <w:pPr>
        <w:spacing w:before="80" w:after="240"/>
        <w:jc w:val="center"/>
        <w:rPr>
          <w:rFonts w:asciiTheme="majorBidi" w:hAnsiTheme="majorBidi" w:cstheme="majorBidi"/>
        </w:rPr>
      </w:pPr>
      <w:r w:rsidRPr="007F71FD">
        <w:rPr>
          <w:rFonts w:asciiTheme="majorBidi" w:hAnsiTheme="majorBidi" w:cstheme="majorBidi"/>
          <w:i/>
          <w:iCs/>
          <w:sz w:val="20"/>
          <w:szCs w:val="20"/>
        </w:rPr>
        <w:t>Table 10: Classification accuracy in PCA space for varying numbers of components.</w:t>
      </w:r>
    </w:p>
    <w:p w14:paraId="5BB5FDD7" w14:textId="77777777" w:rsidR="00666510" w:rsidRPr="007F71FD" w:rsidRDefault="00000000">
      <w:pPr>
        <w:spacing w:before="120" w:after="40"/>
        <w:jc w:val="center"/>
        <w:rPr>
          <w:rFonts w:asciiTheme="majorBidi" w:hAnsiTheme="majorBidi" w:cstheme="majorBidi"/>
        </w:rPr>
      </w:pPr>
      <w:r w:rsidRPr="007F71FD">
        <w:rPr>
          <w:rFonts w:asciiTheme="majorBidi" w:hAnsiTheme="majorBidi" w:cstheme="majorBidi"/>
          <w:noProof/>
        </w:rPr>
        <w:lastRenderedPageBreak/>
        <w:drawing>
          <wp:inline distT="0" distB="0" distL="0" distR="0" wp14:anchorId="21D8205E" wp14:editId="6A28AAAF">
            <wp:extent cx="6247534" cy="3075709"/>
            <wp:effectExtent l="0" t="0" r="1270" b="0"/>
            <wp:docPr id="1753780428" name="2_2_4_pca_classification_accuracy_vs_number_of_components.png" descr="2_2_4_pca_classification_accuracy_vs_number_of_components.png" title="2_2_4_pca_classification_accuracy_vs_number_of_compon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259067" cy="3081387"/>
                    </a:xfrm>
                    <a:prstGeom prst="rect">
                      <a:avLst/>
                    </a:prstGeom>
                  </pic:spPr>
                </pic:pic>
              </a:graphicData>
            </a:graphic>
          </wp:inline>
        </w:drawing>
      </w:r>
    </w:p>
    <w:p w14:paraId="6FD80B5A" w14:textId="77777777" w:rsidR="00666510" w:rsidRPr="007F71FD" w:rsidRDefault="00000000">
      <w:pPr>
        <w:spacing w:before="80" w:after="240"/>
        <w:jc w:val="center"/>
        <w:rPr>
          <w:rFonts w:asciiTheme="majorBidi" w:hAnsiTheme="majorBidi" w:cstheme="majorBidi"/>
        </w:rPr>
      </w:pPr>
      <w:r w:rsidRPr="007F71FD">
        <w:rPr>
          <w:rFonts w:asciiTheme="majorBidi" w:hAnsiTheme="majorBidi" w:cstheme="majorBidi"/>
          <w:i/>
          <w:iCs/>
          <w:sz w:val="20"/>
          <w:szCs w:val="20"/>
        </w:rPr>
        <w:t>Figure 13: Classification accuracy versus number of PCA components.</w:t>
      </w:r>
    </w:p>
    <w:p w14:paraId="4E386B43" w14:textId="77777777" w:rsidR="00666510" w:rsidRPr="007F71FD" w:rsidRDefault="00000000" w:rsidP="00EB0F6C">
      <w:pPr>
        <w:spacing w:after="160" w:line="300" w:lineRule="auto"/>
        <w:ind w:left="2160"/>
        <w:jc w:val="both"/>
        <w:rPr>
          <w:rFonts w:asciiTheme="majorBidi" w:hAnsiTheme="majorBidi" w:cstheme="majorBidi"/>
        </w:rPr>
      </w:pPr>
      <w:r w:rsidRPr="007F71FD">
        <w:rPr>
          <w:rFonts w:asciiTheme="majorBidi" w:hAnsiTheme="majorBidi" w:cstheme="majorBidi"/>
        </w:rPr>
        <w:t>The Nearest Centroid classifier saturates at 92.50% accuracy with as few as 20 components, exhibiting no further improvement with additional dimensions. In contrast, the Bayesian classifier achieves perfect accuracy (100%) at 50 components before slightly declining. The Bayesian classifier’s superior peak performance reflects its ability to model within-class covariance structure, which the centroid-based approach ignores. However, at very low dimensions (10 components), the Bayesian classifier underperforms (67.50%) due to insufficient dimensions for reliable covariance estimation across 40 classes.</w:t>
      </w:r>
    </w:p>
    <w:p w14:paraId="6577D503" w14:textId="77777777" w:rsidR="00666510" w:rsidRPr="007F71FD" w:rsidRDefault="00000000" w:rsidP="00EB0F6C">
      <w:pPr>
        <w:pStyle w:val="Heading3"/>
        <w:ind w:left="1440"/>
        <w:rPr>
          <w:rFonts w:asciiTheme="majorBidi" w:hAnsiTheme="majorBidi" w:cstheme="majorBidi"/>
          <w:color w:val="auto"/>
        </w:rPr>
      </w:pPr>
      <w:bookmarkStart w:id="43" w:name="_Toc221373872"/>
      <w:r w:rsidRPr="007F71FD">
        <w:rPr>
          <w:rFonts w:asciiTheme="majorBidi" w:hAnsiTheme="majorBidi" w:cstheme="majorBidi"/>
          <w:color w:val="auto"/>
        </w:rPr>
        <w:t>3.2.6 PCA vs. PCA+LDA Comparison</w:t>
      </w:r>
      <w:bookmarkEnd w:id="43"/>
    </w:p>
    <w:p w14:paraId="4133AE9A" w14:textId="77777777" w:rsidR="00666510" w:rsidRPr="007F71FD" w:rsidRDefault="00000000" w:rsidP="00EB0F6C">
      <w:pPr>
        <w:spacing w:after="160" w:line="300" w:lineRule="auto"/>
        <w:ind w:left="2160"/>
        <w:jc w:val="both"/>
        <w:rPr>
          <w:rFonts w:asciiTheme="majorBidi" w:hAnsiTheme="majorBidi" w:cstheme="majorBidi"/>
        </w:rPr>
      </w:pPr>
      <w:r w:rsidRPr="007F71FD">
        <w:rPr>
          <w:rFonts w:asciiTheme="majorBidi" w:hAnsiTheme="majorBidi" w:cstheme="majorBidi"/>
        </w:rPr>
        <w:t>To assess whether supervised dimensionality reduction provides additional benefit beyond PCA, a comparison was conducted between PCA-only and PCA followed by Fisher LDA. The Nearest Centroid classifier was used in both settings.</w:t>
      </w:r>
    </w:p>
    <w:tbl>
      <w:tblPr>
        <w:tblStyle w:val="GridTable7Colorful"/>
        <w:tblW w:w="9533" w:type="dxa"/>
        <w:tblLook w:val="0400" w:firstRow="0" w:lastRow="0" w:firstColumn="0" w:lastColumn="0" w:noHBand="0" w:noVBand="1"/>
      </w:tblPr>
      <w:tblGrid>
        <w:gridCol w:w="2383"/>
        <w:gridCol w:w="3575"/>
        <w:gridCol w:w="3575"/>
      </w:tblGrid>
      <w:tr w:rsidR="00A30EA2" w:rsidRPr="007F71FD" w14:paraId="66ED6223" w14:textId="77777777" w:rsidTr="00EB0F6C">
        <w:trPr>
          <w:cnfStyle w:val="000000100000" w:firstRow="0" w:lastRow="0" w:firstColumn="0" w:lastColumn="0" w:oddVBand="0" w:evenVBand="0" w:oddHBand="1" w:evenHBand="0" w:firstRowFirstColumn="0" w:firstRowLastColumn="0" w:lastRowFirstColumn="0" w:lastRowLastColumn="0"/>
          <w:trHeight w:val="374"/>
        </w:trPr>
        <w:tc>
          <w:tcPr>
            <w:tcW w:w="2383" w:type="dxa"/>
          </w:tcPr>
          <w:p w14:paraId="76BE33F7" w14:textId="77777777" w:rsidR="00666510" w:rsidRPr="007F71FD" w:rsidRDefault="00000000">
            <w:pPr>
              <w:jc w:val="center"/>
              <w:rPr>
                <w:rFonts w:asciiTheme="majorBidi" w:hAnsiTheme="majorBidi" w:cstheme="majorBidi"/>
                <w:color w:val="auto"/>
              </w:rPr>
            </w:pPr>
            <w:proofErr w:type="spellStart"/>
            <w:r w:rsidRPr="007F71FD">
              <w:rPr>
                <w:rFonts w:asciiTheme="majorBidi" w:hAnsiTheme="majorBidi" w:cstheme="majorBidi"/>
                <w:b/>
                <w:bCs/>
                <w:color w:val="auto"/>
                <w:sz w:val="20"/>
                <w:szCs w:val="20"/>
              </w:rPr>
              <w:t>n_PCA</w:t>
            </w:r>
            <w:proofErr w:type="spellEnd"/>
          </w:p>
        </w:tc>
        <w:tc>
          <w:tcPr>
            <w:tcW w:w="3575" w:type="dxa"/>
          </w:tcPr>
          <w:p w14:paraId="79DC8BC1"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b/>
                <w:bCs/>
                <w:color w:val="auto"/>
                <w:sz w:val="20"/>
                <w:szCs w:val="20"/>
              </w:rPr>
              <w:t>PCA Only</w:t>
            </w:r>
          </w:p>
        </w:tc>
        <w:tc>
          <w:tcPr>
            <w:tcW w:w="3575" w:type="dxa"/>
          </w:tcPr>
          <w:p w14:paraId="1CEA633A"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b/>
                <w:bCs/>
                <w:color w:val="auto"/>
                <w:sz w:val="20"/>
                <w:szCs w:val="20"/>
              </w:rPr>
              <w:t>PCA + LDA</w:t>
            </w:r>
          </w:p>
        </w:tc>
      </w:tr>
      <w:tr w:rsidR="00A30EA2" w:rsidRPr="007F71FD" w14:paraId="46BB6877" w14:textId="77777777" w:rsidTr="00EB0F6C">
        <w:trPr>
          <w:trHeight w:val="374"/>
        </w:trPr>
        <w:tc>
          <w:tcPr>
            <w:tcW w:w="2383" w:type="dxa"/>
          </w:tcPr>
          <w:p w14:paraId="3BDAD027"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50</w:t>
            </w:r>
          </w:p>
        </w:tc>
        <w:tc>
          <w:tcPr>
            <w:tcW w:w="3575" w:type="dxa"/>
          </w:tcPr>
          <w:p w14:paraId="5470302C"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0.9250</w:t>
            </w:r>
          </w:p>
        </w:tc>
        <w:tc>
          <w:tcPr>
            <w:tcW w:w="3575" w:type="dxa"/>
          </w:tcPr>
          <w:p w14:paraId="6EF4F72D"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0.9250</w:t>
            </w:r>
          </w:p>
        </w:tc>
      </w:tr>
      <w:tr w:rsidR="00A30EA2" w:rsidRPr="007F71FD" w14:paraId="1976C5E3" w14:textId="77777777" w:rsidTr="00EB0F6C">
        <w:trPr>
          <w:cnfStyle w:val="000000100000" w:firstRow="0" w:lastRow="0" w:firstColumn="0" w:lastColumn="0" w:oddVBand="0" w:evenVBand="0" w:oddHBand="1" w:evenHBand="0" w:firstRowFirstColumn="0" w:firstRowLastColumn="0" w:lastRowFirstColumn="0" w:lastRowLastColumn="0"/>
          <w:trHeight w:val="374"/>
        </w:trPr>
        <w:tc>
          <w:tcPr>
            <w:tcW w:w="2383" w:type="dxa"/>
          </w:tcPr>
          <w:p w14:paraId="1EA38575"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75</w:t>
            </w:r>
          </w:p>
        </w:tc>
        <w:tc>
          <w:tcPr>
            <w:tcW w:w="3575" w:type="dxa"/>
          </w:tcPr>
          <w:p w14:paraId="0243A662"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0.9250</w:t>
            </w:r>
          </w:p>
        </w:tc>
        <w:tc>
          <w:tcPr>
            <w:tcW w:w="3575" w:type="dxa"/>
          </w:tcPr>
          <w:p w14:paraId="7852BF03"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0.9250</w:t>
            </w:r>
          </w:p>
        </w:tc>
      </w:tr>
      <w:tr w:rsidR="00A30EA2" w:rsidRPr="007F71FD" w14:paraId="7DAF6F4F" w14:textId="77777777" w:rsidTr="00EB0F6C">
        <w:trPr>
          <w:trHeight w:val="374"/>
        </w:trPr>
        <w:tc>
          <w:tcPr>
            <w:tcW w:w="2383" w:type="dxa"/>
          </w:tcPr>
          <w:p w14:paraId="7C926051"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100</w:t>
            </w:r>
          </w:p>
        </w:tc>
        <w:tc>
          <w:tcPr>
            <w:tcW w:w="3575" w:type="dxa"/>
          </w:tcPr>
          <w:p w14:paraId="1685EEE0"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0.9250</w:t>
            </w:r>
          </w:p>
        </w:tc>
        <w:tc>
          <w:tcPr>
            <w:tcW w:w="3575" w:type="dxa"/>
          </w:tcPr>
          <w:p w14:paraId="2B29CD23"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0.9250</w:t>
            </w:r>
          </w:p>
        </w:tc>
      </w:tr>
      <w:tr w:rsidR="00A30EA2" w:rsidRPr="007F71FD" w14:paraId="422037E3" w14:textId="77777777" w:rsidTr="00EB0F6C">
        <w:trPr>
          <w:cnfStyle w:val="000000100000" w:firstRow="0" w:lastRow="0" w:firstColumn="0" w:lastColumn="0" w:oddVBand="0" w:evenVBand="0" w:oddHBand="1" w:evenHBand="0" w:firstRowFirstColumn="0" w:firstRowLastColumn="0" w:lastRowFirstColumn="0" w:lastRowLastColumn="0"/>
          <w:trHeight w:val="374"/>
        </w:trPr>
        <w:tc>
          <w:tcPr>
            <w:tcW w:w="2383" w:type="dxa"/>
          </w:tcPr>
          <w:p w14:paraId="4E4E215C"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150</w:t>
            </w:r>
          </w:p>
        </w:tc>
        <w:tc>
          <w:tcPr>
            <w:tcW w:w="3575" w:type="dxa"/>
          </w:tcPr>
          <w:p w14:paraId="2662A369"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0.9250</w:t>
            </w:r>
          </w:p>
        </w:tc>
        <w:tc>
          <w:tcPr>
            <w:tcW w:w="3575" w:type="dxa"/>
          </w:tcPr>
          <w:p w14:paraId="3123B695"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0.9500</w:t>
            </w:r>
          </w:p>
        </w:tc>
      </w:tr>
    </w:tbl>
    <w:p w14:paraId="690CDD6C" w14:textId="77777777" w:rsidR="00666510" w:rsidRPr="007F71FD" w:rsidRDefault="00000000">
      <w:pPr>
        <w:spacing w:before="80" w:after="240"/>
        <w:jc w:val="center"/>
        <w:rPr>
          <w:rFonts w:asciiTheme="majorBidi" w:hAnsiTheme="majorBidi" w:cstheme="majorBidi"/>
        </w:rPr>
      </w:pPr>
      <w:r w:rsidRPr="007F71FD">
        <w:rPr>
          <w:rFonts w:asciiTheme="majorBidi" w:hAnsiTheme="majorBidi" w:cstheme="majorBidi"/>
          <w:i/>
          <w:iCs/>
          <w:sz w:val="20"/>
          <w:szCs w:val="20"/>
        </w:rPr>
        <w:t>Table 11: PCA-only versus PCA+LDA recognition accuracy.</w:t>
      </w:r>
    </w:p>
    <w:p w14:paraId="2D976FE5" w14:textId="77777777" w:rsidR="00666510" w:rsidRPr="007F71FD" w:rsidRDefault="00000000">
      <w:pPr>
        <w:spacing w:before="120" w:after="40"/>
        <w:jc w:val="center"/>
        <w:rPr>
          <w:rFonts w:asciiTheme="majorBidi" w:hAnsiTheme="majorBidi" w:cstheme="majorBidi"/>
        </w:rPr>
      </w:pPr>
      <w:r w:rsidRPr="007F71FD">
        <w:rPr>
          <w:rFonts w:asciiTheme="majorBidi" w:hAnsiTheme="majorBidi" w:cstheme="majorBidi"/>
          <w:noProof/>
        </w:rPr>
        <w:lastRenderedPageBreak/>
        <w:drawing>
          <wp:inline distT="0" distB="0" distL="0" distR="0" wp14:anchorId="73EF43CA" wp14:editId="0FB51604">
            <wp:extent cx="5603630" cy="3311236"/>
            <wp:effectExtent l="0" t="0" r="0" b="3810"/>
            <wp:docPr id="1469791401" name="2_2_4_pca_vs_pca_lda.png" descr="2_2_4_pca_vs_pca_lda.png" title="2_2_4_pca_vs_pca_l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16144" cy="3318631"/>
                    </a:xfrm>
                    <a:prstGeom prst="rect">
                      <a:avLst/>
                    </a:prstGeom>
                  </pic:spPr>
                </pic:pic>
              </a:graphicData>
            </a:graphic>
          </wp:inline>
        </w:drawing>
      </w:r>
    </w:p>
    <w:p w14:paraId="25AC811B" w14:textId="77777777" w:rsidR="00666510" w:rsidRPr="007F71FD" w:rsidRDefault="00000000">
      <w:pPr>
        <w:spacing w:before="80" w:after="240"/>
        <w:jc w:val="center"/>
        <w:rPr>
          <w:rFonts w:asciiTheme="majorBidi" w:hAnsiTheme="majorBidi" w:cstheme="majorBidi"/>
        </w:rPr>
      </w:pPr>
      <w:r w:rsidRPr="007F71FD">
        <w:rPr>
          <w:rFonts w:asciiTheme="majorBidi" w:hAnsiTheme="majorBidi" w:cstheme="majorBidi"/>
          <w:i/>
          <w:iCs/>
          <w:sz w:val="20"/>
          <w:szCs w:val="20"/>
        </w:rPr>
        <w:t>Figure 14: Comparison of PCA-only and PCA+LDA recognition performance.</w:t>
      </w:r>
    </w:p>
    <w:p w14:paraId="65E1A546" w14:textId="77777777" w:rsidR="00666510" w:rsidRPr="007F71FD" w:rsidRDefault="00000000" w:rsidP="00EB0F6C">
      <w:pPr>
        <w:spacing w:after="160" w:line="300" w:lineRule="auto"/>
        <w:ind w:left="2160"/>
        <w:jc w:val="both"/>
        <w:rPr>
          <w:rFonts w:asciiTheme="majorBidi" w:hAnsiTheme="majorBidi" w:cstheme="majorBidi"/>
        </w:rPr>
      </w:pPr>
      <w:r w:rsidRPr="007F71FD">
        <w:rPr>
          <w:rFonts w:asciiTheme="majorBidi" w:hAnsiTheme="majorBidi" w:cstheme="majorBidi"/>
        </w:rPr>
        <w:t>The PCA+LDA pipeline shows marginal improvement only at 150 PCA components (95.0% vs. 92.5%), with equivalent performance at lower PCA dimensions. This result suggests that PCA already captures sufficient discriminative information for the Nearest Centroid classifier, and the additional supervised projection by LDA provides limited benefit in this experimental configuration.</w:t>
      </w:r>
    </w:p>
    <w:p w14:paraId="1C8E5EAD" w14:textId="77777777" w:rsidR="00666510" w:rsidRPr="007F71FD" w:rsidRDefault="00000000" w:rsidP="00997DE6">
      <w:pPr>
        <w:pStyle w:val="Heading2"/>
        <w:ind w:left="720"/>
        <w:rPr>
          <w:rFonts w:asciiTheme="majorBidi" w:hAnsiTheme="majorBidi" w:cstheme="majorBidi"/>
          <w:color w:val="auto"/>
        </w:rPr>
      </w:pPr>
      <w:bookmarkStart w:id="44" w:name="_Toc221373873"/>
      <w:r w:rsidRPr="007F71FD">
        <w:rPr>
          <w:rFonts w:asciiTheme="majorBidi" w:hAnsiTheme="majorBidi" w:cstheme="majorBidi"/>
          <w:color w:val="auto"/>
        </w:rPr>
        <w:t>3.3 Fisher Linear Discriminant Analysis</w:t>
      </w:r>
      <w:bookmarkEnd w:id="44"/>
    </w:p>
    <w:p w14:paraId="1CD2CA13" w14:textId="77777777" w:rsidR="00666510" w:rsidRPr="007F71FD" w:rsidRDefault="00000000" w:rsidP="00811149">
      <w:pPr>
        <w:pStyle w:val="Heading3"/>
        <w:ind w:left="1440"/>
        <w:rPr>
          <w:rFonts w:asciiTheme="majorBidi" w:hAnsiTheme="majorBidi" w:cstheme="majorBidi"/>
          <w:color w:val="auto"/>
        </w:rPr>
      </w:pPr>
      <w:bookmarkStart w:id="45" w:name="_Toc221373874"/>
      <w:r w:rsidRPr="007F71FD">
        <w:rPr>
          <w:rFonts w:asciiTheme="majorBidi" w:hAnsiTheme="majorBidi" w:cstheme="majorBidi"/>
          <w:color w:val="auto"/>
        </w:rPr>
        <w:t>3.3.1 Data Preprocessing</w:t>
      </w:r>
      <w:bookmarkEnd w:id="45"/>
    </w:p>
    <w:p w14:paraId="5D9EE95B" w14:textId="311D02FF" w:rsidR="00666510" w:rsidRPr="007F71FD" w:rsidRDefault="00000000" w:rsidP="00811149">
      <w:pPr>
        <w:spacing w:after="160" w:line="300" w:lineRule="auto"/>
        <w:ind w:left="2160"/>
        <w:jc w:val="both"/>
        <w:rPr>
          <w:rFonts w:asciiTheme="majorBidi" w:hAnsiTheme="majorBidi" w:cstheme="majorBidi"/>
        </w:rPr>
      </w:pPr>
      <w:r w:rsidRPr="007F71FD">
        <w:rPr>
          <w:rFonts w:asciiTheme="majorBidi" w:hAnsiTheme="majorBidi" w:cstheme="majorBidi"/>
        </w:rPr>
        <w:t xml:space="preserve">Before applying Fisher LDA, dimensionality was first reduced from 10,304 to 100 via PCA. This preprocessing step is essential because the within-class scatter matrix </w:t>
      </w:r>
      <w:r w:rsidR="00B46C67" w:rsidRPr="00B46C67">
        <w:rPr>
          <w:rFonts w:asciiTheme="majorBidi" w:hAnsiTheme="majorBidi" w:cstheme="majorBidi"/>
        </w:rPr>
        <w:t>S</w:t>
      </w:r>
      <w:r w:rsidR="00B46C67">
        <w:rPr>
          <w:rFonts w:asciiTheme="majorBidi" w:hAnsiTheme="majorBidi" w:cstheme="majorBidi"/>
          <w:vertAlign w:val="subscript"/>
        </w:rPr>
        <w:t>W</w:t>
      </w:r>
      <w:r w:rsidR="00B46C67">
        <w:rPr>
          <w:rFonts w:asciiTheme="majorBidi" w:hAnsiTheme="majorBidi" w:cstheme="majorBidi"/>
        </w:rPr>
        <w:t xml:space="preserve"> </w:t>
      </w:r>
      <w:r w:rsidRPr="00B46C67">
        <w:rPr>
          <w:rFonts w:asciiTheme="majorBidi" w:hAnsiTheme="majorBidi" w:cstheme="majorBidi"/>
        </w:rPr>
        <w:t>would</w:t>
      </w:r>
      <w:r w:rsidRPr="007F71FD">
        <w:rPr>
          <w:rFonts w:asciiTheme="majorBidi" w:hAnsiTheme="majorBidi" w:cstheme="majorBidi"/>
        </w:rPr>
        <w:t xml:space="preserve"> be singular in the original 10,304-dimensional space (since the number of samples, 400, is far less than the dimensionality). Reducing to 100 dimensions ensures that S_W is invertible, enabling the solution of the generalized eigenvalue problem</w:t>
      </w:r>
      <w:r w:rsidR="00B46C67">
        <w:rPr>
          <w:rFonts w:asciiTheme="majorBidi" w:hAnsiTheme="majorBidi" w:cstheme="majorBidi"/>
        </w:rPr>
        <w:t xml:space="preserve"> </w:t>
      </w:r>
      <m:oMath>
        <m:r>
          <w:rPr>
            <w:rFonts w:ascii="Cambria Math" w:hAnsi="Cambria Math" w:cstheme="majorBidi"/>
          </w:rPr>
          <m:t>S</m:t>
        </m:r>
        <m:sSup>
          <m:sSupPr>
            <m:ctrlPr>
              <w:rPr>
                <w:rFonts w:ascii="Cambria Math" w:hAnsi="Cambria Math" w:cstheme="majorBidi"/>
                <w:i/>
              </w:rPr>
            </m:ctrlPr>
          </m:sSupPr>
          <m:e>
            <m:r>
              <w:rPr>
                <w:rFonts w:ascii="Cambria Math" w:hAnsi="Cambria Math" w:cstheme="majorBidi"/>
              </w:rPr>
              <m:t>W</m:t>
            </m:r>
          </m:e>
          <m:sup>
            <m:r>
              <w:rPr>
                <w:rFonts w:ascii="Cambria Math" w:hAnsi="Cambria Math" w:cstheme="majorBidi"/>
              </w:rPr>
              <m:t>-1</m:t>
            </m:r>
          </m:sup>
        </m:sSup>
        <m:sSub>
          <m:sSubPr>
            <m:ctrlPr>
              <w:rPr>
                <w:rFonts w:ascii="Cambria Math" w:hAnsi="Cambria Math" w:cstheme="majorBidi"/>
                <w:i/>
              </w:rPr>
            </m:ctrlPr>
          </m:sSubPr>
          <m:e>
            <m:r>
              <w:rPr>
                <w:rFonts w:ascii="Cambria Math" w:hAnsi="Cambria Math" w:cstheme="majorBidi"/>
              </w:rPr>
              <m:t>S</m:t>
            </m:r>
          </m:e>
          <m:sub>
            <m:r>
              <w:rPr>
                <w:rFonts w:ascii="Cambria Math" w:hAnsi="Cambria Math" w:cstheme="majorBidi"/>
              </w:rPr>
              <m:t>B</m:t>
            </m:r>
          </m:sub>
        </m:sSub>
        <m:r>
          <w:rPr>
            <w:rFonts w:ascii="Cambria Math" w:hAnsi="Cambria Math" w:cstheme="majorBidi"/>
          </w:rPr>
          <m:t>v=</m:t>
        </m:r>
        <m:r>
          <m:rPr>
            <m:sty m:val="p"/>
          </m:rPr>
          <w:rPr>
            <w:rFonts w:ascii="Cambria Math" w:hAnsi="Cambria Math" w:cstheme="majorBidi"/>
          </w:rPr>
          <m:t>λ</m:t>
        </m:r>
        <m:r>
          <w:rPr>
            <w:rFonts w:ascii="Cambria Math" w:hAnsi="Cambria Math" w:cstheme="majorBidi"/>
          </w:rPr>
          <m:t>v</m:t>
        </m:r>
      </m:oMath>
      <w:r w:rsidR="00B46C67">
        <w:rPr>
          <w:rFonts w:asciiTheme="majorBidi" w:hAnsiTheme="majorBidi" w:cstheme="majorBidi"/>
        </w:rPr>
        <w:t xml:space="preserve"> </w:t>
      </w:r>
      <w:r w:rsidRPr="007F71FD">
        <w:rPr>
          <w:rFonts w:asciiTheme="majorBidi" w:hAnsiTheme="majorBidi" w:cstheme="majorBidi"/>
        </w:rPr>
        <w:t>. Whitening was not applied, as it is not mathematically required for Fisher LDA. The optimization criterion (maximizing the ratio of between-class to within-class scatter) is inherently scale-invariant, and whitening would merely precondition the scatter matrices without changing the resulting discriminant directions.</w:t>
      </w:r>
    </w:p>
    <w:p w14:paraId="00B6F3EB" w14:textId="77777777" w:rsidR="00811149" w:rsidRPr="007F71FD" w:rsidRDefault="00811149" w:rsidP="00811149">
      <w:pPr>
        <w:spacing w:after="160" w:line="300" w:lineRule="auto"/>
        <w:ind w:left="2160"/>
        <w:jc w:val="both"/>
        <w:rPr>
          <w:rFonts w:asciiTheme="majorBidi" w:hAnsiTheme="majorBidi" w:cstheme="majorBidi"/>
        </w:rPr>
      </w:pPr>
    </w:p>
    <w:p w14:paraId="346B3993" w14:textId="77777777" w:rsidR="00666510" w:rsidRPr="007F71FD" w:rsidRDefault="00000000" w:rsidP="00811149">
      <w:pPr>
        <w:pStyle w:val="Heading3"/>
        <w:ind w:left="1440"/>
        <w:rPr>
          <w:rFonts w:asciiTheme="majorBidi" w:hAnsiTheme="majorBidi" w:cstheme="majorBidi"/>
          <w:color w:val="auto"/>
        </w:rPr>
      </w:pPr>
      <w:bookmarkStart w:id="46" w:name="_Toc221373875"/>
      <w:r w:rsidRPr="007F71FD">
        <w:rPr>
          <w:rFonts w:asciiTheme="majorBidi" w:hAnsiTheme="majorBidi" w:cstheme="majorBidi"/>
          <w:color w:val="auto"/>
        </w:rPr>
        <w:lastRenderedPageBreak/>
        <w:t>3.3.2 Scatter Matrices</w:t>
      </w:r>
      <w:bookmarkEnd w:id="46"/>
    </w:p>
    <w:p w14:paraId="108C9D5D" w14:textId="1A1EECF3" w:rsidR="00666510" w:rsidRPr="007F71FD" w:rsidRDefault="00000000" w:rsidP="006079CF">
      <w:pPr>
        <w:spacing w:after="160" w:line="300" w:lineRule="auto"/>
        <w:ind w:left="2160"/>
        <w:jc w:val="both"/>
        <w:rPr>
          <w:rFonts w:asciiTheme="majorBidi" w:hAnsiTheme="majorBidi" w:cstheme="majorBidi"/>
        </w:rPr>
      </w:pPr>
      <w:r w:rsidRPr="007F71FD">
        <w:rPr>
          <w:rFonts w:asciiTheme="majorBidi" w:hAnsiTheme="majorBidi" w:cstheme="majorBidi"/>
        </w:rPr>
        <w:t xml:space="preserve">The within-class scatter matrix </w:t>
      </w:r>
      <w:r w:rsidR="00EC4758" w:rsidRPr="00B46C67">
        <w:rPr>
          <w:rFonts w:asciiTheme="majorBidi" w:hAnsiTheme="majorBidi" w:cstheme="majorBidi"/>
        </w:rPr>
        <w:t>S</w:t>
      </w:r>
      <w:r w:rsidR="00EC4758">
        <w:rPr>
          <w:rFonts w:asciiTheme="majorBidi" w:hAnsiTheme="majorBidi" w:cstheme="majorBidi"/>
          <w:vertAlign w:val="subscript"/>
        </w:rPr>
        <w:t>W</w:t>
      </w:r>
      <w:r w:rsidRPr="007F71FD">
        <w:rPr>
          <w:rFonts w:asciiTheme="majorBidi" w:hAnsiTheme="majorBidi" w:cstheme="majorBidi"/>
        </w:rPr>
        <w:t xml:space="preserve"> (100×100) captures the spread of data points around their respective class means, while the between-class scatter matrix </w:t>
      </w:r>
      <w:r w:rsidR="008F094F">
        <w:rPr>
          <w:rFonts w:asciiTheme="majorBidi" w:hAnsiTheme="majorBidi" w:cstheme="majorBidi"/>
        </w:rPr>
        <w:t>S</w:t>
      </w:r>
      <w:r w:rsidR="008F094F">
        <w:rPr>
          <w:rFonts w:asciiTheme="majorBidi" w:hAnsiTheme="majorBidi" w:cstheme="majorBidi"/>
          <w:vertAlign w:val="subscript"/>
        </w:rPr>
        <w:t xml:space="preserve">B </w:t>
      </w:r>
      <w:r w:rsidRPr="007F71FD">
        <w:rPr>
          <w:rFonts w:asciiTheme="majorBidi" w:hAnsiTheme="majorBidi" w:cstheme="majorBidi"/>
        </w:rPr>
        <w:t xml:space="preserve">(100×100) captures the separation between class centroids relative to the global </w:t>
      </w:r>
      <w:proofErr w:type="gramStart"/>
      <w:r w:rsidRPr="007F71FD">
        <w:rPr>
          <w:rFonts w:asciiTheme="majorBidi" w:hAnsiTheme="majorBidi" w:cstheme="majorBidi"/>
        </w:rPr>
        <w:t>mean</w:t>
      </w:r>
      <w:proofErr w:type="gramEnd"/>
      <w:r w:rsidRPr="007F71FD">
        <w:rPr>
          <w:rFonts w:asciiTheme="majorBidi" w:hAnsiTheme="majorBidi" w:cstheme="majorBidi"/>
        </w:rPr>
        <w:t xml:space="preserve">. </w:t>
      </w:r>
      <w:r w:rsidR="00EC4758" w:rsidRPr="00B46C67">
        <w:rPr>
          <w:rFonts w:asciiTheme="majorBidi" w:hAnsiTheme="majorBidi" w:cstheme="majorBidi"/>
        </w:rPr>
        <w:t>S</w:t>
      </w:r>
      <w:r w:rsidR="00EC4758">
        <w:rPr>
          <w:rFonts w:asciiTheme="majorBidi" w:hAnsiTheme="majorBidi" w:cstheme="majorBidi"/>
          <w:vertAlign w:val="subscript"/>
        </w:rPr>
        <w:t>W</w:t>
      </w:r>
      <w:r w:rsidRPr="007F71FD">
        <w:rPr>
          <w:rFonts w:asciiTheme="majorBidi" w:hAnsiTheme="majorBidi" w:cstheme="majorBidi"/>
        </w:rPr>
        <w:t xml:space="preserve"> was found to have full rank (100) while </w:t>
      </w:r>
      <w:r w:rsidR="008F094F">
        <w:rPr>
          <w:rFonts w:asciiTheme="majorBidi" w:hAnsiTheme="majorBidi" w:cstheme="majorBidi"/>
        </w:rPr>
        <w:t>S</w:t>
      </w:r>
      <w:r w:rsidR="008F094F">
        <w:rPr>
          <w:rFonts w:asciiTheme="majorBidi" w:hAnsiTheme="majorBidi" w:cstheme="majorBidi"/>
          <w:vertAlign w:val="subscript"/>
        </w:rPr>
        <w:t>B</w:t>
      </w:r>
      <w:r w:rsidR="008F094F" w:rsidRPr="007F71FD">
        <w:rPr>
          <w:rFonts w:asciiTheme="majorBidi" w:hAnsiTheme="majorBidi" w:cstheme="majorBidi"/>
        </w:rPr>
        <w:t xml:space="preserve"> </w:t>
      </w:r>
      <w:r w:rsidRPr="007F71FD">
        <w:rPr>
          <w:rFonts w:asciiTheme="majorBidi" w:hAnsiTheme="majorBidi" w:cstheme="majorBidi"/>
        </w:rPr>
        <w:t xml:space="preserve">has rank 39, which equals the number of classes minus one (40 - 1 = 39). This rank constraint is fundamental: </w:t>
      </w:r>
      <w:r w:rsidR="008F094F">
        <w:rPr>
          <w:rFonts w:asciiTheme="majorBidi" w:hAnsiTheme="majorBidi" w:cstheme="majorBidi"/>
        </w:rPr>
        <w:t>S</w:t>
      </w:r>
      <w:r w:rsidR="008F094F">
        <w:rPr>
          <w:rFonts w:asciiTheme="majorBidi" w:hAnsiTheme="majorBidi" w:cstheme="majorBidi"/>
          <w:vertAlign w:val="subscript"/>
        </w:rPr>
        <w:t>B</w:t>
      </w:r>
      <w:r w:rsidR="008F094F" w:rsidRPr="007F71FD">
        <w:rPr>
          <w:rFonts w:asciiTheme="majorBidi" w:hAnsiTheme="majorBidi" w:cstheme="majorBidi"/>
        </w:rPr>
        <w:t xml:space="preserve"> </w:t>
      </w:r>
      <w:r w:rsidRPr="007F71FD">
        <w:rPr>
          <w:rFonts w:asciiTheme="majorBidi" w:hAnsiTheme="majorBidi" w:cstheme="majorBidi"/>
        </w:rPr>
        <w:t xml:space="preserve">is constructed from 40 outer products of </w:t>
      </w:r>
      <w:proofErr w:type="gramStart"/>
      <w:r w:rsidRPr="007F71FD">
        <w:rPr>
          <w:rFonts w:asciiTheme="majorBidi" w:hAnsiTheme="majorBidi" w:cstheme="majorBidi"/>
        </w:rPr>
        <w:t>class</w:t>
      </w:r>
      <w:proofErr w:type="gramEnd"/>
      <w:r w:rsidRPr="007F71FD">
        <w:rPr>
          <w:rFonts w:asciiTheme="majorBidi" w:hAnsiTheme="majorBidi" w:cstheme="majorBidi"/>
        </w:rPr>
        <w:t xml:space="preserve"> mean deviations, but these lie in a subspace of at most 39 dimensions (since the deviations sum to zero).</w:t>
      </w:r>
    </w:p>
    <w:p w14:paraId="7D7DADE8" w14:textId="77777777" w:rsidR="00666510" w:rsidRPr="007F71FD" w:rsidRDefault="00000000" w:rsidP="00811149">
      <w:pPr>
        <w:pStyle w:val="Heading3"/>
        <w:ind w:left="1440"/>
        <w:rPr>
          <w:rFonts w:asciiTheme="majorBidi" w:hAnsiTheme="majorBidi" w:cstheme="majorBidi"/>
          <w:color w:val="auto"/>
        </w:rPr>
      </w:pPr>
      <w:bookmarkStart w:id="47" w:name="_Toc221373876"/>
      <w:r w:rsidRPr="007F71FD">
        <w:rPr>
          <w:rFonts w:asciiTheme="majorBidi" w:hAnsiTheme="majorBidi" w:cstheme="majorBidi"/>
          <w:color w:val="auto"/>
        </w:rPr>
        <w:t>3.3.3 Eigenvalue Problem</w:t>
      </w:r>
      <w:bookmarkEnd w:id="47"/>
    </w:p>
    <w:p w14:paraId="5985952A" w14:textId="657F22A3" w:rsidR="00666510" w:rsidRPr="007F71FD" w:rsidRDefault="00C74369" w:rsidP="00DD2364">
      <w:pPr>
        <w:spacing w:after="160" w:line="300" w:lineRule="auto"/>
        <w:ind w:left="2160"/>
        <w:jc w:val="both"/>
        <w:rPr>
          <w:rFonts w:asciiTheme="majorBidi" w:hAnsiTheme="majorBidi" w:cstheme="majorBidi"/>
        </w:rPr>
      </w:pPr>
      <w:r w:rsidRPr="007F71FD">
        <w:rPr>
          <w:rFonts w:asciiTheme="majorBidi" w:hAnsiTheme="majorBidi" w:cstheme="majorBidi"/>
          <w:noProof/>
        </w:rPr>
        <w:drawing>
          <wp:anchor distT="0" distB="0" distL="114300" distR="114300" simplePos="0" relativeHeight="251660288" behindDoc="1" locked="0" layoutInCell="1" allowOverlap="1" wp14:anchorId="0C2D121C" wp14:editId="08CEF3C0">
            <wp:simplePos x="0" y="0"/>
            <wp:positionH relativeFrom="margin">
              <wp:posOffset>-498475</wp:posOffset>
            </wp:positionH>
            <wp:positionV relativeFrom="paragraph">
              <wp:posOffset>1416050</wp:posOffset>
            </wp:positionV>
            <wp:extent cx="6892925" cy="4072890"/>
            <wp:effectExtent l="0" t="0" r="3175" b="3810"/>
            <wp:wrapTight wrapText="bothSides">
              <wp:wrapPolygon edited="0">
                <wp:start x="0" y="0"/>
                <wp:lineTo x="0" y="21519"/>
                <wp:lineTo x="21550" y="21519"/>
                <wp:lineTo x="21550" y="0"/>
                <wp:lineTo x="0" y="0"/>
              </wp:wrapPolygon>
            </wp:wrapTight>
            <wp:docPr id="194219363" name="2_3_3_lda_eigenvalues.png" descr="2_3_3_lda_eigenvalues.png" title="2_3_3_lda_eigenvalu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892925" cy="4072890"/>
                    </a:xfrm>
                    <a:prstGeom prst="rect">
                      <a:avLst/>
                    </a:prstGeom>
                  </pic:spPr>
                </pic:pic>
              </a:graphicData>
            </a:graphic>
            <wp14:sizeRelH relativeFrom="margin">
              <wp14:pctWidth>0</wp14:pctWidth>
            </wp14:sizeRelH>
            <wp14:sizeRelV relativeFrom="margin">
              <wp14:pctHeight>0</wp14:pctHeight>
            </wp14:sizeRelV>
          </wp:anchor>
        </w:drawing>
      </w:r>
      <w:r w:rsidRPr="007F71FD">
        <w:rPr>
          <w:rFonts w:asciiTheme="majorBidi" w:hAnsiTheme="majorBidi" w:cstheme="majorBidi"/>
        </w:rPr>
        <w:t xml:space="preserve">The generalized eigenvalue problem </w:t>
      </w:r>
      <m:oMath>
        <m:r>
          <w:rPr>
            <w:rFonts w:ascii="Cambria Math" w:hAnsi="Cambria Math" w:cstheme="majorBidi"/>
          </w:rPr>
          <m:t>S</m:t>
        </m:r>
        <m:sSup>
          <m:sSupPr>
            <m:ctrlPr>
              <w:rPr>
                <w:rFonts w:ascii="Cambria Math" w:hAnsi="Cambria Math" w:cstheme="majorBidi"/>
                <w:i/>
              </w:rPr>
            </m:ctrlPr>
          </m:sSupPr>
          <m:e>
            <m:r>
              <w:rPr>
                <w:rFonts w:ascii="Cambria Math" w:hAnsi="Cambria Math" w:cstheme="majorBidi"/>
              </w:rPr>
              <m:t>W</m:t>
            </m:r>
          </m:e>
          <m:sup>
            <m:r>
              <w:rPr>
                <w:rFonts w:ascii="Cambria Math" w:hAnsi="Cambria Math" w:cstheme="majorBidi"/>
              </w:rPr>
              <m:t>-1</m:t>
            </m:r>
          </m:sup>
        </m:sSup>
        <m:sSub>
          <m:sSubPr>
            <m:ctrlPr>
              <w:rPr>
                <w:rFonts w:ascii="Cambria Math" w:hAnsi="Cambria Math" w:cstheme="majorBidi"/>
                <w:i/>
              </w:rPr>
            </m:ctrlPr>
          </m:sSubPr>
          <m:e>
            <m:r>
              <w:rPr>
                <w:rFonts w:ascii="Cambria Math" w:hAnsi="Cambria Math" w:cstheme="majorBidi"/>
              </w:rPr>
              <m:t>S</m:t>
            </m:r>
          </m:e>
          <m:sub>
            <m:r>
              <w:rPr>
                <w:rFonts w:ascii="Cambria Math" w:hAnsi="Cambria Math" w:cstheme="majorBidi"/>
              </w:rPr>
              <m:t>B</m:t>
            </m:r>
          </m:sub>
        </m:sSub>
        <m:r>
          <w:rPr>
            <w:rFonts w:ascii="Cambria Math" w:hAnsi="Cambria Math" w:cstheme="majorBidi"/>
          </w:rPr>
          <m:t>v=</m:t>
        </m:r>
        <m:r>
          <m:rPr>
            <m:sty m:val="p"/>
          </m:rPr>
          <w:rPr>
            <w:rFonts w:ascii="Cambria Math" w:hAnsi="Cambria Math" w:cstheme="majorBidi"/>
          </w:rPr>
          <m:t>λ</m:t>
        </m:r>
        <m:r>
          <w:rPr>
            <w:rFonts w:ascii="Cambria Math" w:hAnsi="Cambria Math" w:cstheme="majorBidi"/>
          </w:rPr>
          <m:t>v</m:t>
        </m:r>
        <m:r>
          <w:rPr>
            <w:rFonts w:ascii="Cambria Math" w:hAnsi="Cambria Math" w:cstheme="majorBidi"/>
          </w:rPr>
          <m:t xml:space="preserve"> </m:t>
        </m:r>
      </m:oMath>
      <w:r w:rsidRPr="007F71FD">
        <w:rPr>
          <w:rFonts w:asciiTheme="majorBidi" w:hAnsiTheme="majorBidi" w:cstheme="majorBidi"/>
        </w:rPr>
        <w:t>was solved, yielding 39 meaningful discriminant directions. The eigenvalues were sorted by absolute magnitude in descending order, as shown in Figure 15. The descending order is chosen because eigenvalues represent the ratio of between-class to within-class variance along each discriminant direction; larger eigenvalues correspond to directions of greater class separability.</w:t>
      </w:r>
    </w:p>
    <w:p w14:paraId="74B85E12" w14:textId="675C03BE" w:rsidR="00666510" w:rsidRPr="007F71FD" w:rsidRDefault="00666510">
      <w:pPr>
        <w:spacing w:before="120" w:after="40"/>
        <w:jc w:val="center"/>
        <w:rPr>
          <w:rFonts w:asciiTheme="majorBidi" w:hAnsiTheme="majorBidi" w:cstheme="majorBidi"/>
        </w:rPr>
      </w:pPr>
    </w:p>
    <w:p w14:paraId="5FFDD55E" w14:textId="77777777" w:rsidR="00666510" w:rsidRPr="007F71FD" w:rsidRDefault="00000000">
      <w:pPr>
        <w:spacing w:before="80" w:after="240"/>
        <w:jc w:val="center"/>
        <w:rPr>
          <w:rFonts w:asciiTheme="majorBidi" w:hAnsiTheme="majorBidi" w:cstheme="majorBidi"/>
        </w:rPr>
      </w:pPr>
      <w:r w:rsidRPr="007F71FD">
        <w:rPr>
          <w:rFonts w:asciiTheme="majorBidi" w:hAnsiTheme="majorBidi" w:cstheme="majorBidi"/>
          <w:i/>
          <w:iCs/>
          <w:sz w:val="20"/>
          <w:szCs w:val="20"/>
        </w:rPr>
        <w:t>Figure 15: LDA eigenvalues in descending order of magnitude.</w:t>
      </w:r>
    </w:p>
    <w:p w14:paraId="27EF68AB" w14:textId="77777777" w:rsidR="00666510" w:rsidRPr="007F71FD" w:rsidRDefault="00000000" w:rsidP="00CB11E4">
      <w:pPr>
        <w:pStyle w:val="Heading3"/>
        <w:ind w:left="720" w:firstLine="720"/>
        <w:rPr>
          <w:rFonts w:asciiTheme="majorBidi" w:hAnsiTheme="majorBidi" w:cstheme="majorBidi"/>
          <w:color w:val="auto"/>
        </w:rPr>
      </w:pPr>
      <w:bookmarkStart w:id="48" w:name="_Toc221373877"/>
      <w:r w:rsidRPr="007F71FD">
        <w:rPr>
          <w:rFonts w:asciiTheme="majorBidi" w:hAnsiTheme="majorBidi" w:cstheme="majorBidi"/>
          <w:color w:val="auto"/>
        </w:rPr>
        <w:lastRenderedPageBreak/>
        <w:t>3.3.4 Separability Analysis</w:t>
      </w:r>
      <w:bookmarkEnd w:id="48"/>
    </w:p>
    <w:p w14:paraId="268F22B8" w14:textId="40A0DA74" w:rsidR="00666510" w:rsidRPr="007F71FD" w:rsidRDefault="00000000" w:rsidP="00CB11E4">
      <w:pPr>
        <w:spacing w:after="160" w:line="300" w:lineRule="auto"/>
        <w:ind w:left="2160"/>
        <w:jc w:val="both"/>
        <w:rPr>
          <w:rFonts w:asciiTheme="majorBidi" w:hAnsiTheme="majorBidi" w:cstheme="majorBidi"/>
        </w:rPr>
      </w:pPr>
      <w:r w:rsidRPr="007F71FD">
        <w:rPr>
          <w:rFonts w:asciiTheme="majorBidi" w:hAnsiTheme="majorBidi" w:cstheme="majorBidi"/>
        </w:rPr>
        <w:t>The maximum number of discriminant components is constrained by</w:t>
      </w:r>
      <w:r w:rsidR="00A42833">
        <w:rPr>
          <w:rFonts w:asciiTheme="majorBidi" w:hAnsiTheme="majorBidi" w:cstheme="majorBidi"/>
        </w:rPr>
        <w:t xml:space="preserve"> </w:t>
      </w:r>
      <m:oMath>
        <m:r>
          <m:rPr>
            <m:nor/>
          </m:rPr>
          <w:rPr>
            <w:rFonts w:ascii="Cambria Math" w:hAnsi="Cambria Math" w:cstheme="majorBidi"/>
          </w:rPr>
          <m:t>min</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n</m:t>
                </m:r>
              </m:e>
              <m:sub>
                <m:r>
                  <m:rPr>
                    <m:nor/>
                  </m:rPr>
                  <w:rPr>
                    <w:rFonts w:ascii="Cambria Math" w:hAnsi="Cambria Math" w:cstheme="majorBidi"/>
                  </w:rPr>
                  <m:t>classes</m:t>
                </m:r>
              </m:sub>
            </m:sSub>
            <m:r>
              <w:rPr>
                <w:rFonts w:ascii="Cambria Math" w:hAnsi="Cambria Math" w:cstheme="majorBidi"/>
              </w:rPr>
              <m:t>-1,</m:t>
            </m:r>
            <m:sSub>
              <m:sSubPr>
                <m:ctrlPr>
                  <w:rPr>
                    <w:rFonts w:ascii="Cambria Math" w:hAnsi="Cambria Math" w:cstheme="majorBidi"/>
                    <w:i/>
                  </w:rPr>
                </m:ctrlPr>
              </m:sSubPr>
              <m:e>
                <m:r>
                  <w:rPr>
                    <w:rFonts w:ascii="Cambria Math" w:hAnsi="Cambria Math" w:cstheme="majorBidi"/>
                  </w:rPr>
                  <m:t>n</m:t>
                </m:r>
              </m:e>
              <m:sub>
                <m:r>
                  <m:rPr>
                    <m:nor/>
                  </m:rPr>
                  <w:rPr>
                    <w:rFonts w:ascii="Cambria Math" w:hAnsi="Cambria Math" w:cstheme="majorBidi"/>
                  </w:rPr>
                  <m:t>features</m:t>
                </m:r>
              </m:sub>
            </m:sSub>
          </m:e>
        </m:d>
        <m:r>
          <w:rPr>
            <w:rFonts w:ascii="Cambria Math" w:hAnsi="Cambria Math" w:cstheme="majorBidi"/>
          </w:rPr>
          <m:t>=</m:t>
        </m:r>
        <m:r>
          <m:rPr>
            <m:nor/>
          </m:rPr>
          <w:rPr>
            <w:rFonts w:ascii="Cambria Math" w:hAnsi="Cambria Math" w:cstheme="majorBidi"/>
          </w:rPr>
          <m:t>min</m:t>
        </m:r>
        <m:d>
          <m:dPr>
            <m:ctrlPr>
              <w:rPr>
                <w:rFonts w:ascii="Cambria Math" w:hAnsi="Cambria Math" w:cstheme="majorBidi"/>
                <w:i/>
              </w:rPr>
            </m:ctrlPr>
          </m:dPr>
          <m:e>
            <m:r>
              <w:rPr>
                <w:rFonts w:ascii="Cambria Math" w:hAnsi="Cambria Math" w:cstheme="majorBidi"/>
              </w:rPr>
              <m:t>39,100</m:t>
            </m:r>
          </m:e>
        </m:d>
        <m:r>
          <w:rPr>
            <w:rFonts w:ascii="Cambria Math" w:hAnsi="Cambria Math" w:cstheme="majorBidi"/>
          </w:rPr>
          <m:t>=39</m:t>
        </m:r>
      </m:oMath>
      <w:r w:rsidR="00A42833">
        <w:rPr>
          <w:rFonts w:asciiTheme="majorBidi" w:hAnsiTheme="majorBidi" w:cstheme="majorBidi"/>
        </w:rPr>
        <w:t xml:space="preserve"> </w:t>
      </w:r>
      <w:r w:rsidRPr="007F71FD">
        <w:rPr>
          <w:rFonts w:asciiTheme="majorBidi" w:hAnsiTheme="majorBidi" w:cstheme="majorBidi"/>
        </w:rPr>
        <w:t>. Figure 16 shows how a cumulative separability metric evolves with the number of retained discriminants.</w:t>
      </w:r>
    </w:p>
    <w:p w14:paraId="5C33A1F7" w14:textId="77777777" w:rsidR="00666510" w:rsidRPr="007F71FD" w:rsidRDefault="00000000">
      <w:pPr>
        <w:spacing w:before="120" w:after="40"/>
        <w:jc w:val="center"/>
        <w:rPr>
          <w:rFonts w:asciiTheme="majorBidi" w:hAnsiTheme="majorBidi" w:cstheme="majorBidi"/>
        </w:rPr>
      </w:pPr>
      <w:r w:rsidRPr="007F71FD">
        <w:rPr>
          <w:rFonts w:asciiTheme="majorBidi" w:hAnsiTheme="majorBidi" w:cstheme="majorBidi"/>
          <w:noProof/>
        </w:rPr>
        <w:drawing>
          <wp:inline distT="0" distB="0" distL="0" distR="0" wp14:anchorId="33F73BDE" wp14:editId="2EFB1073">
            <wp:extent cx="6283567" cy="3713018"/>
            <wp:effectExtent l="0" t="0" r="3175" b="1905"/>
            <wp:docPr id="1509997431" name="2_3_4_separability.png" descr="2_3_4_separability.png" title="2_3_4_separabi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300015" cy="3722737"/>
                    </a:xfrm>
                    <a:prstGeom prst="rect">
                      <a:avLst/>
                    </a:prstGeom>
                  </pic:spPr>
                </pic:pic>
              </a:graphicData>
            </a:graphic>
          </wp:inline>
        </w:drawing>
      </w:r>
    </w:p>
    <w:p w14:paraId="43D9789E" w14:textId="77777777" w:rsidR="00666510" w:rsidRPr="007F71FD" w:rsidRDefault="00000000">
      <w:pPr>
        <w:spacing w:before="80" w:after="240"/>
        <w:jc w:val="center"/>
        <w:rPr>
          <w:rFonts w:asciiTheme="majorBidi" w:hAnsiTheme="majorBidi" w:cstheme="majorBidi"/>
        </w:rPr>
      </w:pPr>
      <w:r w:rsidRPr="007F71FD">
        <w:rPr>
          <w:rFonts w:asciiTheme="majorBidi" w:hAnsiTheme="majorBidi" w:cstheme="majorBidi"/>
          <w:i/>
          <w:iCs/>
          <w:sz w:val="20"/>
          <w:szCs w:val="20"/>
        </w:rPr>
        <w:t>Figure 16: Cumulative separability metric as a function of retained LDA components.</w:t>
      </w:r>
    </w:p>
    <w:p w14:paraId="08F510DB" w14:textId="77777777" w:rsidR="00666510" w:rsidRDefault="00000000" w:rsidP="00C74369">
      <w:pPr>
        <w:spacing w:after="160" w:line="300" w:lineRule="auto"/>
        <w:ind w:left="2160"/>
        <w:jc w:val="both"/>
        <w:rPr>
          <w:rFonts w:asciiTheme="majorBidi" w:hAnsiTheme="majorBidi" w:cstheme="majorBidi"/>
        </w:rPr>
      </w:pPr>
      <w:r w:rsidRPr="007F71FD">
        <w:rPr>
          <w:rFonts w:asciiTheme="majorBidi" w:hAnsiTheme="majorBidi" w:cstheme="majorBidi"/>
        </w:rPr>
        <w:t>The separability metric shows rapid initial growth followed by diminishing returns. Selecting too few components discards discriminative information, while retaining too many introduces noisy or weakly discriminative directions that can degrade classifier performance. The interplay between intra-class variability (pose, expression, illumination changes across images of the same subject) and inter-class differences determines the effective dimensionality of the discriminant subspace.</w:t>
      </w:r>
    </w:p>
    <w:p w14:paraId="4CC51F53" w14:textId="77777777" w:rsidR="00762E0B" w:rsidRDefault="00762E0B" w:rsidP="00C74369">
      <w:pPr>
        <w:spacing w:after="160" w:line="300" w:lineRule="auto"/>
        <w:ind w:left="2160"/>
        <w:jc w:val="both"/>
        <w:rPr>
          <w:rFonts w:asciiTheme="majorBidi" w:hAnsiTheme="majorBidi" w:cstheme="majorBidi"/>
        </w:rPr>
      </w:pPr>
    </w:p>
    <w:p w14:paraId="26E1AB64" w14:textId="77777777" w:rsidR="00762E0B" w:rsidRDefault="00762E0B" w:rsidP="00C74369">
      <w:pPr>
        <w:spacing w:after="160" w:line="300" w:lineRule="auto"/>
        <w:ind w:left="2160"/>
        <w:jc w:val="both"/>
        <w:rPr>
          <w:rFonts w:asciiTheme="majorBidi" w:hAnsiTheme="majorBidi" w:cstheme="majorBidi"/>
        </w:rPr>
      </w:pPr>
    </w:p>
    <w:p w14:paraId="6D7198C5" w14:textId="77777777" w:rsidR="00762E0B" w:rsidRDefault="00762E0B" w:rsidP="00C74369">
      <w:pPr>
        <w:spacing w:after="160" w:line="300" w:lineRule="auto"/>
        <w:ind w:left="2160"/>
        <w:jc w:val="both"/>
        <w:rPr>
          <w:rFonts w:asciiTheme="majorBidi" w:hAnsiTheme="majorBidi" w:cstheme="majorBidi"/>
        </w:rPr>
      </w:pPr>
    </w:p>
    <w:p w14:paraId="43ADA6E6" w14:textId="77777777" w:rsidR="00762E0B" w:rsidRDefault="00762E0B" w:rsidP="00C74369">
      <w:pPr>
        <w:spacing w:after="160" w:line="300" w:lineRule="auto"/>
        <w:ind w:left="2160"/>
        <w:jc w:val="both"/>
        <w:rPr>
          <w:rFonts w:asciiTheme="majorBidi" w:hAnsiTheme="majorBidi" w:cstheme="majorBidi"/>
        </w:rPr>
      </w:pPr>
    </w:p>
    <w:p w14:paraId="5A42993B" w14:textId="77777777" w:rsidR="00762E0B" w:rsidRDefault="00762E0B" w:rsidP="00C74369">
      <w:pPr>
        <w:spacing w:after="160" w:line="300" w:lineRule="auto"/>
        <w:ind w:left="2160"/>
        <w:jc w:val="both"/>
        <w:rPr>
          <w:rFonts w:asciiTheme="majorBidi" w:hAnsiTheme="majorBidi" w:cstheme="majorBidi"/>
        </w:rPr>
      </w:pPr>
    </w:p>
    <w:p w14:paraId="1D712013" w14:textId="77777777" w:rsidR="00762E0B" w:rsidRPr="007F71FD" w:rsidRDefault="00762E0B" w:rsidP="00C74369">
      <w:pPr>
        <w:spacing w:after="160" w:line="300" w:lineRule="auto"/>
        <w:ind w:left="2160"/>
        <w:jc w:val="both"/>
        <w:rPr>
          <w:rFonts w:asciiTheme="majorBidi" w:hAnsiTheme="majorBidi" w:cstheme="majorBidi"/>
        </w:rPr>
      </w:pPr>
    </w:p>
    <w:p w14:paraId="3C9451AA" w14:textId="77777777" w:rsidR="00666510" w:rsidRPr="007F71FD" w:rsidRDefault="00000000" w:rsidP="00C74369">
      <w:pPr>
        <w:pStyle w:val="Heading3"/>
        <w:ind w:left="1440"/>
        <w:rPr>
          <w:rFonts w:asciiTheme="majorBidi" w:hAnsiTheme="majorBidi" w:cstheme="majorBidi"/>
          <w:color w:val="auto"/>
        </w:rPr>
      </w:pPr>
      <w:bookmarkStart w:id="49" w:name="_Toc221373878"/>
      <w:r w:rsidRPr="007F71FD">
        <w:rPr>
          <w:rFonts w:asciiTheme="majorBidi" w:hAnsiTheme="majorBidi" w:cstheme="majorBidi"/>
          <w:color w:val="auto"/>
        </w:rPr>
        <w:lastRenderedPageBreak/>
        <w:t>3.3.5 LDA Classification</w:t>
      </w:r>
      <w:bookmarkEnd w:id="49"/>
    </w:p>
    <w:p w14:paraId="0C68589F" w14:textId="7B34AC68" w:rsidR="006E604D" w:rsidRPr="007F71FD" w:rsidRDefault="00000000" w:rsidP="00CD7687">
      <w:pPr>
        <w:spacing w:after="160" w:line="300" w:lineRule="auto"/>
        <w:ind w:left="2160"/>
        <w:jc w:val="both"/>
        <w:rPr>
          <w:rFonts w:asciiTheme="majorBidi" w:hAnsiTheme="majorBidi" w:cstheme="majorBidi"/>
        </w:rPr>
      </w:pPr>
      <w:r w:rsidRPr="007F71FD">
        <w:rPr>
          <w:rFonts w:asciiTheme="majorBidi" w:hAnsiTheme="majorBidi" w:cstheme="majorBidi"/>
        </w:rPr>
        <w:t>Classification was evaluated across varying numbers of LDA components using the Nearest Centroid classifier. The results are presented in Table 12.</w:t>
      </w:r>
    </w:p>
    <w:p w14:paraId="367796F2" w14:textId="77777777" w:rsidR="00C74369" w:rsidRPr="007F71FD" w:rsidRDefault="00C74369" w:rsidP="00C74369">
      <w:pPr>
        <w:spacing w:after="160" w:line="300" w:lineRule="auto"/>
        <w:ind w:left="2160"/>
        <w:jc w:val="both"/>
        <w:rPr>
          <w:rFonts w:asciiTheme="majorBidi" w:hAnsiTheme="majorBidi" w:cstheme="majorBidi"/>
        </w:rPr>
      </w:pPr>
    </w:p>
    <w:tbl>
      <w:tblPr>
        <w:tblStyle w:val="GridTable7Colorful"/>
        <w:tblW w:w="9620" w:type="dxa"/>
        <w:tblLook w:val="0400" w:firstRow="0" w:lastRow="0" w:firstColumn="0" w:lastColumn="0" w:noHBand="0" w:noVBand="1"/>
      </w:tblPr>
      <w:tblGrid>
        <w:gridCol w:w="4810"/>
        <w:gridCol w:w="4810"/>
      </w:tblGrid>
      <w:tr w:rsidR="00A30EA2" w:rsidRPr="007F71FD" w14:paraId="16FE7E72" w14:textId="77777777" w:rsidTr="0083707D">
        <w:trPr>
          <w:cnfStyle w:val="000000100000" w:firstRow="0" w:lastRow="0" w:firstColumn="0" w:lastColumn="0" w:oddVBand="0" w:evenVBand="0" w:oddHBand="1" w:evenHBand="0" w:firstRowFirstColumn="0" w:firstRowLastColumn="0" w:lastRowFirstColumn="0" w:lastRowLastColumn="0"/>
          <w:trHeight w:val="329"/>
        </w:trPr>
        <w:tc>
          <w:tcPr>
            <w:tcW w:w="4810" w:type="dxa"/>
          </w:tcPr>
          <w:p w14:paraId="256958DD" w14:textId="77777777" w:rsidR="00666510" w:rsidRPr="007F71FD" w:rsidRDefault="00000000">
            <w:pPr>
              <w:jc w:val="center"/>
              <w:rPr>
                <w:rFonts w:asciiTheme="majorBidi" w:hAnsiTheme="majorBidi" w:cstheme="majorBidi"/>
                <w:color w:val="auto"/>
              </w:rPr>
            </w:pPr>
            <w:proofErr w:type="spellStart"/>
            <w:r w:rsidRPr="007F71FD">
              <w:rPr>
                <w:rFonts w:asciiTheme="majorBidi" w:hAnsiTheme="majorBidi" w:cstheme="majorBidi"/>
                <w:b/>
                <w:bCs/>
                <w:color w:val="auto"/>
                <w:sz w:val="20"/>
                <w:szCs w:val="20"/>
              </w:rPr>
              <w:t>n_LDA</w:t>
            </w:r>
            <w:proofErr w:type="spellEnd"/>
          </w:p>
        </w:tc>
        <w:tc>
          <w:tcPr>
            <w:tcW w:w="4810" w:type="dxa"/>
          </w:tcPr>
          <w:p w14:paraId="5582D3A7"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b/>
                <w:bCs/>
                <w:color w:val="auto"/>
                <w:sz w:val="20"/>
                <w:szCs w:val="20"/>
              </w:rPr>
              <w:t>Accuracy</w:t>
            </w:r>
          </w:p>
        </w:tc>
      </w:tr>
      <w:tr w:rsidR="00A30EA2" w:rsidRPr="007F71FD" w14:paraId="5C17889A" w14:textId="77777777" w:rsidTr="0083707D">
        <w:trPr>
          <w:trHeight w:val="329"/>
        </w:trPr>
        <w:tc>
          <w:tcPr>
            <w:tcW w:w="4810" w:type="dxa"/>
          </w:tcPr>
          <w:p w14:paraId="3C45878C"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5</w:t>
            </w:r>
          </w:p>
        </w:tc>
        <w:tc>
          <w:tcPr>
            <w:tcW w:w="4810" w:type="dxa"/>
          </w:tcPr>
          <w:p w14:paraId="526DDF2C"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0.6000</w:t>
            </w:r>
          </w:p>
        </w:tc>
      </w:tr>
      <w:tr w:rsidR="00A30EA2" w:rsidRPr="007F71FD" w14:paraId="0A831141" w14:textId="77777777" w:rsidTr="0083707D">
        <w:trPr>
          <w:cnfStyle w:val="000000100000" w:firstRow="0" w:lastRow="0" w:firstColumn="0" w:lastColumn="0" w:oddVBand="0" w:evenVBand="0" w:oddHBand="1" w:evenHBand="0" w:firstRowFirstColumn="0" w:firstRowLastColumn="0" w:lastRowFirstColumn="0" w:lastRowLastColumn="0"/>
          <w:trHeight w:val="329"/>
        </w:trPr>
        <w:tc>
          <w:tcPr>
            <w:tcW w:w="4810" w:type="dxa"/>
          </w:tcPr>
          <w:p w14:paraId="0DE0722F"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10</w:t>
            </w:r>
          </w:p>
        </w:tc>
        <w:tc>
          <w:tcPr>
            <w:tcW w:w="4810" w:type="dxa"/>
          </w:tcPr>
          <w:p w14:paraId="768940AD"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0.8500</w:t>
            </w:r>
          </w:p>
        </w:tc>
      </w:tr>
      <w:tr w:rsidR="00A30EA2" w:rsidRPr="007F71FD" w14:paraId="7C0E09A0" w14:textId="77777777" w:rsidTr="0083707D">
        <w:trPr>
          <w:trHeight w:val="329"/>
        </w:trPr>
        <w:tc>
          <w:tcPr>
            <w:tcW w:w="4810" w:type="dxa"/>
          </w:tcPr>
          <w:p w14:paraId="6139AD5F"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15</w:t>
            </w:r>
          </w:p>
        </w:tc>
        <w:tc>
          <w:tcPr>
            <w:tcW w:w="4810" w:type="dxa"/>
          </w:tcPr>
          <w:p w14:paraId="7CBD0FA4"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0.8750</w:t>
            </w:r>
          </w:p>
        </w:tc>
      </w:tr>
      <w:tr w:rsidR="00A30EA2" w:rsidRPr="007F71FD" w14:paraId="1A34CEFA" w14:textId="77777777" w:rsidTr="0083707D">
        <w:trPr>
          <w:cnfStyle w:val="000000100000" w:firstRow="0" w:lastRow="0" w:firstColumn="0" w:lastColumn="0" w:oddVBand="0" w:evenVBand="0" w:oddHBand="1" w:evenHBand="0" w:firstRowFirstColumn="0" w:firstRowLastColumn="0" w:lastRowFirstColumn="0" w:lastRowLastColumn="0"/>
          <w:trHeight w:val="329"/>
        </w:trPr>
        <w:tc>
          <w:tcPr>
            <w:tcW w:w="4810" w:type="dxa"/>
          </w:tcPr>
          <w:p w14:paraId="4194337D"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20</w:t>
            </w:r>
          </w:p>
        </w:tc>
        <w:tc>
          <w:tcPr>
            <w:tcW w:w="4810" w:type="dxa"/>
          </w:tcPr>
          <w:p w14:paraId="6D881FB2"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0.8750</w:t>
            </w:r>
          </w:p>
        </w:tc>
      </w:tr>
      <w:tr w:rsidR="00A30EA2" w:rsidRPr="007F71FD" w14:paraId="28B7D213" w14:textId="77777777" w:rsidTr="0083707D">
        <w:trPr>
          <w:trHeight w:val="329"/>
        </w:trPr>
        <w:tc>
          <w:tcPr>
            <w:tcW w:w="4810" w:type="dxa"/>
          </w:tcPr>
          <w:p w14:paraId="76F50217"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25</w:t>
            </w:r>
          </w:p>
        </w:tc>
        <w:tc>
          <w:tcPr>
            <w:tcW w:w="4810" w:type="dxa"/>
          </w:tcPr>
          <w:p w14:paraId="305E322E"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0.8500</w:t>
            </w:r>
          </w:p>
        </w:tc>
      </w:tr>
      <w:tr w:rsidR="00A30EA2" w:rsidRPr="007F71FD" w14:paraId="3A3BF186" w14:textId="77777777" w:rsidTr="0083707D">
        <w:trPr>
          <w:cnfStyle w:val="000000100000" w:firstRow="0" w:lastRow="0" w:firstColumn="0" w:lastColumn="0" w:oddVBand="0" w:evenVBand="0" w:oddHBand="1" w:evenHBand="0" w:firstRowFirstColumn="0" w:firstRowLastColumn="0" w:lastRowFirstColumn="0" w:lastRowLastColumn="0"/>
          <w:trHeight w:val="329"/>
        </w:trPr>
        <w:tc>
          <w:tcPr>
            <w:tcW w:w="4810" w:type="dxa"/>
          </w:tcPr>
          <w:p w14:paraId="2F02E1B2"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30</w:t>
            </w:r>
          </w:p>
        </w:tc>
        <w:tc>
          <w:tcPr>
            <w:tcW w:w="4810" w:type="dxa"/>
          </w:tcPr>
          <w:p w14:paraId="1C992562"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0.8750</w:t>
            </w:r>
          </w:p>
        </w:tc>
      </w:tr>
      <w:tr w:rsidR="00A30EA2" w:rsidRPr="007F71FD" w14:paraId="03AB1FAF" w14:textId="77777777" w:rsidTr="0083707D">
        <w:trPr>
          <w:trHeight w:val="329"/>
        </w:trPr>
        <w:tc>
          <w:tcPr>
            <w:tcW w:w="4810" w:type="dxa"/>
          </w:tcPr>
          <w:p w14:paraId="28AD821D"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35</w:t>
            </w:r>
          </w:p>
        </w:tc>
        <w:tc>
          <w:tcPr>
            <w:tcW w:w="4810" w:type="dxa"/>
          </w:tcPr>
          <w:p w14:paraId="2365639C"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0.8500</w:t>
            </w:r>
          </w:p>
        </w:tc>
      </w:tr>
    </w:tbl>
    <w:p w14:paraId="56EB1F0A" w14:textId="77777777" w:rsidR="00666510" w:rsidRPr="007F71FD" w:rsidRDefault="00000000">
      <w:pPr>
        <w:spacing w:before="80" w:after="240"/>
        <w:jc w:val="center"/>
        <w:rPr>
          <w:rFonts w:asciiTheme="majorBidi" w:hAnsiTheme="majorBidi" w:cstheme="majorBidi"/>
        </w:rPr>
      </w:pPr>
      <w:r w:rsidRPr="007F71FD">
        <w:rPr>
          <w:rFonts w:asciiTheme="majorBidi" w:hAnsiTheme="majorBidi" w:cstheme="majorBidi"/>
          <w:i/>
          <w:iCs/>
          <w:sz w:val="20"/>
          <w:szCs w:val="20"/>
        </w:rPr>
        <w:t>Table 12: LDA classification accuracy versus number of discriminant components.</w:t>
      </w:r>
    </w:p>
    <w:p w14:paraId="1512B1C1" w14:textId="77777777" w:rsidR="00666510" w:rsidRPr="007F71FD" w:rsidRDefault="00000000">
      <w:pPr>
        <w:spacing w:before="120" w:after="40"/>
        <w:jc w:val="center"/>
        <w:rPr>
          <w:rFonts w:asciiTheme="majorBidi" w:hAnsiTheme="majorBidi" w:cstheme="majorBidi"/>
        </w:rPr>
      </w:pPr>
      <w:r w:rsidRPr="007F71FD">
        <w:rPr>
          <w:rFonts w:asciiTheme="majorBidi" w:hAnsiTheme="majorBidi" w:cstheme="majorBidi"/>
          <w:noProof/>
        </w:rPr>
        <w:drawing>
          <wp:inline distT="0" distB="0" distL="0" distR="0" wp14:anchorId="2C03A5F4" wp14:editId="19156A1E">
            <wp:extent cx="6064610" cy="2985654"/>
            <wp:effectExtent l="0" t="0" r="0" b="5715"/>
            <wp:docPr id="2014811380" name="2_2_4_lda_classification_accuracy_vs_number_of_discriminants.png" descr="2_2_4_lda_classification_accuracy_vs_number_of_discriminants.png" title="2_2_4_lda_classification_accuracy_vs_number_of_discrimina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068872" cy="2987752"/>
                    </a:xfrm>
                    <a:prstGeom prst="rect">
                      <a:avLst/>
                    </a:prstGeom>
                  </pic:spPr>
                </pic:pic>
              </a:graphicData>
            </a:graphic>
          </wp:inline>
        </w:drawing>
      </w:r>
    </w:p>
    <w:p w14:paraId="0939FAE7" w14:textId="77777777" w:rsidR="00666510" w:rsidRPr="007F71FD" w:rsidRDefault="00000000">
      <w:pPr>
        <w:spacing w:before="80" w:after="240"/>
        <w:jc w:val="center"/>
        <w:rPr>
          <w:rFonts w:asciiTheme="majorBidi" w:hAnsiTheme="majorBidi" w:cstheme="majorBidi"/>
        </w:rPr>
      </w:pPr>
      <w:r w:rsidRPr="007F71FD">
        <w:rPr>
          <w:rFonts w:asciiTheme="majorBidi" w:hAnsiTheme="majorBidi" w:cstheme="majorBidi"/>
          <w:i/>
          <w:iCs/>
          <w:sz w:val="20"/>
          <w:szCs w:val="20"/>
        </w:rPr>
        <w:t>Figure 17: LDA classification accuracy versus number of discriminant components.</w:t>
      </w:r>
    </w:p>
    <w:p w14:paraId="105B35D4" w14:textId="77777777" w:rsidR="00666510" w:rsidRPr="007F71FD" w:rsidRDefault="00000000" w:rsidP="005E3F1D">
      <w:pPr>
        <w:spacing w:after="160" w:line="300" w:lineRule="auto"/>
        <w:ind w:left="2160"/>
        <w:jc w:val="both"/>
        <w:rPr>
          <w:rFonts w:asciiTheme="majorBidi" w:hAnsiTheme="majorBidi" w:cstheme="majorBidi"/>
        </w:rPr>
      </w:pPr>
      <w:r w:rsidRPr="007F71FD">
        <w:rPr>
          <w:rFonts w:asciiTheme="majorBidi" w:hAnsiTheme="majorBidi" w:cstheme="majorBidi"/>
        </w:rPr>
        <w:t>The best LDA-only accuracy of 87.50% is achieved at 15 components, after which performance oscillates without improvement. The diminishing returns analysis reveals a significant jump from 5 to 10 components (+25.0 percentage points), a marginal improvement from 10 to 15 (+2.5 points), and no systematic improvement thereafter. This pattern indicates that the first 10–15 discriminant directions capture the bulk of inter-class separability, while higher-order components introduce directions that do not contribute meaningful discriminative information and may instead introduce noise.</w:t>
      </w:r>
    </w:p>
    <w:p w14:paraId="162CCB8D" w14:textId="77777777" w:rsidR="00666510" w:rsidRPr="007F71FD" w:rsidRDefault="00000000">
      <w:pPr>
        <w:spacing w:before="120" w:after="40"/>
        <w:jc w:val="center"/>
        <w:rPr>
          <w:rFonts w:asciiTheme="majorBidi" w:hAnsiTheme="majorBidi" w:cstheme="majorBidi"/>
        </w:rPr>
      </w:pPr>
      <w:r w:rsidRPr="007F71FD">
        <w:rPr>
          <w:rFonts w:asciiTheme="majorBidi" w:hAnsiTheme="majorBidi" w:cstheme="majorBidi"/>
          <w:noProof/>
        </w:rPr>
        <w:lastRenderedPageBreak/>
        <w:drawing>
          <wp:inline distT="0" distB="0" distL="0" distR="0" wp14:anchorId="2BCCF73F" wp14:editId="38D2376D">
            <wp:extent cx="4561609" cy="4264113"/>
            <wp:effectExtent l="0" t="0" r="0" b="3175"/>
            <wp:docPr id="1958611444" name="2_confusion_matrix_lda,_n=15.png" descr="2_confusion_matrix_lda,_n=15.png" title="2_confusion_matrix_lda,_n=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564046" cy="4266391"/>
                    </a:xfrm>
                    <a:prstGeom prst="rect">
                      <a:avLst/>
                    </a:prstGeom>
                  </pic:spPr>
                </pic:pic>
              </a:graphicData>
            </a:graphic>
          </wp:inline>
        </w:drawing>
      </w:r>
    </w:p>
    <w:p w14:paraId="4F89A947" w14:textId="77777777" w:rsidR="00666510" w:rsidRPr="007F71FD" w:rsidRDefault="00000000">
      <w:pPr>
        <w:spacing w:before="80" w:after="240"/>
        <w:jc w:val="center"/>
        <w:rPr>
          <w:rFonts w:asciiTheme="majorBidi" w:hAnsiTheme="majorBidi" w:cstheme="majorBidi"/>
        </w:rPr>
      </w:pPr>
      <w:r w:rsidRPr="007F71FD">
        <w:rPr>
          <w:rFonts w:asciiTheme="majorBidi" w:hAnsiTheme="majorBidi" w:cstheme="majorBidi"/>
          <w:i/>
          <w:iCs/>
          <w:sz w:val="20"/>
          <w:szCs w:val="20"/>
        </w:rPr>
        <w:t>Figure 18: Confusion matrix for LDA classification with 15 discriminant components.</w:t>
      </w:r>
    </w:p>
    <w:p w14:paraId="6F2FE673" w14:textId="77777777" w:rsidR="00666510" w:rsidRPr="007F71FD" w:rsidRDefault="00000000" w:rsidP="00C971F4">
      <w:pPr>
        <w:pStyle w:val="Heading2"/>
        <w:ind w:firstLine="720"/>
        <w:rPr>
          <w:rFonts w:asciiTheme="majorBidi" w:hAnsiTheme="majorBidi" w:cstheme="majorBidi"/>
          <w:color w:val="auto"/>
        </w:rPr>
      </w:pPr>
      <w:bookmarkStart w:id="50" w:name="_Toc221373879"/>
      <w:r w:rsidRPr="007F71FD">
        <w:rPr>
          <w:rFonts w:asciiTheme="majorBidi" w:hAnsiTheme="majorBidi" w:cstheme="majorBidi"/>
          <w:color w:val="auto"/>
        </w:rPr>
        <w:t>3.4 Comparative Summary</w:t>
      </w:r>
      <w:bookmarkEnd w:id="50"/>
    </w:p>
    <w:tbl>
      <w:tblPr>
        <w:tblStyle w:val="GridTable7Colorful"/>
        <w:tblW w:w="9489" w:type="dxa"/>
        <w:tblLook w:val="0400" w:firstRow="0" w:lastRow="0" w:firstColumn="0" w:lastColumn="0" w:noHBand="0" w:noVBand="1"/>
      </w:tblPr>
      <w:tblGrid>
        <w:gridCol w:w="3163"/>
        <w:gridCol w:w="3163"/>
        <w:gridCol w:w="3163"/>
      </w:tblGrid>
      <w:tr w:rsidR="00A30EA2" w:rsidRPr="007F71FD" w14:paraId="402CD4AA" w14:textId="77777777" w:rsidTr="00CC6F31">
        <w:trPr>
          <w:cnfStyle w:val="000000100000" w:firstRow="0" w:lastRow="0" w:firstColumn="0" w:lastColumn="0" w:oddVBand="0" w:evenVBand="0" w:oddHBand="1" w:evenHBand="0" w:firstRowFirstColumn="0" w:firstRowLastColumn="0" w:lastRowFirstColumn="0" w:lastRowLastColumn="0"/>
          <w:trHeight w:val="376"/>
        </w:trPr>
        <w:tc>
          <w:tcPr>
            <w:tcW w:w="3163" w:type="dxa"/>
          </w:tcPr>
          <w:p w14:paraId="1BA8CBEE"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b/>
                <w:bCs/>
                <w:color w:val="auto"/>
                <w:sz w:val="20"/>
                <w:szCs w:val="20"/>
              </w:rPr>
              <w:t>Method</w:t>
            </w:r>
          </w:p>
        </w:tc>
        <w:tc>
          <w:tcPr>
            <w:tcW w:w="3163" w:type="dxa"/>
          </w:tcPr>
          <w:p w14:paraId="35A43092"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b/>
                <w:bCs/>
                <w:color w:val="auto"/>
                <w:sz w:val="20"/>
                <w:szCs w:val="20"/>
              </w:rPr>
              <w:t>Best Accuracy</w:t>
            </w:r>
          </w:p>
        </w:tc>
        <w:tc>
          <w:tcPr>
            <w:tcW w:w="3163" w:type="dxa"/>
          </w:tcPr>
          <w:p w14:paraId="76E812F9"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b/>
                <w:bCs/>
                <w:color w:val="auto"/>
                <w:sz w:val="20"/>
                <w:szCs w:val="20"/>
              </w:rPr>
              <w:t>Best Config.</w:t>
            </w:r>
          </w:p>
        </w:tc>
      </w:tr>
      <w:tr w:rsidR="00A30EA2" w:rsidRPr="007F71FD" w14:paraId="0395D45C" w14:textId="77777777" w:rsidTr="00CC6F31">
        <w:trPr>
          <w:trHeight w:val="376"/>
        </w:trPr>
        <w:tc>
          <w:tcPr>
            <w:tcW w:w="3163" w:type="dxa"/>
          </w:tcPr>
          <w:p w14:paraId="12E7617E"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PCA + Bayesian</w:t>
            </w:r>
          </w:p>
        </w:tc>
        <w:tc>
          <w:tcPr>
            <w:tcW w:w="3163" w:type="dxa"/>
          </w:tcPr>
          <w:p w14:paraId="5193C92F"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100.0%</w:t>
            </w:r>
          </w:p>
        </w:tc>
        <w:tc>
          <w:tcPr>
            <w:tcW w:w="3163" w:type="dxa"/>
          </w:tcPr>
          <w:p w14:paraId="2D99E292"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50 components</w:t>
            </w:r>
          </w:p>
        </w:tc>
      </w:tr>
      <w:tr w:rsidR="00A30EA2" w:rsidRPr="007F71FD" w14:paraId="4C87BDE1" w14:textId="77777777" w:rsidTr="00CC6F31">
        <w:trPr>
          <w:cnfStyle w:val="000000100000" w:firstRow="0" w:lastRow="0" w:firstColumn="0" w:lastColumn="0" w:oddVBand="0" w:evenVBand="0" w:oddHBand="1" w:evenHBand="0" w:firstRowFirstColumn="0" w:firstRowLastColumn="0" w:lastRowFirstColumn="0" w:lastRowLastColumn="0"/>
          <w:trHeight w:val="376"/>
        </w:trPr>
        <w:tc>
          <w:tcPr>
            <w:tcW w:w="3163" w:type="dxa"/>
          </w:tcPr>
          <w:p w14:paraId="26006E51"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PCA + LDA + Centroid</w:t>
            </w:r>
          </w:p>
        </w:tc>
        <w:tc>
          <w:tcPr>
            <w:tcW w:w="3163" w:type="dxa"/>
          </w:tcPr>
          <w:p w14:paraId="7994E94C"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95.0%</w:t>
            </w:r>
          </w:p>
        </w:tc>
        <w:tc>
          <w:tcPr>
            <w:tcW w:w="3163" w:type="dxa"/>
          </w:tcPr>
          <w:p w14:paraId="60C6FA93"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150 PCA dims</w:t>
            </w:r>
          </w:p>
        </w:tc>
      </w:tr>
      <w:tr w:rsidR="00A30EA2" w:rsidRPr="007F71FD" w14:paraId="38330CB7" w14:textId="77777777" w:rsidTr="00CC6F31">
        <w:trPr>
          <w:trHeight w:val="376"/>
        </w:trPr>
        <w:tc>
          <w:tcPr>
            <w:tcW w:w="3163" w:type="dxa"/>
          </w:tcPr>
          <w:p w14:paraId="0E8C50D6"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LDA-only + Centroid</w:t>
            </w:r>
          </w:p>
        </w:tc>
        <w:tc>
          <w:tcPr>
            <w:tcW w:w="3163" w:type="dxa"/>
          </w:tcPr>
          <w:p w14:paraId="3805CB07"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87.5%</w:t>
            </w:r>
          </w:p>
        </w:tc>
        <w:tc>
          <w:tcPr>
            <w:tcW w:w="3163" w:type="dxa"/>
          </w:tcPr>
          <w:p w14:paraId="514AA89A" w14:textId="77777777" w:rsidR="00666510" w:rsidRPr="007F71FD" w:rsidRDefault="00000000">
            <w:pPr>
              <w:jc w:val="center"/>
              <w:rPr>
                <w:rFonts w:asciiTheme="majorBidi" w:hAnsiTheme="majorBidi" w:cstheme="majorBidi"/>
                <w:color w:val="auto"/>
              </w:rPr>
            </w:pPr>
            <w:r w:rsidRPr="007F71FD">
              <w:rPr>
                <w:rFonts w:asciiTheme="majorBidi" w:hAnsiTheme="majorBidi" w:cstheme="majorBidi"/>
                <w:color w:val="auto"/>
                <w:sz w:val="20"/>
                <w:szCs w:val="20"/>
              </w:rPr>
              <w:t>15 components</w:t>
            </w:r>
          </w:p>
        </w:tc>
      </w:tr>
    </w:tbl>
    <w:p w14:paraId="197B8A1F" w14:textId="77777777" w:rsidR="00666510" w:rsidRPr="007F71FD" w:rsidRDefault="00000000">
      <w:pPr>
        <w:spacing w:before="80" w:after="240"/>
        <w:jc w:val="center"/>
        <w:rPr>
          <w:rFonts w:asciiTheme="majorBidi" w:hAnsiTheme="majorBidi" w:cstheme="majorBidi"/>
        </w:rPr>
      </w:pPr>
      <w:r w:rsidRPr="007F71FD">
        <w:rPr>
          <w:rFonts w:asciiTheme="majorBidi" w:hAnsiTheme="majorBidi" w:cstheme="majorBidi"/>
          <w:i/>
          <w:iCs/>
          <w:sz w:val="20"/>
          <w:szCs w:val="20"/>
        </w:rPr>
        <w:t>Table 13: Summary of best face recognition performance across methods.</w:t>
      </w:r>
    </w:p>
    <w:p w14:paraId="336E7F3C" w14:textId="77777777" w:rsidR="00666510" w:rsidRPr="007F71FD" w:rsidRDefault="00000000" w:rsidP="00C971F4">
      <w:pPr>
        <w:spacing w:after="160" w:line="300" w:lineRule="auto"/>
        <w:ind w:left="1440"/>
        <w:jc w:val="both"/>
        <w:rPr>
          <w:rFonts w:asciiTheme="majorBidi" w:hAnsiTheme="majorBidi" w:cstheme="majorBidi"/>
        </w:rPr>
      </w:pPr>
      <w:r w:rsidRPr="007F71FD">
        <w:rPr>
          <w:rFonts w:asciiTheme="majorBidi" w:hAnsiTheme="majorBidi" w:cstheme="majorBidi"/>
        </w:rPr>
        <w:t>PCA combined with a Bayesian classifier achieves the highest recognition accuracy (100%) at 50 components, demonstrating that an appropriate probabilistic classifier can fully exploit the variance-preserving subspace learned by PCA. The PCA+LDA pipeline provides moderate improvement over PCA alone but does not surpass the Bayesian approach. The LDA-only approach yields the lowest accuracy (87.5%), likely because the PCA preprocessing for LDA (reducing to 100 dimensions before LDA) represents a more aggressive bottleneck and the Nearest Centroid classifier is less powerful than the Bayesian alternative.</w:t>
      </w:r>
    </w:p>
    <w:p w14:paraId="3113EE93" w14:textId="77777777" w:rsidR="00666510" w:rsidRPr="007F71FD" w:rsidRDefault="00000000">
      <w:pPr>
        <w:rPr>
          <w:rFonts w:asciiTheme="majorBidi" w:hAnsiTheme="majorBidi" w:cstheme="majorBidi"/>
        </w:rPr>
      </w:pPr>
      <w:r w:rsidRPr="007F71FD">
        <w:rPr>
          <w:rFonts w:asciiTheme="majorBidi" w:hAnsiTheme="majorBidi" w:cstheme="majorBidi"/>
        </w:rPr>
        <w:br w:type="page"/>
      </w:r>
    </w:p>
    <w:p w14:paraId="64B445B5" w14:textId="77777777" w:rsidR="00666510" w:rsidRPr="007F71FD" w:rsidRDefault="00000000" w:rsidP="001F6CC5">
      <w:pPr>
        <w:pStyle w:val="Heading1"/>
        <w:rPr>
          <w:rFonts w:asciiTheme="majorBidi" w:hAnsiTheme="majorBidi" w:cstheme="majorBidi"/>
          <w:color w:val="auto"/>
        </w:rPr>
      </w:pPr>
      <w:bookmarkStart w:id="51" w:name="_Toc221373880"/>
      <w:r w:rsidRPr="007F71FD">
        <w:rPr>
          <w:rFonts w:asciiTheme="majorBidi" w:hAnsiTheme="majorBidi" w:cstheme="majorBidi"/>
          <w:color w:val="auto"/>
        </w:rPr>
        <w:lastRenderedPageBreak/>
        <w:t>4. Conclusion</w:t>
      </w:r>
      <w:bookmarkEnd w:id="51"/>
    </w:p>
    <w:p w14:paraId="72E31574" w14:textId="77777777" w:rsidR="00666510" w:rsidRPr="007F71FD" w:rsidRDefault="00000000" w:rsidP="001F6CC5">
      <w:pPr>
        <w:spacing w:after="160" w:line="300" w:lineRule="auto"/>
        <w:ind w:left="720"/>
        <w:jc w:val="both"/>
        <w:rPr>
          <w:rFonts w:asciiTheme="majorBidi" w:hAnsiTheme="majorBidi" w:cstheme="majorBidi"/>
        </w:rPr>
      </w:pPr>
      <w:r w:rsidRPr="007F71FD">
        <w:rPr>
          <w:rFonts w:asciiTheme="majorBidi" w:hAnsiTheme="majorBidi" w:cstheme="majorBidi"/>
        </w:rPr>
        <w:t xml:space="preserve">This report investigated Bayesian classification and dimensionality reduction through rigorous implementation and analysis. In the binary classification task on the Breast Cancer Wisconsin dataset, LDA and QDA achieved identical test accuracies of 93.81%, outperforming Gaussian Naive Bayes (91.15%). The conditional independence assumption of GNB was shown to be a meaningful limitation in the presence of strongly correlated features. Covariance matrix analysis revealed severe ill-conditioning (condition number of </w:t>
      </w:r>
      <w:proofErr w:type="gramStart"/>
      <w:r w:rsidRPr="007F71FD">
        <w:rPr>
          <w:rFonts w:asciiTheme="majorBidi" w:hAnsiTheme="majorBidi" w:cstheme="majorBidi"/>
        </w:rPr>
        <w:t>6.18×10¹¹</w:t>
      </w:r>
      <w:proofErr w:type="gramEnd"/>
      <w:r w:rsidRPr="007F71FD">
        <w:rPr>
          <w:rFonts w:asciiTheme="majorBidi" w:hAnsiTheme="majorBidi" w:cstheme="majorBidi"/>
        </w:rPr>
        <w:t>) despite full rank, underscoring the critical distinction between mathematical non-singularity and numerical stability. Variance-based feature elimination provided modest improvement in conditioning but was insufficient as a standalone remedy.</w:t>
      </w:r>
    </w:p>
    <w:p w14:paraId="0CBB0824" w14:textId="77777777" w:rsidR="00666510" w:rsidRPr="007F71FD" w:rsidRDefault="00000000" w:rsidP="001F6CC5">
      <w:pPr>
        <w:spacing w:after="160" w:line="300" w:lineRule="auto"/>
        <w:ind w:left="720"/>
        <w:jc w:val="both"/>
        <w:rPr>
          <w:rFonts w:asciiTheme="majorBidi" w:hAnsiTheme="majorBidi" w:cstheme="majorBidi"/>
        </w:rPr>
      </w:pPr>
      <w:r w:rsidRPr="007F71FD">
        <w:rPr>
          <w:rFonts w:asciiTheme="majorBidi" w:hAnsiTheme="majorBidi" w:cstheme="majorBidi"/>
        </w:rPr>
        <w:t>For the face recognition task on the ORL database, PCA combined with a Bayesian classifier achieved perfect recognition accuracy with only 50 principal components out of 10,304 original dimensions. Fisher LDA provided effective supervised dimensionality reduction, with the optimal number of discriminant components (15) being significantly fewer than the theoretical maximum (39), reflecting diminishing returns in discriminative power beyond the leading eigenspace. The comparison between PCA-only and PCA+LDA approaches demonstrated that the choice of classifier is at least as important as the dimensionality reduction strategy.</w:t>
      </w:r>
    </w:p>
    <w:p w14:paraId="7E34106F" w14:textId="77777777" w:rsidR="00666510" w:rsidRPr="007F71FD" w:rsidRDefault="00000000" w:rsidP="001F6CC5">
      <w:pPr>
        <w:spacing w:after="160" w:line="300" w:lineRule="auto"/>
        <w:ind w:left="720"/>
        <w:jc w:val="both"/>
        <w:rPr>
          <w:rFonts w:asciiTheme="majorBidi" w:hAnsiTheme="majorBidi" w:cstheme="majorBidi"/>
        </w:rPr>
      </w:pPr>
      <w:r w:rsidRPr="007F71FD">
        <w:rPr>
          <w:rFonts w:asciiTheme="majorBidi" w:hAnsiTheme="majorBidi" w:cstheme="majorBidi"/>
        </w:rPr>
        <w:t>Key insights from this work include: the importance of regularization for covariance estimation in moderate-dimensional settings, the inadequacy of variance as a proxy for discriminative relevance in feature selection, the computational advantage of the PCA kernel trick for high-dimensional data, and the fundamental trade-off between model complexity and data availability that governs the relative performance of LDA versus QDA.</w:t>
      </w:r>
    </w:p>
    <w:sectPr w:rsidR="00666510" w:rsidRPr="007F71FD">
      <w:headerReference w:type="default" r:id="rId28"/>
      <w:footerReference w:type="default" r:id="rId2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EF6AC" w14:textId="77777777" w:rsidR="005F4297" w:rsidRDefault="005F4297">
      <w:r>
        <w:separator/>
      </w:r>
    </w:p>
  </w:endnote>
  <w:endnote w:type="continuationSeparator" w:id="0">
    <w:p w14:paraId="45A8F9BE" w14:textId="77777777" w:rsidR="005F4297" w:rsidRDefault="005F42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E6F2C" w14:textId="77777777" w:rsidR="00666510"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F31246">
      <w:rPr>
        <w:noProof/>
        <w:sz w:val="18"/>
        <w:szCs w:val="18"/>
      </w:rPr>
      <w:t>1</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1B97A" w14:textId="77777777" w:rsidR="00666510"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F31246">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52249" w14:textId="77777777" w:rsidR="005F4297" w:rsidRDefault="005F4297">
      <w:r>
        <w:separator/>
      </w:r>
    </w:p>
  </w:footnote>
  <w:footnote w:type="continuationSeparator" w:id="0">
    <w:p w14:paraId="38C76BBB" w14:textId="77777777" w:rsidR="005F4297" w:rsidRDefault="005F42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5637C" w14:textId="77777777" w:rsidR="00666510" w:rsidRDefault="00000000">
    <w:pPr>
      <w:jc w:val="right"/>
    </w:pPr>
    <w:r>
      <w:rPr>
        <w:i/>
        <w:iCs/>
        <w:color w:val="888888"/>
        <w:sz w:val="18"/>
        <w:szCs w:val="18"/>
      </w:rPr>
      <w:t>Bayesian Classification &amp; Dimensionality Reduction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7EFF7" w14:textId="7A043FFB" w:rsidR="00666510" w:rsidRDefault="00666510">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C00E9"/>
    <w:multiLevelType w:val="hybridMultilevel"/>
    <w:tmpl w:val="802449CC"/>
    <w:lvl w:ilvl="0" w:tplc="655E2CA8">
      <w:start w:val="1"/>
      <w:numFmt w:val="bullet"/>
      <w:lvlText w:val="●"/>
      <w:lvlJc w:val="left"/>
      <w:pPr>
        <w:ind w:left="720" w:hanging="360"/>
      </w:pPr>
    </w:lvl>
    <w:lvl w:ilvl="1" w:tplc="B6E26F84">
      <w:start w:val="1"/>
      <w:numFmt w:val="bullet"/>
      <w:lvlText w:val="○"/>
      <w:lvlJc w:val="left"/>
      <w:pPr>
        <w:ind w:left="1440" w:hanging="360"/>
      </w:pPr>
    </w:lvl>
    <w:lvl w:ilvl="2" w:tplc="9C2AA52E">
      <w:start w:val="1"/>
      <w:numFmt w:val="bullet"/>
      <w:lvlText w:val="■"/>
      <w:lvlJc w:val="left"/>
      <w:pPr>
        <w:ind w:left="2160" w:hanging="360"/>
      </w:pPr>
    </w:lvl>
    <w:lvl w:ilvl="3" w:tplc="5E28B468">
      <w:start w:val="1"/>
      <w:numFmt w:val="bullet"/>
      <w:lvlText w:val="●"/>
      <w:lvlJc w:val="left"/>
      <w:pPr>
        <w:ind w:left="2880" w:hanging="360"/>
      </w:pPr>
    </w:lvl>
    <w:lvl w:ilvl="4" w:tplc="8E1071BE">
      <w:start w:val="1"/>
      <w:numFmt w:val="bullet"/>
      <w:lvlText w:val="○"/>
      <w:lvlJc w:val="left"/>
      <w:pPr>
        <w:ind w:left="3600" w:hanging="360"/>
      </w:pPr>
    </w:lvl>
    <w:lvl w:ilvl="5" w:tplc="F02A2912">
      <w:start w:val="1"/>
      <w:numFmt w:val="bullet"/>
      <w:lvlText w:val="■"/>
      <w:lvlJc w:val="left"/>
      <w:pPr>
        <w:ind w:left="4320" w:hanging="360"/>
      </w:pPr>
    </w:lvl>
    <w:lvl w:ilvl="6" w:tplc="DC38DB82">
      <w:start w:val="1"/>
      <w:numFmt w:val="bullet"/>
      <w:lvlText w:val="●"/>
      <w:lvlJc w:val="left"/>
      <w:pPr>
        <w:ind w:left="5040" w:hanging="360"/>
      </w:pPr>
    </w:lvl>
    <w:lvl w:ilvl="7" w:tplc="C5F60BA0">
      <w:start w:val="1"/>
      <w:numFmt w:val="bullet"/>
      <w:lvlText w:val="●"/>
      <w:lvlJc w:val="left"/>
      <w:pPr>
        <w:ind w:left="5760" w:hanging="360"/>
      </w:pPr>
    </w:lvl>
    <w:lvl w:ilvl="8" w:tplc="60889AEA">
      <w:start w:val="1"/>
      <w:numFmt w:val="bullet"/>
      <w:lvlText w:val="●"/>
      <w:lvlJc w:val="left"/>
      <w:pPr>
        <w:ind w:left="6480" w:hanging="360"/>
      </w:pPr>
    </w:lvl>
  </w:abstractNum>
  <w:abstractNum w:abstractNumId="1" w15:restartNumberingAfterBreak="0">
    <w:nsid w:val="5E3A2E1E"/>
    <w:multiLevelType w:val="hybridMultilevel"/>
    <w:tmpl w:val="069CFD8E"/>
    <w:lvl w:ilvl="0" w:tplc="CA6AF43C">
      <w:start w:val="1"/>
      <w:numFmt w:val="bullet"/>
      <w:lvlText w:val="•"/>
      <w:lvlJc w:val="left"/>
      <w:pPr>
        <w:ind w:left="720" w:hanging="360"/>
      </w:pPr>
    </w:lvl>
    <w:lvl w:ilvl="1" w:tplc="25849AE8">
      <w:numFmt w:val="decimal"/>
      <w:lvlText w:val=""/>
      <w:lvlJc w:val="left"/>
    </w:lvl>
    <w:lvl w:ilvl="2" w:tplc="5E9265FC">
      <w:numFmt w:val="decimal"/>
      <w:lvlText w:val=""/>
      <w:lvlJc w:val="left"/>
    </w:lvl>
    <w:lvl w:ilvl="3" w:tplc="DE2836BC">
      <w:numFmt w:val="decimal"/>
      <w:lvlText w:val=""/>
      <w:lvlJc w:val="left"/>
    </w:lvl>
    <w:lvl w:ilvl="4" w:tplc="47A6416A">
      <w:numFmt w:val="decimal"/>
      <w:lvlText w:val=""/>
      <w:lvlJc w:val="left"/>
    </w:lvl>
    <w:lvl w:ilvl="5" w:tplc="F8CA0444">
      <w:numFmt w:val="decimal"/>
      <w:lvlText w:val=""/>
      <w:lvlJc w:val="left"/>
    </w:lvl>
    <w:lvl w:ilvl="6" w:tplc="008E8ABE">
      <w:numFmt w:val="decimal"/>
      <w:lvlText w:val=""/>
      <w:lvlJc w:val="left"/>
    </w:lvl>
    <w:lvl w:ilvl="7" w:tplc="359AD254">
      <w:numFmt w:val="decimal"/>
      <w:lvlText w:val=""/>
      <w:lvlJc w:val="left"/>
    </w:lvl>
    <w:lvl w:ilvl="8" w:tplc="6E763D32">
      <w:numFmt w:val="decimal"/>
      <w:lvlText w:val=""/>
      <w:lvlJc w:val="left"/>
    </w:lvl>
  </w:abstractNum>
  <w:num w:numId="1" w16cid:durableId="5571346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510"/>
    <w:rsid w:val="000A340E"/>
    <w:rsid w:val="001469B8"/>
    <w:rsid w:val="0015131E"/>
    <w:rsid w:val="00184D62"/>
    <w:rsid w:val="00194C7D"/>
    <w:rsid w:val="001F6CC5"/>
    <w:rsid w:val="00262556"/>
    <w:rsid w:val="002A6071"/>
    <w:rsid w:val="002B18A5"/>
    <w:rsid w:val="002E2C64"/>
    <w:rsid w:val="00345BAF"/>
    <w:rsid w:val="003B1F19"/>
    <w:rsid w:val="003B71AA"/>
    <w:rsid w:val="00411EA1"/>
    <w:rsid w:val="004411F2"/>
    <w:rsid w:val="004D03BE"/>
    <w:rsid w:val="005E3F1D"/>
    <w:rsid w:val="005F4297"/>
    <w:rsid w:val="006079CF"/>
    <w:rsid w:val="00610C99"/>
    <w:rsid w:val="006171AD"/>
    <w:rsid w:val="00666510"/>
    <w:rsid w:val="006E604D"/>
    <w:rsid w:val="006F0A42"/>
    <w:rsid w:val="007132A0"/>
    <w:rsid w:val="00762E0B"/>
    <w:rsid w:val="00777264"/>
    <w:rsid w:val="0078571B"/>
    <w:rsid w:val="007A3A18"/>
    <w:rsid w:val="007E2E04"/>
    <w:rsid w:val="007F71FD"/>
    <w:rsid w:val="00811149"/>
    <w:rsid w:val="0083707D"/>
    <w:rsid w:val="00890E92"/>
    <w:rsid w:val="008F094F"/>
    <w:rsid w:val="00963A59"/>
    <w:rsid w:val="00997DE6"/>
    <w:rsid w:val="009E3A25"/>
    <w:rsid w:val="00A11955"/>
    <w:rsid w:val="00A30EA2"/>
    <w:rsid w:val="00A42833"/>
    <w:rsid w:val="00AA22C7"/>
    <w:rsid w:val="00AB62BD"/>
    <w:rsid w:val="00B46C67"/>
    <w:rsid w:val="00B506DB"/>
    <w:rsid w:val="00B74680"/>
    <w:rsid w:val="00BB39EF"/>
    <w:rsid w:val="00C52C28"/>
    <w:rsid w:val="00C74369"/>
    <w:rsid w:val="00C812B5"/>
    <w:rsid w:val="00C971F4"/>
    <w:rsid w:val="00C97952"/>
    <w:rsid w:val="00CB11E4"/>
    <w:rsid w:val="00CC6F31"/>
    <w:rsid w:val="00CD7687"/>
    <w:rsid w:val="00D61E68"/>
    <w:rsid w:val="00D66316"/>
    <w:rsid w:val="00D66CC7"/>
    <w:rsid w:val="00DD2364"/>
    <w:rsid w:val="00E16C5E"/>
    <w:rsid w:val="00E5135F"/>
    <w:rsid w:val="00E52582"/>
    <w:rsid w:val="00EA2A20"/>
    <w:rsid w:val="00EB0F6C"/>
    <w:rsid w:val="00EC4758"/>
    <w:rsid w:val="00F31246"/>
    <w:rsid w:val="00FB3974"/>
    <w:rsid w:val="00FC4BD5"/>
    <w:rsid w:val="00FF4A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31A4B6"/>
  <w15:docId w15:val="{245B2DDB-8D2D-495C-BCAE-7489E86D8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unhideWhenUsed/>
    <w:qFormat/>
    <w:pPr>
      <w:spacing w:before="280" w:after="160"/>
      <w:outlineLvl w:val="1"/>
    </w:pPr>
    <w:rPr>
      <w:b/>
      <w:bCs/>
      <w:color w:val="2C5F8A"/>
      <w:sz w:val="26"/>
      <w:szCs w:val="26"/>
    </w:rPr>
  </w:style>
  <w:style w:type="paragraph" w:styleId="Heading3">
    <w:name w:val="heading 3"/>
    <w:uiPriority w:val="9"/>
    <w:unhideWhenUsed/>
    <w:qFormat/>
    <w:pPr>
      <w:spacing w:before="240" w:after="120"/>
      <w:outlineLvl w:val="2"/>
    </w:pPr>
    <w:rPr>
      <w:b/>
      <w:bCs/>
      <w:color w:val="3A7AB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F31246"/>
    <w:pPr>
      <w:spacing w:after="100"/>
    </w:pPr>
  </w:style>
  <w:style w:type="paragraph" w:styleId="TOC2">
    <w:name w:val="toc 2"/>
    <w:basedOn w:val="Normal"/>
    <w:next w:val="Normal"/>
    <w:autoRedefine/>
    <w:uiPriority w:val="39"/>
    <w:unhideWhenUsed/>
    <w:rsid w:val="00F31246"/>
    <w:pPr>
      <w:spacing w:after="100"/>
      <w:ind w:left="220"/>
    </w:pPr>
  </w:style>
  <w:style w:type="paragraph" w:styleId="TOC3">
    <w:name w:val="toc 3"/>
    <w:basedOn w:val="Normal"/>
    <w:next w:val="Normal"/>
    <w:autoRedefine/>
    <w:uiPriority w:val="39"/>
    <w:unhideWhenUsed/>
    <w:rsid w:val="00F31246"/>
    <w:pPr>
      <w:spacing w:after="100"/>
      <w:ind w:left="440"/>
    </w:pPr>
  </w:style>
  <w:style w:type="paragraph" w:styleId="Header">
    <w:name w:val="header"/>
    <w:basedOn w:val="Normal"/>
    <w:link w:val="HeaderChar"/>
    <w:uiPriority w:val="99"/>
    <w:unhideWhenUsed/>
    <w:rsid w:val="00F31246"/>
    <w:pPr>
      <w:tabs>
        <w:tab w:val="center" w:pos="4680"/>
        <w:tab w:val="right" w:pos="9360"/>
      </w:tabs>
    </w:pPr>
  </w:style>
  <w:style w:type="character" w:customStyle="1" w:styleId="HeaderChar">
    <w:name w:val="Header Char"/>
    <w:basedOn w:val="DefaultParagraphFont"/>
    <w:link w:val="Header"/>
    <w:uiPriority w:val="99"/>
    <w:rsid w:val="00F31246"/>
  </w:style>
  <w:style w:type="paragraph" w:styleId="Footer">
    <w:name w:val="footer"/>
    <w:basedOn w:val="Normal"/>
    <w:link w:val="FooterChar"/>
    <w:uiPriority w:val="99"/>
    <w:unhideWhenUsed/>
    <w:rsid w:val="00F31246"/>
    <w:pPr>
      <w:tabs>
        <w:tab w:val="center" w:pos="4680"/>
        <w:tab w:val="right" w:pos="9360"/>
      </w:tabs>
    </w:pPr>
  </w:style>
  <w:style w:type="character" w:customStyle="1" w:styleId="FooterChar">
    <w:name w:val="Footer Char"/>
    <w:basedOn w:val="DefaultParagraphFont"/>
    <w:link w:val="Footer"/>
    <w:uiPriority w:val="99"/>
    <w:rsid w:val="00F31246"/>
  </w:style>
  <w:style w:type="character" w:customStyle="1" w:styleId="TitleChar">
    <w:name w:val="Title Char"/>
    <w:basedOn w:val="DefaultParagraphFont"/>
    <w:link w:val="Title"/>
    <w:uiPriority w:val="10"/>
    <w:rsid w:val="00F31246"/>
    <w:rPr>
      <w:sz w:val="56"/>
      <w:szCs w:val="56"/>
    </w:rPr>
  </w:style>
  <w:style w:type="table" w:styleId="ListTable4">
    <w:name w:val="List Table 4"/>
    <w:basedOn w:val="TableNormal"/>
    <w:uiPriority w:val="49"/>
    <w:rsid w:val="006F0A4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6F0A42"/>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uiPriority w:val="48"/>
    <w:rsid w:val="00B506DB"/>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5Dark">
    <w:name w:val="Grid Table 5 Dark"/>
    <w:basedOn w:val="TableNormal"/>
    <w:uiPriority w:val="50"/>
    <w:rsid w:val="00B506D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7Colorful">
    <w:name w:val="Grid Table 7 Colorful"/>
    <w:basedOn w:val="TableNormal"/>
    <w:uiPriority w:val="52"/>
    <w:rsid w:val="00B506DB"/>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PlaceholderText">
    <w:name w:val="Placeholder Text"/>
    <w:basedOn w:val="DefaultParagraphFont"/>
    <w:uiPriority w:val="99"/>
    <w:semiHidden/>
    <w:rsid w:val="00D61E68"/>
    <w:rPr>
      <w:color w:val="666666"/>
    </w:rPr>
  </w:style>
  <w:style w:type="table" w:styleId="GridTable4">
    <w:name w:val="Grid Table 4"/>
    <w:basedOn w:val="TableNormal"/>
    <w:uiPriority w:val="49"/>
    <w:rsid w:val="00D61E6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5344</Words>
  <Characters>30467</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-Navid-</cp:lastModifiedBy>
  <cp:revision>2</cp:revision>
  <cp:lastPrinted>2026-02-07T15:08:00Z</cp:lastPrinted>
  <dcterms:created xsi:type="dcterms:W3CDTF">2026-02-07T15:08:00Z</dcterms:created>
  <dcterms:modified xsi:type="dcterms:W3CDTF">2026-02-07T15:08:00Z</dcterms:modified>
</cp:coreProperties>
</file>