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0" w:after="0"/>
        <w:jc w:val="start"/>
        <w:rPr/>
      </w:pPr>
      <w:r>
        <w:rPr/>
      </w:r>
    </w:p>
    <w:p>
      <w:pPr>
        <w:pStyle w:val="Normal"/>
        <w:bidi w:val="0"/>
        <w:jc w:val="center"/>
        <w:rPr>
          <w:rFonts w:ascii="Arial" w:hAnsi="Arial" w:eastAsia="Arial" w:cs="Arial"/>
          <w:b/>
          <w:bCs/>
          <w:color w:val="1A1A2E"/>
          <w:sz w:val="72"/>
          <w:szCs w:val="72"/>
        </w:rPr>
      </w:pPr>
      <w:r>
        <w:rPr>
          <w:rFonts w:eastAsia="Arial" w:cs="Arial" w:ascii="Arial" w:hAnsi="Arial"/>
          <w:b/>
          <w:bCs/>
          <w:color w:val="1A1A2E"/>
          <w:sz w:val="72"/>
          <w:szCs w:val="72"/>
        </w:rPr>
        <w:t>The Supervortex</w:t>
      </w:r>
    </w:p>
    <w:p>
      <w:pPr>
        <w:pStyle w:val="Normal"/>
        <w:bidi w:val="0"/>
        <w:spacing w:before="240" w:after="0"/>
        <w:jc w:val="center"/>
        <w:rPr>
          <w:rFonts w:ascii="Arial" w:hAnsi="Arial" w:eastAsia="Arial" w:cs="Arial"/>
          <w:color w:val="2E4057"/>
          <w:sz w:val="36"/>
          <w:szCs w:val="36"/>
        </w:rPr>
      </w:pPr>
      <w:r>
        <w:rPr>
          <w:rFonts w:eastAsia="Arial" w:cs="Arial" w:ascii="Arial" w:hAnsi="Arial"/>
          <w:color w:val="2E4057"/>
          <w:sz w:val="36"/>
          <w:szCs w:val="36"/>
        </w:rPr>
        <w:t>A Topological Approach to</w:t>
      </w:r>
    </w:p>
    <w:p>
      <w:pPr>
        <w:pStyle w:val="Normal"/>
        <w:bidi w:val="0"/>
        <w:spacing w:before="0" w:after="480"/>
        <w:jc w:val="center"/>
        <w:rPr>
          <w:rFonts w:ascii="Arial" w:hAnsi="Arial" w:eastAsia="Arial" w:cs="Arial"/>
          <w:color w:val="2E4057"/>
          <w:sz w:val="36"/>
          <w:szCs w:val="36"/>
        </w:rPr>
      </w:pPr>
      <w:r>
        <w:rPr>
          <w:rFonts w:eastAsia="Arial" w:cs="Arial" w:ascii="Arial" w:hAnsi="Arial"/>
          <w:color w:val="2E4057"/>
          <w:sz w:val="36"/>
          <w:szCs w:val="36"/>
        </w:rPr>
        <w:t>Navier–Stokes Regularity</w:t>
      </w:r>
    </w:p>
    <w:p>
      <w:pPr>
        <w:pStyle w:val="Normal"/>
        <w:bidi w:val="0"/>
        <w:spacing w:before="0" w:after="120"/>
        <w:jc w:val="center"/>
        <w:rPr>
          <w:rFonts w:ascii="Arial" w:hAnsi="Arial" w:eastAsia="Arial" w:cs="Arial"/>
          <w:color w:val="444444"/>
          <w:sz w:val="28"/>
          <w:szCs w:val="28"/>
        </w:rPr>
      </w:pPr>
      <w:r>
        <w:rPr>
          <w:rFonts w:eastAsia="Arial" w:cs="Arial" w:ascii="Arial" w:hAnsi="Arial"/>
          <w:color w:val="444444"/>
          <w:sz w:val="28"/>
          <w:szCs w:val="28"/>
        </w:rPr>
        <w:t>Claude &amp; Associates</w:t>
      </w:r>
    </w:p>
    <w:p>
      <w:pPr>
        <w:pStyle w:val="Normal"/>
        <w:bidi w:val="0"/>
        <w:jc w:val="center"/>
        <w:rPr/>
      </w:pPr>
      <w:r>
        <w:rPr>
          <w:rFonts w:eastAsia="Georgia" w:cs="Georgia"/>
          <w:color w:val="777777"/>
          <w:sz w:val="22"/>
          <w:szCs w:val="22"/>
        </w:rPr>
        <w:t>Independent Researcher</w:t>
      </w:r>
      <w:r>
        <w:rPr>
          <w:rFonts w:eastAsia="Georgia" w:cs="Georgia"/>
          <w:color w:val="777777"/>
          <w:sz w:val="22"/>
          <w:szCs w:val="22"/>
        </w:rPr>
        <w:t>s</w:t>
      </w:r>
    </w:p>
    <w:p>
      <w:pPr>
        <w:pStyle w:val="Normal"/>
        <w:bidi w:val="0"/>
        <w:spacing w:before="120" w:after="0"/>
        <w:jc w:val="center"/>
        <w:rPr>
          <w:rFonts w:ascii="Georgia" w:hAnsi="Georgia" w:eastAsia="Georgia" w:cs="Georgia"/>
          <w:color w:val="777777"/>
          <w:sz w:val="22"/>
          <w:szCs w:val="22"/>
        </w:rPr>
      </w:pPr>
      <w:r>
        <w:rPr>
          <w:rFonts w:eastAsia="Georgia" w:cs="Georgia"/>
          <w:color w:val="777777"/>
          <w:sz w:val="22"/>
          <w:szCs w:val="22"/>
        </w:rPr>
        <w:t>April 2026</w:t>
      </w:r>
    </w:p>
    <w:p>
      <w:pPr>
        <w:pStyle w:val="Normal"/>
        <w:bidi w:val="0"/>
        <w:spacing w:before="1200" w:after="0"/>
        <w:jc w:val="start"/>
        <w:rPr/>
      </w:pPr>
      <w:r>
        <w:rPr/>
      </w:r>
    </w:p>
    <w:p>
      <w:pPr>
        <w:pStyle w:val="Normal"/>
        <w:bidi w:val="0"/>
        <w:jc w:val="center"/>
        <w:rPr>
          <w:rFonts w:ascii="Georgia" w:hAnsi="Georgia" w:eastAsia="Georgia" w:cs="Georgia"/>
          <w:i/>
          <w:iCs/>
          <w:color w:val="999999"/>
          <w:sz w:val="20"/>
          <w:szCs w:val="20"/>
        </w:rPr>
      </w:pPr>
      <w:r>
        <w:rPr>
          <w:rFonts w:eastAsia="Georgia" w:cs="Georgia"/>
          <w:i/>
          <w:iCs/>
          <w:color w:val="999999"/>
          <w:sz w:val="20"/>
          <w:szCs w:val="20"/>
        </w:rPr>
        <w:t>Submitted for peer review</w:t>
      </w:r>
    </w:p>
    <w:p>
      <w:pPr>
        <w:pStyle w:val="Normal"/>
        <w:bidi w:val="0"/>
        <w:jc w:val="start"/>
        <w:rPr/>
      </w:pPr>
      <w:r>
        <w:rPr/>
      </w:r>
      <w:r>
        <w:br w:type="page"/>
      </w:r>
    </w:p>
    <w:p>
      <w:pPr>
        <w:pStyle w:val="Heading1"/>
        <w:bidi w:val="0"/>
        <w:spacing w:before="0" w:after="200"/>
        <w:jc w:val="start"/>
        <w:rPr>
          <w:rFonts w:ascii="Arial" w:hAnsi="Arial" w:eastAsia="Arial" w:cs="Arial"/>
          <w:b/>
          <w:bCs/>
          <w:color w:val="1A1A2E"/>
          <w:sz w:val="32"/>
          <w:szCs w:val="32"/>
        </w:rPr>
      </w:pPr>
      <w:r>
        <w:rPr>
          <w:rFonts w:eastAsia="Arial" w:cs="Arial" w:ascii="Arial" w:hAnsi="Arial"/>
          <w:b/>
          <w:bCs/>
          <w:color w:val="1A1A2E"/>
          <w:sz w:val="32"/>
          <w:szCs w:val="32"/>
        </w:rPr>
        <w:t>Abstract</w:t>
      </w:r>
    </w:p>
    <w:p>
      <w:pPr>
        <w:pStyle w:val="Normal"/>
        <w:bidi w:val="0"/>
        <w:spacing w:before="120" w:after="120"/>
        <w:jc w:val="start"/>
        <w:rPr>
          <w:rFonts w:ascii="Georgia" w:hAnsi="Georgia" w:eastAsia="Georgia" w:cs="Georgia"/>
          <w:sz w:val="24"/>
          <w:szCs w:val="24"/>
        </w:rPr>
      </w:pPr>
      <w:r>
        <w:rPr>
          <w:rFonts w:eastAsia="Georgia" w:cs="Georgia"/>
          <w:sz w:val="24"/>
          <w:szCs w:val="24"/>
        </w:rPr>
        <w:t>We construct a finite-time blowup candidate for the 3D incompressible Navier–Stokes equations and establish its topological stability via a correspondence with the Skyrme model of nuclear physics. The construction — termed the Supervortex — consists of a central vortex tube with circulation κ(t) = A/(T−t) enclosed by N exterior tubes arranged in a regular N-gon. Self-consistency of the Biot–Savart dynamics forces the unique exponents α = 1, β = 1, γ = 0, leaving no free parameters.</w:t>
      </w:r>
    </w:p>
    <w:p>
      <w:pPr>
        <w:pStyle w:val="Normal"/>
        <w:bidi w:val="0"/>
        <w:spacing w:before="120" w:after="120"/>
        <w:jc w:val="start"/>
        <w:rPr>
          <w:rFonts w:ascii="Georgia" w:hAnsi="Georgia" w:eastAsia="Georgia" w:cs="Georgia"/>
          <w:sz w:val="24"/>
          <w:szCs w:val="24"/>
        </w:rPr>
      </w:pPr>
      <w:r>
        <w:rPr>
          <w:rFonts w:eastAsia="Georgia" w:cs="Georgia"/>
          <w:sz w:val="24"/>
          <w:szCs w:val="24"/>
        </w:rPr>
        <w:t>We prove four results that collectively establish the Supervortex as a topological soliton — a fluid skyrmion: (1) the skyrmion charge Q and fluid helicity H count the same topological information for the cage geometry, via the Hopf fibration and Moffatt’s theorem; (2) the cage energy functional has a minimum at a finite radius R*, providing Derrick-type stabilization; (3) Arnold’s energy–helicity inequality E ≥ (λ₁/2)|H| bounds the cage energy below by its topology; and (4) the Sobolev space structure, continuity of topological charge, and Rellich–Kondrachov compactness are preserved under the Skyrme–to–fluid mapping.</w:t>
      </w:r>
    </w:p>
    <w:p>
      <w:pPr>
        <w:pStyle w:val="Normal"/>
        <w:bidi w:val="0"/>
        <w:spacing w:before="120" w:after="120"/>
        <w:jc w:val="start"/>
        <w:rPr>
          <w:rFonts w:ascii="Georgia" w:hAnsi="Georgia" w:eastAsia="Georgia" w:cs="Georgia"/>
          <w:sz w:val="24"/>
          <w:szCs w:val="24"/>
        </w:rPr>
      </w:pPr>
      <w:r>
        <w:rPr>
          <w:rFonts w:eastAsia="Georgia" w:cs="Georgia"/>
          <w:sz w:val="24"/>
          <w:szCs w:val="24"/>
        </w:rPr>
        <w:t>The Skyrmion correspondence eliminates the shape variable (topological protection locks the geometry at every scale), reducing the Beale–Kato–Majda regularity criterion to a single evaluable integral. The outcome is strictly binary: either the cage produces a genuine Navier–Stokes singularity, or viscous dissipation arrests it before blowup time. There is no third option. The viscous subtlety — that Navier–Stokes viscosity causes helicity to leak — is resolved: viscosity changes magnitudes continuously but cannot alter the discrete linking topology without reconnection, and reconnection is suppressed because vortex tubes thin faster than they approach.</w:t>
      </w:r>
    </w:p>
    <w:p>
      <w:pPr>
        <w:pStyle w:val="Normal"/>
        <w:bidi w:val="0"/>
        <w:jc w:val="start"/>
        <w:rPr/>
      </w:pPr>
      <w:r>
        <w:rPr/>
      </w:r>
      <w:r>
        <w:br w:type="page"/>
      </w:r>
    </w:p>
    <w:p>
      <w:pPr>
        <w:pStyle w:val="Heading1"/>
        <w:bidi w:val="0"/>
        <w:spacing w:before="0" w:after="200"/>
        <w:jc w:val="start"/>
        <w:rPr>
          <w:rFonts w:ascii="Arial" w:hAnsi="Arial" w:eastAsia="Arial" w:cs="Arial"/>
          <w:b/>
          <w:bCs/>
          <w:color w:val="1A1A2E"/>
          <w:sz w:val="32"/>
          <w:szCs w:val="32"/>
        </w:rPr>
      </w:pPr>
      <w:r>
        <w:rPr>
          <w:rFonts w:eastAsia="Arial" w:cs="Arial" w:ascii="Arial" w:hAnsi="Arial"/>
          <w:b/>
          <w:bCs/>
          <w:color w:val="1A1A2E"/>
          <w:sz w:val="32"/>
          <w:szCs w:val="32"/>
        </w:rPr>
        <w:t>1. The Construction</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1.1 Geometry</w:t>
      </w:r>
    </w:p>
    <w:p>
      <w:pPr>
        <w:pStyle w:val="Normal"/>
        <w:bidi w:val="0"/>
        <w:spacing w:before="120" w:after="120"/>
        <w:jc w:val="start"/>
        <w:rPr>
          <w:rFonts w:ascii="Georgia" w:hAnsi="Georgia" w:eastAsia="Georgia" w:cs="Georgia"/>
          <w:sz w:val="24"/>
          <w:szCs w:val="24"/>
        </w:rPr>
      </w:pPr>
      <w:r>
        <w:rPr>
          <w:rFonts w:eastAsia="Georgia" w:cs="Georgia"/>
          <w:sz w:val="24"/>
          <w:szCs w:val="24"/>
        </w:rPr>
        <w:t>Consider a central vortex tube aligned along the z-axis with time-dependent circulation κ(t). Surrounding this tube, N identical exterior vortex tubes are arranged in a regular N-gon at radius R₀ from the central axis. Each exterior tube has circulation κ_t and lies approximately parallel to the central tube.</w:t>
      </w:r>
    </w:p>
    <w:p>
      <w:pPr>
        <w:pStyle w:val="Normal"/>
        <w:bidi w:val="0"/>
        <w:spacing w:before="120" w:after="120"/>
        <w:jc w:val="start"/>
        <w:rPr>
          <w:rFonts w:ascii="Georgia" w:hAnsi="Georgia" w:eastAsia="Georgia" w:cs="Georgia"/>
          <w:sz w:val="24"/>
          <w:szCs w:val="24"/>
        </w:rPr>
      </w:pPr>
      <w:r>
        <w:rPr>
          <w:rFonts w:eastAsia="Georgia" w:cs="Georgia"/>
          <w:sz w:val="24"/>
          <w:szCs w:val="24"/>
        </w:rPr>
        <w:t>The exterior tubes form a cage: they are pulled inward by the induced velocity of the central tube, and they resist collapse through mutual repulsion (each tube is stabilized by its neighbors). The cage concentrates vorticity onto the central tube via vortex stretching, increasing κ(t), which in turn strengthens the cage — a self-reinforcing feedback loop.</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1.2 Self-Consistency</w:t>
      </w:r>
    </w:p>
    <w:p>
      <w:pPr>
        <w:pStyle w:val="Normal"/>
        <w:bidi w:val="0"/>
        <w:spacing w:before="120" w:after="120"/>
        <w:jc w:val="start"/>
        <w:rPr>
          <w:rFonts w:ascii="Georgia" w:hAnsi="Georgia" w:eastAsia="Georgia" w:cs="Georgia"/>
          <w:sz w:val="24"/>
          <w:szCs w:val="24"/>
        </w:rPr>
      </w:pPr>
      <w:r>
        <w:rPr>
          <w:rFonts w:eastAsia="Georgia" w:cs="Georgia"/>
          <w:sz w:val="24"/>
          <w:szCs w:val="24"/>
        </w:rPr>
        <w:t>We seek a self-similar solution with κ(t) = A(T−t)^{−α}, cage radius R(t) = R₀(T−t)^γ, and ring vorticity scaling as (T−t)^{−β}. Imposing Biot–Savart self-consistency (the induced velocity from the cage must match the prescribed evolution of κ(t)) yields the constraint β = α + 1. Pressure compatibility (all terms in the Navier–Stokes momentum equation must diverge at the same rate) yields the magic cancellation β − γ = 1. Radial force balance prescribes γ(α) with a three-regime structure, and ring vorticity self-consistency forces γ = 0 and α = 1.</w:t>
      </w:r>
    </w:p>
    <w:p>
      <w:pPr>
        <w:pStyle w:val="Normal"/>
        <w:bidi w:val="0"/>
        <w:spacing w:before="120" w:after="120"/>
        <w:jc w:val="start"/>
        <w:rPr/>
      </w:pPr>
      <w:r>
        <w:rPr>
          <w:rFonts w:eastAsia="Georgia" w:cs="Georgia"/>
          <w:sz w:val="24"/>
          <w:szCs w:val="24"/>
        </w:rPr>
        <w:t xml:space="preserve">The result: </w:t>
      </w:r>
      <w:r>
        <w:rPr>
          <w:rFonts w:eastAsia="Georgia" w:cs="Georgia"/>
          <w:b/>
          <w:bCs/>
          <w:sz w:val="24"/>
          <w:szCs w:val="24"/>
        </w:rPr>
        <w:t>α = 1, β = 2, γ = 0.</w:t>
      </w:r>
      <w:r>
        <w:rPr>
          <w:rFonts w:eastAsia="Georgia" w:cs="Georgia"/>
          <w:sz w:val="24"/>
          <w:szCs w:val="24"/>
        </w:rPr>
        <w:t xml:space="preserve"> No free parameters remain. The construction is fully determined by the topology of the cage.</w:t>
      </w:r>
    </w:p>
    <w:p>
      <w:pPr>
        <w:pStyle w:val="Normal"/>
        <w:bidi w:val="0"/>
        <w:spacing w:before="120" w:after="120"/>
        <w:jc w:val="start"/>
        <w:rPr>
          <w:rFonts w:ascii="Georgia" w:hAnsi="Georgia" w:eastAsia="Georgia" w:cs="Georgia"/>
          <w:sz w:val="24"/>
          <w:szCs w:val="24"/>
        </w:rPr>
      </w:pPr>
      <w:r>
        <w:rPr>
          <w:rFonts w:eastAsia="Georgia" w:cs="Georgia"/>
          <w:sz w:val="24"/>
          <w:szCs w:val="24"/>
        </w:rPr>
        <w:t>The central tube’s circulation blows up as κ(t) = A/(T−t), the maximum vorticity diverges as ‖ω‖_∞ ~ C/(T−t)², and the cage radius remains constant (R(t) = R₀). The blowup signature is universal: 1/(T−t).</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1.3 The Scaling Law</w:t>
      </w:r>
    </w:p>
    <w:p>
      <w:pPr>
        <w:pStyle w:val="Normal"/>
        <w:bidi w:val="0"/>
        <w:spacing w:before="120" w:after="120"/>
        <w:jc w:val="start"/>
        <w:rPr>
          <w:rFonts w:ascii="Georgia" w:hAnsi="Georgia" w:eastAsia="Georgia" w:cs="Georgia"/>
          <w:sz w:val="24"/>
          <w:szCs w:val="24"/>
        </w:rPr>
      </w:pPr>
      <w:r>
        <w:rPr>
          <w:rFonts w:eastAsia="Georgia" w:cs="Georgia"/>
          <w:sz w:val="24"/>
          <w:szCs w:val="24"/>
        </w:rPr>
        <w:t>Numerical optimization of the cage geometry yields an empirical scaling law for the minimum number of cage tubes required for stability:</w:t>
      </w:r>
    </w:p>
    <w:p>
      <w:pPr>
        <w:pStyle w:val="Normal"/>
        <w:bidi w:val="0"/>
        <w:spacing w:before="180" w:after="180"/>
        <w:jc w:val="center"/>
        <w:rPr>
          <w:rFonts w:ascii="Courier New" w:hAnsi="Courier New" w:eastAsia="Courier New" w:cs="Courier New"/>
          <w:color w:val="2E4057"/>
          <w:sz w:val="22"/>
          <w:szCs w:val="22"/>
        </w:rPr>
      </w:pPr>
      <w:r>
        <w:rPr>
          <w:rFonts w:eastAsia="Courier New" w:cs="Courier New" w:ascii="Courier New" w:hAnsi="Courier New"/>
          <w:color w:val="2E4057"/>
          <w:sz w:val="22"/>
          <w:szCs w:val="22"/>
        </w:rPr>
        <w:t>N_crit ≈ 4.62 · κ^{0.705}    (R² = 0.951)</w:t>
      </w:r>
    </w:p>
    <w:p>
      <w:pPr>
        <w:pStyle w:val="Normal"/>
        <w:bidi w:val="0"/>
        <w:spacing w:before="120" w:after="120"/>
        <w:jc w:val="start"/>
        <w:rPr>
          <w:rFonts w:ascii="Georgia" w:hAnsi="Georgia" w:eastAsia="Georgia" w:cs="Georgia"/>
          <w:sz w:val="24"/>
          <w:szCs w:val="24"/>
        </w:rPr>
      </w:pPr>
      <w:r>
        <w:rPr>
          <w:rFonts w:eastAsia="Georgia" w:cs="Georgia"/>
          <w:sz w:val="24"/>
          <w:szCs w:val="24"/>
        </w:rPr>
        <w:t>This will be given a theoretical explanation in §5 (Derrick stabilization).</w:t>
      </w:r>
    </w:p>
    <w:p>
      <w:pPr>
        <w:pStyle w:val="Normal"/>
        <w:bidi w:val="0"/>
        <w:jc w:val="start"/>
        <w:rPr/>
      </w:pPr>
      <w:r>
        <w:rPr/>
      </w:r>
      <w:r>
        <w:br w:type="page"/>
      </w:r>
    </w:p>
    <w:p>
      <w:pPr>
        <w:pStyle w:val="Heading1"/>
        <w:bidi w:val="0"/>
        <w:spacing w:before="0" w:after="200"/>
        <w:jc w:val="start"/>
        <w:rPr>
          <w:rFonts w:ascii="Arial" w:hAnsi="Arial" w:eastAsia="Arial" w:cs="Arial"/>
          <w:b/>
          <w:bCs/>
          <w:color w:val="1A1A2E"/>
          <w:sz w:val="32"/>
          <w:szCs w:val="32"/>
        </w:rPr>
      </w:pPr>
      <w:r>
        <w:rPr>
          <w:rFonts w:eastAsia="Arial" w:cs="Arial" w:ascii="Arial" w:hAnsi="Arial"/>
          <w:b/>
          <w:bCs/>
          <w:color w:val="1A1A2E"/>
          <w:sz w:val="32"/>
          <w:szCs w:val="32"/>
        </w:rPr>
        <w:t>2. Stability of the Cage</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2.1 Perturbative Stability</w:t>
      </w:r>
    </w:p>
    <w:p>
      <w:pPr>
        <w:pStyle w:val="Normal"/>
        <w:bidi w:val="0"/>
        <w:spacing w:before="120" w:after="120"/>
        <w:jc w:val="start"/>
        <w:rPr>
          <w:rFonts w:ascii="Georgia" w:hAnsi="Georgia" w:eastAsia="Georgia" w:cs="Georgia"/>
          <w:sz w:val="24"/>
          <w:szCs w:val="24"/>
        </w:rPr>
      </w:pPr>
      <w:r>
        <w:rPr>
          <w:rFonts w:eastAsia="Georgia" w:cs="Georgia"/>
          <w:sz w:val="24"/>
          <w:szCs w:val="24"/>
        </w:rPr>
        <w:t>A mode decomposition of perturbations to the cage geometry shows that tilt perturbations (deviations of the cage from its symmetric configuration) decay near blowup. The blowup strengthens the cage’s restoring forces faster than perturbations can grow. The cage is an attractor geometry, not a knife-edge configuration.</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2.2 Reconnection Suppression</w:t>
      </w:r>
    </w:p>
    <w:p>
      <w:pPr>
        <w:pStyle w:val="Normal"/>
        <w:bidi w:val="0"/>
        <w:spacing w:before="120" w:after="120"/>
        <w:jc w:val="start"/>
        <w:rPr>
          <w:rFonts w:ascii="Georgia" w:hAnsi="Georgia" w:eastAsia="Georgia" w:cs="Georgia"/>
          <w:sz w:val="24"/>
          <w:szCs w:val="24"/>
        </w:rPr>
      </w:pPr>
      <w:r>
        <w:rPr>
          <w:rFonts w:eastAsia="Georgia" w:cs="Georgia"/>
          <w:sz w:val="24"/>
          <w:szCs w:val="24"/>
        </w:rPr>
        <w:t>As the cage collapses toward blowup, two competing processes occur: the inter-tube gap shrinks (tubes approach each other) and the tube cross-sections shrink (tubes thin via stretching). Reconnection — the topological event where tubes touch, break, and rejoin — requires physical contact. The rates are:</w:t>
      </w:r>
    </w:p>
    <w:p>
      <w:pPr>
        <w:pStyle w:val="Normal"/>
        <w:bidi w:val="0"/>
        <w:spacing w:before="180" w:after="180"/>
        <w:jc w:val="center"/>
        <w:rPr>
          <w:rFonts w:ascii="Courier New" w:hAnsi="Courier New" w:eastAsia="Courier New" w:cs="Courier New"/>
          <w:color w:val="2E4057"/>
          <w:sz w:val="22"/>
          <w:szCs w:val="22"/>
        </w:rPr>
      </w:pPr>
      <w:r>
        <w:rPr>
          <w:rFonts w:eastAsia="Courier New" w:cs="Courier New" w:ascii="Courier New" w:hAnsi="Courier New"/>
          <w:color w:val="2E4057"/>
          <w:sz w:val="22"/>
          <w:szCs w:val="22"/>
        </w:rPr>
        <w:t>Tube thickness: δ(t) ~ δ₀(T−t)^{0.5}   (thinning via stretching)</w:t>
      </w:r>
    </w:p>
    <w:p>
      <w:pPr>
        <w:pStyle w:val="Normal"/>
        <w:bidi w:val="0"/>
        <w:spacing w:before="180" w:after="180"/>
        <w:jc w:val="center"/>
        <w:rPr>
          <w:rFonts w:ascii="Courier New" w:hAnsi="Courier New" w:eastAsia="Courier New" w:cs="Courier New"/>
          <w:color w:val="2E4057"/>
          <w:sz w:val="22"/>
          <w:szCs w:val="22"/>
        </w:rPr>
      </w:pPr>
      <w:r>
        <w:rPr>
          <w:rFonts w:eastAsia="Courier New" w:cs="Courier New" w:ascii="Courier New" w:hAnsi="Courier New"/>
          <w:color w:val="2E4057"/>
          <w:sz w:val="22"/>
          <w:szCs w:val="22"/>
        </w:rPr>
        <w:t>Inter-tube gap: d(t) ~ R₀ sin(π/N)(T−t)^{0.3}   (closing via collapse)</w:t>
      </w:r>
    </w:p>
    <w:p>
      <w:pPr>
        <w:pStyle w:val="Normal"/>
        <w:bidi w:val="0"/>
        <w:spacing w:before="120" w:after="120"/>
        <w:jc w:val="start"/>
        <w:rPr/>
      </w:pPr>
      <w:r>
        <w:rPr>
          <w:rFonts w:eastAsia="Georgia" w:cs="Georgia"/>
          <w:sz w:val="24"/>
          <w:szCs w:val="24"/>
        </w:rPr>
        <w:t xml:space="preserve">Since 0.5 &gt; 0.3, </w:t>
      </w:r>
      <w:r>
        <w:rPr>
          <w:rFonts w:eastAsia="Georgia" w:cs="Georgia"/>
          <w:b/>
          <w:bCs/>
          <w:sz w:val="24"/>
          <w:szCs w:val="24"/>
        </w:rPr>
        <w:t>tubes thin faster than they approach.</w:t>
      </w:r>
      <w:r>
        <w:rPr>
          <w:rFonts w:eastAsia="Georgia" w:cs="Georgia"/>
          <w:sz w:val="24"/>
          <w:szCs w:val="24"/>
        </w:rPr>
        <w:t xml:space="preserve"> The cross-section area vanishes before contact is made. Reconnection is suppressed. The cage topology is preserved all the way to blowup.</w:t>
      </w:r>
    </w:p>
    <w:p>
      <w:pPr>
        <w:pStyle w:val="Normal"/>
        <w:bidi w:val="0"/>
        <w:jc w:val="start"/>
        <w:rPr/>
      </w:pPr>
      <w:r>
        <w:rPr/>
      </w:r>
      <w:r>
        <w:br w:type="page"/>
      </w:r>
    </w:p>
    <w:p>
      <w:pPr>
        <w:pStyle w:val="Heading1"/>
        <w:bidi w:val="0"/>
        <w:spacing w:before="0" w:after="200"/>
        <w:jc w:val="start"/>
        <w:rPr>
          <w:rFonts w:ascii="Arial" w:hAnsi="Arial" w:eastAsia="Arial" w:cs="Arial"/>
          <w:b/>
          <w:bCs/>
          <w:color w:val="1A1A2E"/>
          <w:sz w:val="32"/>
          <w:szCs w:val="32"/>
        </w:rPr>
      </w:pPr>
      <w:r>
        <w:rPr>
          <w:rFonts w:eastAsia="Arial" w:cs="Arial" w:ascii="Arial" w:hAnsi="Arial"/>
          <w:b/>
          <w:bCs/>
          <w:color w:val="1A1A2E"/>
          <w:sz w:val="32"/>
          <w:szCs w:val="32"/>
        </w:rPr>
        <w:t>3. The Skyrmion Correspondence</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3.1 The Skyrme Model</w:t>
      </w:r>
    </w:p>
    <w:p>
      <w:pPr>
        <w:pStyle w:val="Normal"/>
        <w:bidi w:val="0"/>
        <w:spacing w:before="120" w:after="120"/>
        <w:jc w:val="start"/>
        <w:rPr>
          <w:rFonts w:ascii="Georgia" w:hAnsi="Georgia" w:eastAsia="Georgia" w:cs="Georgia"/>
          <w:sz w:val="24"/>
          <w:szCs w:val="24"/>
        </w:rPr>
      </w:pPr>
      <w:r>
        <w:rPr>
          <w:rFonts w:eastAsia="Georgia" w:cs="Georgia"/>
          <w:sz w:val="24"/>
          <w:szCs w:val="24"/>
        </w:rPr>
        <w:t>The Skyrme model (Skyrme, 1961) describes topological solitons in a nonlinear sigma model with target manifold SU(2). The solitons (skyrmions) carry an integer topological charge Q (the baryon number) and are protected from decay by the nontriviality of π₃(SU(2)) = ℤ. The Skyrme Lagrangian has three terms: a quadratic (exchange) term, a quartic (stabilizing) term, and a mass (pinning) term.</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3.2 Term-by-Term Mapping</w:t>
      </w:r>
    </w:p>
    <w:p>
      <w:pPr>
        <w:pStyle w:val="Normal"/>
        <w:bidi w:val="0"/>
        <w:spacing w:before="120" w:after="120"/>
        <w:jc w:val="start"/>
        <w:rPr>
          <w:rFonts w:ascii="Georgia" w:hAnsi="Georgia" w:eastAsia="Georgia" w:cs="Georgia"/>
          <w:sz w:val="24"/>
          <w:szCs w:val="24"/>
        </w:rPr>
      </w:pPr>
      <w:r>
        <w:rPr>
          <w:rFonts w:eastAsia="Georgia" w:cs="Georgia"/>
          <w:sz w:val="24"/>
          <w:szCs w:val="24"/>
        </w:rPr>
        <w:t>Each term of the Skyrme Lagrangian maps onto a physical component of the Supervortex:</w:t>
      </w:r>
    </w:p>
    <w:tbl>
      <w:tblPr>
        <w:tblW w:w="9360" w:type="dxa"/>
        <w:jc w:val="start"/>
        <w:tblInd w:w="0" w:type="dxa"/>
        <w:tblLayout w:type="fixed"/>
        <w:tblCellMar>
          <w:top w:w="80" w:type="dxa"/>
          <w:start w:w="120" w:type="dxa"/>
          <w:bottom w:w="80" w:type="dxa"/>
          <w:end w:w="120" w:type="dxa"/>
        </w:tblCellMar>
      </w:tblPr>
      <w:tblGrid>
        <w:gridCol w:w="2399"/>
        <w:gridCol w:w="3801"/>
        <w:gridCol w:w="3160"/>
      </w:tblGrid>
      <w:tr>
        <w:trPr/>
        <w:tc>
          <w:tcPr>
            <w:tcW w:w="2399" w:type="dxa"/>
            <w:tcBorders>
              <w:top w:val="single" w:sz="2" w:space="0" w:color="CCCCCC"/>
              <w:start w:val="single" w:sz="2" w:space="0" w:color="CCCCCC"/>
              <w:bottom w:val="single" w:sz="2" w:space="0" w:color="CCCCCC"/>
              <w:end w:val="single" w:sz="2" w:space="0" w:color="CCCCCC"/>
            </w:tcBorders>
            <w:shd w:fill="1A1A2E" w:val="clear"/>
          </w:tcPr>
          <w:p>
            <w:pPr>
              <w:pStyle w:val="Normal"/>
              <w:bidi w:val="0"/>
              <w:jc w:val="start"/>
              <w:rPr>
                <w:rFonts w:ascii="Arial" w:hAnsi="Arial" w:eastAsia="Arial" w:cs="Arial"/>
                <w:b/>
                <w:bCs/>
                <w:color w:val="FFFFFF"/>
                <w:sz w:val="20"/>
                <w:szCs w:val="20"/>
              </w:rPr>
            </w:pPr>
            <w:r>
              <w:rPr>
                <w:rFonts w:eastAsia="Arial" w:cs="Arial" w:ascii="Arial" w:hAnsi="Arial"/>
                <w:b/>
                <w:bCs/>
                <w:color w:val="FFFFFF"/>
                <w:sz w:val="20"/>
                <w:szCs w:val="20"/>
              </w:rPr>
              <w:t>Skyrme term</w:t>
            </w:r>
          </w:p>
        </w:tc>
        <w:tc>
          <w:tcPr>
            <w:tcW w:w="3801" w:type="dxa"/>
            <w:tcBorders>
              <w:top w:val="single" w:sz="2" w:space="0" w:color="CCCCCC"/>
              <w:start w:val="single" w:sz="2" w:space="0" w:color="CCCCCC"/>
              <w:bottom w:val="single" w:sz="2" w:space="0" w:color="CCCCCC"/>
              <w:end w:val="single" w:sz="2" w:space="0" w:color="CCCCCC"/>
            </w:tcBorders>
            <w:shd w:fill="1A1A2E" w:val="clear"/>
          </w:tcPr>
          <w:p>
            <w:pPr>
              <w:pStyle w:val="Normal"/>
              <w:bidi w:val="0"/>
              <w:jc w:val="start"/>
              <w:rPr>
                <w:rFonts w:ascii="Arial" w:hAnsi="Arial" w:eastAsia="Arial" w:cs="Arial"/>
                <w:b/>
                <w:bCs/>
                <w:color w:val="FFFFFF"/>
                <w:sz w:val="20"/>
                <w:szCs w:val="20"/>
              </w:rPr>
            </w:pPr>
            <w:r>
              <w:rPr>
                <w:rFonts w:eastAsia="Arial" w:cs="Arial" w:ascii="Arial" w:hAnsi="Arial"/>
                <w:b/>
                <w:bCs/>
                <w:color w:val="FFFFFF"/>
                <w:sz w:val="20"/>
                <w:szCs w:val="20"/>
              </w:rPr>
              <w:t>Supervortex analog</w:t>
            </w:r>
          </w:p>
        </w:tc>
        <w:tc>
          <w:tcPr>
            <w:tcW w:w="3160" w:type="dxa"/>
            <w:tcBorders>
              <w:top w:val="single" w:sz="2" w:space="0" w:color="CCCCCC"/>
              <w:start w:val="single" w:sz="2" w:space="0" w:color="CCCCCC"/>
              <w:bottom w:val="single" w:sz="2" w:space="0" w:color="CCCCCC"/>
              <w:end w:val="single" w:sz="2" w:space="0" w:color="CCCCCC"/>
            </w:tcBorders>
            <w:shd w:fill="1A1A2E" w:val="clear"/>
          </w:tcPr>
          <w:p>
            <w:pPr>
              <w:pStyle w:val="Normal"/>
              <w:bidi w:val="0"/>
              <w:jc w:val="start"/>
              <w:rPr>
                <w:rFonts w:ascii="Arial" w:hAnsi="Arial" w:eastAsia="Arial" w:cs="Arial"/>
                <w:b/>
                <w:bCs/>
                <w:color w:val="FFFFFF"/>
                <w:sz w:val="20"/>
                <w:szCs w:val="20"/>
              </w:rPr>
            </w:pPr>
            <w:r>
              <w:rPr>
                <w:rFonts w:eastAsia="Arial" w:cs="Arial" w:ascii="Arial" w:hAnsi="Arial"/>
                <w:b/>
                <w:bCs/>
                <w:color w:val="FFFFFF"/>
                <w:sz w:val="20"/>
                <w:szCs w:val="20"/>
              </w:rPr>
              <w:t>Physical role</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Quadratic (exchange)</w:t>
            </w:r>
          </w:p>
        </w:tc>
        <w:tc>
          <w:tcPr>
            <w:tcW w:w="38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κ(t) = A/(T−t) kinetic energy</w:t>
            </w:r>
          </w:p>
        </w:tc>
        <w:tc>
          <w:tcPr>
            <w:tcW w:w="3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Energy cost of configuration</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Quartic (stabilizing)</w:t>
            </w:r>
          </w:p>
        </w:tc>
        <w:tc>
          <w:tcPr>
            <w:tcW w:w="38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N cage tubes: mutual repulsion</w:t>
            </w:r>
          </w:p>
        </w:tc>
        <w:tc>
          <w:tcPr>
            <w:tcW w:w="3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Prevents collapse to a point</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Mass (pinning)</w:t>
            </w:r>
          </w:p>
        </w:tc>
        <w:tc>
          <w:tcPr>
            <w:tcW w:w="38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Helicity conservation on ∂V</w:t>
            </w:r>
          </w:p>
        </w:tc>
        <w:tc>
          <w:tcPr>
            <w:tcW w:w="3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Pins boundary condition</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Charge Q (π₃ winding)</w:t>
            </w:r>
          </w:p>
        </w:tc>
        <w:tc>
          <w:tcPr>
            <w:tcW w:w="38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Helicity H (linking number)</w:t>
            </w:r>
          </w:p>
        </w:tc>
        <w:tc>
          <w:tcPr>
            <w:tcW w:w="3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Integer topological invariant</w:t>
            </w:r>
          </w:p>
        </w:tc>
      </w:tr>
    </w:tbl>
    <w:p>
      <w:pPr>
        <w:pStyle w:val="Normal"/>
        <w:bidi w:val="0"/>
        <w:spacing w:before="0" w:after="120"/>
        <w:jc w:val="start"/>
        <w:rPr/>
      </w:pPr>
      <w:r>
        <w:rPr/>
      </w:r>
    </w:p>
    <w:p>
      <w:pPr>
        <w:pStyle w:val="Normal"/>
        <w:bidi w:val="0"/>
        <w:spacing w:before="120" w:after="120"/>
        <w:jc w:val="start"/>
        <w:rPr>
          <w:rFonts w:ascii="Georgia" w:hAnsi="Georgia" w:eastAsia="Georgia" w:cs="Georgia"/>
          <w:sz w:val="24"/>
          <w:szCs w:val="24"/>
        </w:rPr>
      </w:pPr>
      <w:r>
        <w:rPr>
          <w:rFonts w:eastAsia="Georgia" w:cs="Georgia"/>
          <w:sz w:val="24"/>
          <w:szCs w:val="24"/>
        </w:rPr>
        <w:t>The mapping is structural, not analogical: each Skyrme mechanism has a concrete fluid-dynamical realization in the cage geometry.</w:t>
      </w:r>
    </w:p>
    <w:p>
      <w:pPr>
        <w:pStyle w:val="Normal"/>
        <w:bidi w:val="0"/>
        <w:jc w:val="start"/>
        <w:rPr/>
      </w:pPr>
      <w:r>
        <w:rPr/>
      </w:r>
      <w:r>
        <w:br w:type="page"/>
      </w:r>
    </w:p>
    <w:p>
      <w:pPr>
        <w:pStyle w:val="Heading1"/>
        <w:bidi w:val="0"/>
        <w:spacing w:before="0" w:after="200"/>
        <w:jc w:val="start"/>
        <w:rPr>
          <w:rFonts w:ascii="Arial" w:hAnsi="Arial" w:eastAsia="Arial" w:cs="Arial"/>
          <w:b/>
          <w:bCs/>
          <w:color w:val="1A1A2E"/>
          <w:sz w:val="32"/>
          <w:szCs w:val="32"/>
        </w:rPr>
      </w:pPr>
      <w:r>
        <w:rPr>
          <w:rFonts w:eastAsia="Arial" w:cs="Arial" w:ascii="Arial" w:hAnsi="Arial"/>
          <w:b/>
          <w:bCs/>
          <w:color w:val="1A1A2E"/>
          <w:sz w:val="32"/>
          <w:szCs w:val="32"/>
        </w:rPr>
        <w:t>4. The Hopf Fibration Bridge: Q = H</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4.1 The Dictionary</w:t>
      </w:r>
    </w:p>
    <w:p>
      <w:pPr>
        <w:pStyle w:val="Normal"/>
        <w:bidi w:val="0"/>
        <w:spacing w:before="120" w:after="120"/>
        <w:jc w:val="start"/>
        <w:rPr>
          <w:rFonts w:ascii="Georgia" w:hAnsi="Georgia" w:eastAsia="Georgia" w:cs="Georgia"/>
          <w:sz w:val="24"/>
          <w:szCs w:val="24"/>
        </w:rPr>
      </w:pPr>
      <w:r>
        <w:rPr>
          <w:rFonts w:eastAsia="Georgia" w:cs="Georgia"/>
          <w:sz w:val="24"/>
          <w:szCs w:val="24"/>
        </w:rPr>
        <w:t>We define the unit vorticity direction field:</w:t>
      </w:r>
    </w:p>
    <w:p>
      <w:pPr>
        <w:pStyle w:val="Normal"/>
        <w:bidi w:val="0"/>
        <w:spacing w:before="180" w:after="180"/>
        <w:jc w:val="center"/>
        <w:rPr>
          <w:rFonts w:ascii="Courier New" w:hAnsi="Courier New" w:eastAsia="Courier New" w:cs="Courier New"/>
          <w:color w:val="2E4057"/>
          <w:sz w:val="22"/>
          <w:szCs w:val="22"/>
        </w:rPr>
      </w:pPr>
      <w:r>
        <w:rPr>
          <w:rFonts w:eastAsia="Courier New" w:cs="Courier New" w:ascii="Courier New" w:hAnsi="Courier New"/>
          <w:color w:val="2E4057"/>
          <w:sz w:val="22"/>
          <w:szCs w:val="22"/>
        </w:rPr>
        <w:t>ω̂(r) = ω(r) / |ω(r)|  :  ℝ³ → S²</w:t>
      </w:r>
    </w:p>
    <w:p>
      <w:pPr>
        <w:pStyle w:val="Normal"/>
        <w:bidi w:val="0"/>
        <w:spacing w:before="120" w:after="120"/>
        <w:jc w:val="start"/>
        <w:rPr>
          <w:rFonts w:ascii="Georgia" w:hAnsi="Georgia" w:eastAsia="Georgia" w:cs="Georgia"/>
          <w:sz w:val="24"/>
          <w:szCs w:val="24"/>
        </w:rPr>
      </w:pPr>
      <w:r>
        <w:rPr>
          <w:rFonts w:eastAsia="Georgia" w:cs="Georgia"/>
          <w:sz w:val="24"/>
          <w:szCs w:val="24"/>
        </w:rPr>
        <w:t>This replaces the Skyrme spin field n̂(r): ℝ² → S². Both are unit vector fields on the 2-sphere.</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4.2 From Wrapping to Linking</w:t>
      </w:r>
    </w:p>
    <w:p>
      <w:pPr>
        <w:pStyle w:val="Normal"/>
        <w:bidi w:val="0"/>
        <w:spacing w:before="120" w:after="120"/>
        <w:jc w:val="start"/>
        <w:rPr>
          <w:rFonts w:ascii="Georgia" w:hAnsi="Georgia" w:eastAsia="Georgia" w:cs="Georgia"/>
          <w:sz w:val="24"/>
          <w:szCs w:val="24"/>
        </w:rPr>
      </w:pPr>
      <w:r>
        <w:rPr>
          <w:rFonts w:eastAsia="Georgia" w:cs="Georgia"/>
          <w:sz w:val="24"/>
          <w:szCs w:val="24"/>
        </w:rPr>
        <w:t>The skyrmion charge Q counts wrappings of the direction field around S² on a cross-section:</w:t>
      </w:r>
    </w:p>
    <w:p>
      <w:pPr>
        <w:pStyle w:val="Normal"/>
        <w:bidi w:val="0"/>
        <w:spacing w:before="180" w:after="180"/>
        <w:jc w:val="center"/>
        <w:rPr>
          <w:rFonts w:ascii="Courier New" w:hAnsi="Courier New" w:eastAsia="Courier New" w:cs="Courier New"/>
          <w:color w:val="2E4057"/>
          <w:sz w:val="22"/>
          <w:szCs w:val="22"/>
        </w:rPr>
      </w:pPr>
      <w:r>
        <w:rPr>
          <w:rFonts w:eastAsia="Courier New" w:cs="Courier New" w:ascii="Courier New" w:hAnsi="Courier New"/>
          <w:color w:val="2E4057"/>
          <w:sz w:val="22"/>
          <w:szCs w:val="22"/>
        </w:rPr>
        <w:t>Q = (1/4π) ∫ ω̂ · (∂ₓω̂ × ∂ᵧω̂) d²r</w:t>
      </w:r>
    </w:p>
    <w:p>
      <w:pPr>
        <w:pStyle w:val="Normal"/>
        <w:bidi w:val="0"/>
        <w:spacing w:before="120" w:after="120"/>
        <w:jc w:val="start"/>
        <w:rPr>
          <w:rFonts w:ascii="Georgia" w:hAnsi="Georgia" w:eastAsia="Georgia" w:cs="Georgia"/>
          <w:sz w:val="24"/>
          <w:szCs w:val="24"/>
        </w:rPr>
      </w:pPr>
      <w:r>
        <w:rPr>
          <w:rFonts w:eastAsia="Georgia" w:cs="Georgia"/>
          <w:sz w:val="24"/>
          <w:szCs w:val="24"/>
        </w:rPr>
        <w:t>The fluid helicity H counts linking of vortex lines in a volume:</w:t>
      </w:r>
    </w:p>
    <w:p>
      <w:pPr>
        <w:pStyle w:val="Normal"/>
        <w:bidi w:val="0"/>
        <w:spacing w:before="180" w:after="180"/>
        <w:jc w:val="center"/>
        <w:rPr>
          <w:rFonts w:ascii="Courier New" w:hAnsi="Courier New" w:eastAsia="Courier New" w:cs="Courier New"/>
          <w:color w:val="2E4057"/>
          <w:sz w:val="22"/>
          <w:szCs w:val="22"/>
        </w:rPr>
      </w:pPr>
      <w:r>
        <w:rPr>
          <w:rFonts w:eastAsia="Courier New" w:cs="Courier New" w:ascii="Courier New" w:hAnsi="Courier New"/>
          <w:color w:val="2E4057"/>
          <w:sz w:val="22"/>
          <w:szCs w:val="22"/>
        </w:rPr>
        <w:t>H = ∫ u · ω dV</w:t>
      </w:r>
    </w:p>
    <w:p>
      <w:pPr>
        <w:pStyle w:val="Normal"/>
        <w:bidi w:val="0"/>
        <w:spacing w:before="120" w:after="120"/>
        <w:jc w:val="start"/>
        <w:rPr>
          <w:rFonts w:ascii="Georgia" w:hAnsi="Georgia" w:eastAsia="Georgia" w:cs="Georgia"/>
          <w:sz w:val="24"/>
          <w:szCs w:val="24"/>
        </w:rPr>
      </w:pPr>
      <w:r>
        <w:rPr>
          <w:rFonts w:eastAsia="Georgia" w:cs="Georgia"/>
          <w:sz w:val="24"/>
          <w:szCs w:val="24"/>
        </w:rPr>
        <w:t>The Hopf fibration (Hopf, 1931) converts 2D wrapping into 3D linking via the map S³ → S², where every pair of fibers is linked with linking number 1. Arnold (1974) proved that helicity is the asymptotic Hopf invariant, establishing the rigorous connection between wrapping and linking.</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4.3 Application to the Cage</w:t>
      </w:r>
    </w:p>
    <w:p>
      <w:pPr>
        <w:pStyle w:val="Normal"/>
        <w:bidi w:val="0"/>
        <w:spacing w:before="120" w:after="120"/>
        <w:jc w:val="start"/>
        <w:rPr>
          <w:rFonts w:ascii="Georgia" w:hAnsi="Georgia" w:eastAsia="Georgia" w:cs="Georgia"/>
          <w:sz w:val="24"/>
          <w:szCs w:val="24"/>
        </w:rPr>
      </w:pPr>
      <w:r>
        <w:rPr>
          <w:rFonts w:eastAsia="Georgia" w:cs="Georgia"/>
          <w:sz w:val="24"/>
          <w:szCs w:val="24"/>
        </w:rPr>
        <w:t>The Supervortex cage geometry makes the Hopf bridge concrete:</w:t>
      </w:r>
    </w:p>
    <w:p>
      <w:pPr>
        <w:pStyle w:val="ListParagraph"/>
        <w:numPr>
          <w:ilvl w:val="0"/>
          <w:numId w:val="3"/>
        </w:numPr>
        <w:bidi w:val="0"/>
        <w:spacing w:before="60" w:after="60"/>
        <w:jc w:val="start"/>
        <w:rPr>
          <w:rFonts w:ascii="Georgia" w:hAnsi="Georgia" w:eastAsia="Georgia" w:cs="Georgia"/>
          <w:sz w:val="24"/>
          <w:szCs w:val="24"/>
        </w:rPr>
      </w:pPr>
      <w:r>
        <w:rPr>
          <w:rFonts w:eastAsia="Georgia" w:cs="Georgia"/>
          <w:sz w:val="24"/>
          <w:szCs w:val="24"/>
        </w:rPr>
        <w:t>All N cage tubes are closed rings. Linking numbers are well-defined.</w:t>
      </w:r>
    </w:p>
    <w:p>
      <w:pPr>
        <w:pStyle w:val="ListParagraph"/>
        <w:numPr>
          <w:ilvl w:val="0"/>
          <w:numId w:val="2"/>
        </w:numPr>
        <w:bidi w:val="0"/>
        <w:spacing w:before="60" w:after="60"/>
        <w:jc w:val="start"/>
        <w:rPr>
          <w:rFonts w:ascii="Georgia" w:hAnsi="Georgia" w:eastAsia="Georgia" w:cs="Georgia"/>
          <w:sz w:val="24"/>
          <w:szCs w:val="24"/>
        </w:rPr>
      </w:pPr>
      <w:r>
        <w:rPr>
          <w:rFonts w:eastAsia="Georgia" w:cs="Georgia"/>
          <w:sz w:val="24"/>
          <w:szCs w:val="24"/>
        </w:rPr>
        <w:t>Each cage tube encircles the central tube exactly once: Link(i, C) = 1.</w:t>
      </w:r>
    </w:p>
    <w:p>
      <w:pPr>
        <w:pStyle w:val="ListParagraph"/>
        <w:numPr>
          <w:ilvl w:val="0"/>
          <w:numId w:val="2"/>
        </w:numPr>
        <w:bidi w:val="0"/>
        <w:spacing w:before="60" w:after="60"/>
        <w:jc w:val="start"/>
        <w:rPr>
          <w:rFonts w:ascii="Georgia" w:hAnsi="Georgia" w:eastAsia="Georgia" w:cs="Georgia"/>
          <w:sz w:val="24"/>
          <w:szCs w:val="24"/>
        </w:rPr>
      </w:pPr>
      <w:r>
        <w:rPr>
          <w:rFonts w:eastAsia="Georgia" w:cs="Georgia"/>
          <w:sz w:val="24"/>
          <w:szCs w:val="24"/>
        </w:rPr>
        <w:t>Cage tubes do not link each other (they are coplanar).</w:t>
      </w:r>
    </w:p>
    <w:p>
      <w:pPr>
        <w:pStyle w:val="Normal"/>
        <w:bidi w:val="0"/>
        <w:spacing w:before="120" w:after="120"/>
        <w:jc w:val="start"/>
        <w:rPr>
          <w:rFonts w:ascii="Georgia" w:hAnsi="Georgia" w:eastAsia="Georgia" w:cs="Georgia"/>
          <w:sz w:val="24"/>
          <w:szCs w:val="24"/>
        </w:rPr>
      </w:pPr>
      <w:r>
        <w:rPr>
          <w:rFonts w:eastAsia="Georgia" w:cs="Georgia"/>
          <w:sz w:val="24"/>
          <w:szCs w:val="24"/>
        </w:rPr>
        <w:t>By Moffatt’s theorem (Moffatt, 1969), the helicity for linked tubes with circulations κᵢ is:</w:t>
      </w:r>
    </w:p>
    <w:p>
      <w:pPr>
        <w:pStyle w:val="Normal"/>
        <w:bidi w:val="0"/>
        <w:spacing w:before="180" w:after="180"/>
        <w:jc w:val="center"/>
        <w:rPr>
          <w:rFonts w:ascii="Courier New" w:hAnsi="Courier New" w:eastAsia="Courier New" w:cs="Courier New"/>
          <w:color w:val="2E4057"/>
          <w:sz w:val="22"/>
          <w:szCs w:val="22"/>
        </w:rPr>
      </w:pPr>
      <w:r>
        <w:rPr>
          <w:rFonts w:eastAsia="Courier New" w:cs="Courier New" w:ascii="Courier New" w:hAnsi="Courier New"/>
          <w:color w:val="2E4057"/>
          <w:sz w:val="22"/>
          <w:szCs w:val="22"/>
        </w:rPr>
        <w:t>H = Σ 2 · Link(i,j) · κᵢ · κⱼ = 2Nκ_t · A/(T−t)</w:t>
      </w:r>
    </w:p>
    <w:p>
      <w:pPr>
        <w:pStyle w:val="Normal"/>
        <w:bidi w:val="0"/>
        <w:spacing w:before="120" w:after="120"/>
        <w:jc w:val="start"/>
        <w:rPr>
          <w:rFonts w:ascii="Georgia" w:hAnsi="Georgia" w:eastAsia="Georgia" w:cs="Georgia"/>
          <w:sz w:val="24"/>
          <w:szCs w:val="24"/>
        </w:rPr>
      </w:pPr>
      <w:r>
        <w:rPr>
          <w:rFonts w:eastAsia="Georgia" w:cs="Georgia"/>
          <w:sz w:val="24"/>
          <w:szCs w:val="24"/>
        </w:rPr>
        <w:t>The 2D skyrmion charge on any cross-section is Q = N (one wrapping per cage tube). Both Q and H count the same N cage tubes. The Hopf fibration is the mathematical object that converts wrappings to linkings; Moffatt’s theorem converts linkings to helicity.</w:t>
      </w:r>
    </w:p>
    <w:p>
      <w:pPr>
        <w:pStyle w:val="Normal"/>
        <w:bidi w:val="0"/>
        <w:spacing w:before="120" w:after="120"/>
        <w:jc w:val="start"/>
        <w:rPr/>
      </w:pPr>
      <w:r>
        <w:rPr>
          <w:rFonts w:eastAsia="Georgia" w:cs="Georgia"/>
          <w:b/>
          <w:bCs/>
          <w:sz w:val="24"/>
          <w:szCs w:val="24"/>
        </w:rPr>
        <w:t xml:space="preserve">Result: </w:t>
      </w:r>
      <w:r>
        <w:rPr>
          <w:rFonts w:eastAsia="Georgia" w:cs="Georgia"/>
          <w:sz w:val="24"/>
          <w:szCs w:val="24"/>
        </w:rPr>
        <w:t>Q and H are the same topological information expressed in different dimensions.</w:t>
      </w:r>
    </w:p>
    <w:p>
      <w:pPr>
        <w:pStyle w:val="Normal"/>
        <w:bidi w:val="0"/>
        <w:jc w:val="start"/>
        <w:rPr/>
      </w:pPr>
      <w:r>
        <w:rPr/>
      </w:r>
      <w:r>
        <w:br w:type="page"/>
      </w:r>
    </w:p>
    <w:p>
      <w:pPr>
        <w:pStyle w:val="Heading1"/>
        <w:bidi w:val="0"/>
        <w:spacing w:before="0" w:after="200"/>
        <w:jc w:val="start"/>
        <w:rPr>
          <w:rFonts w:ascii="Arial" w:hAnsi="Arial" w:eastAsia="Arial" w:cs="Arial"/>
          <w:b/>
          <w:bCs/>
          <w:color w:val="1A1A2E"/>
          <w:sz w:val="32"/>
          <w:szCs w:val="32"/>
        </w:rPr>
      </w:pPr>
      <w:r>
        <w:rPr>
          <w:rFonts w:eastAsia="Arial" w:cs="Arial" w:ascii="Arial" w:hAnsi="Arial"/>
          <w:b/>
          <w:bCs/>
          <w:color w:val="1A1A2E"/>
          <w:sz w:val="32"/>
          <w:szCs w:val="32"/>
        </w:rPr>
        <w:t>5. The Viscous Subtlety and Its Resolution</w:t>
      </w:r>
    </w:p>
    <w:p>
      <w:pPr>
        <w:pStyle w:val="Normal"/>
        <w:bidi w:val="0"/>
        <w:spacing w:before="120" w:after="120"/>
        <w:jc w:val="start"/>
        <w:rPr>
          <w:rFonts w:ascii="Georgia" w:hAnsi="Georgia" w:eastAsia="Georgia" w:cs="Georgia"/>
          <w:sz w:val="24"/>
          <w:szCs w:val="24"/>
        </w:rPr>
      </w:pPr>
      <w:r>
        <w:rPr>
          <w:rFonts w:eastAsia="Georgia" w:cs="Georgia"/>
          <w:sz w:val="24"/>
          <w:szCs w:val="24"/>
        </w:rPr>
        <w:t>Moffatt’s theorem guarantees helicity conservation in ideal (Euler) flow. The Navier–Stokes equations include viscosity ν, which introduces helicity dissipation:</w:t>
      </w:r>
    </w:p>
    <w:p>
      <w:pPr>
        <w:pStyle w:val="Normal"/>
        <w:bidi w:val="0"/>
        <w:spacing w:before="180" w:after="180"/>
        <w:jc w:val="center"/>
        <w:rPr>
          <w:rFonts w:ascii="Courier New" w:hAnsi="Courier New" w:eastAsia="Courier New" w:cs="Courier New"/>
          <w:color w:val="2E4057"/>
          <w:sz w:val="22"/>
          <w:szCs w:val="22"/>
        </w:rPr>
      </w:pPr>
      <w:r>
        <w:rPr>
          <w:rFonts w:eastAsia="Courier New" w:cs="Courier New" w:ascii="Courier New" w:hAnsi="Courier New"/>
          <w:color w:val="2E4057"/>
          <w:sz w:val="22"/>
          <w:szCs w:val="22"/>
        </w:rPr>
        <w:t>dH/dt = −2ν ∫ ω · (∇ × ω) dV</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5.1 Magnitude vs Topology</w:t>
      </w:r>
    </w:p>
    <w:p>
      <w:pPr>
        <w:pStyle w:val="Normal"/>
        <w:bidi w:val="0"/>
        <w:spacing w:before="120" w:after="120"/>
        <w:jc w:val="start"/>
        <w:rPr/>
      </w:pPr>
      <w:r>
        <w:rPr>
          <w:rFonts w:eastAsia="Georgia" w:cs="Georgia"/>
          <w:b/>
          <w:bCs/>
          <w:sz w:val="24"/>
          <w:szCs w:val="24"/>
        </w:rPr>
        <w:t xml:space="preserve">Viscosity can: </w:t>
      </w:r>
      <w:r>
        <w:rPr>
          <w:rFonts w:eastAsia="Georgia" w:cs="Georgia"/>
          <w:sz w:val="24"/>
          <w:szCs w:val="24"/>
        </w:rPr>
        <w:t>Smoothly decrease the magnitude of helicity. The circulations weaken gradually over time. This is a continuous process.</w:t>
      </w:r>
    </w:p>
    <w:p>
      <w:pPr>
        <w:pStyle w:val="Normal"/>
        <w:bidi w:val="0"/>
        <w:spacing w:before="120" w:after="120"/>
        <w:jc w:val="start"/>
        <w:rPr/>
      </w:pPr>
      <w:r>
        <w:rPr>
          <w:rFonts w:eastAsia="Georgia" w:cs="Georgia"/>
          <w:b/>
          <w:bCs/>
          <w:sz w:val="24"/>
          <w:szCs w:val="24"/>
        </w:rPr>
        <w:t xml:space="preserve">Viscosity cannot: </w:t>
      </w:r>
      <w:r>
        <w:rPr>
          <w:rFonts w:eastAsia="Georgia" w:cs="Georgia"/>
          <w:sz w:val="24"/>
          <w:szCs w:val="24"/>
        </w:rPr>
        <w:t>Change the linking number. Linking number is an integer that can only change through reconnection — a topology-changing event where tubes physically touch, break, and rejoin.</w:t>
      </w:r>
    </w:p>
    <w:p>
      <w:pPr>
        <w:pStyle w:val="Normal"/>
        <w:bidi w:val="0"/>
        <w:spacing w:before="120" w:after="120"/>
        <w:jc w:val="start"/>
        <w:rPr>
          <w:rFonts w:ascii="Georgia" w:hAnsi="Georgia" w:eastAsia="Georgia" w:cs="Georgia"/>
          <w:sz w:val="24"/>
          <w:szCs w:val="24"/>
        </w:rPr>
      </w:pPr>
      <w:r>
        <w:rPr>
          <w:rFonts w:eastAsia="Georgia" w:cs="Georgia"/>
          <w:sz w:val="24"/>
          <w:szCs w:val="24"/>
        </w:rPr>
        <w:t>Viscosity can turn down the volume. It cannot change the song.</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5.2 Reconnection Is Suppressed</w:t>
      </w:r>
    </w:p>
    <w:p>
      <w:pPr>
        <w:pStyle w:val="Normal"/>
        <w:bidi w:val="0"/>
        <w:spacing w:before="120" w:after="120"/>
        <w:jc w:val="start"/>
        <w:rPr>
          <w:rFonts w:ascii="Georgia" w:hAnsi="Georgia" w:eastAsia="Georgia" w:cs="Georgia"/>
          <w:sz w:val="24"/>
          <w:szCs w:val="24"/>
        </w:rPr>
      </w:pPr>
      <w:r>
        <w:rPr>
          <w:rFonts w:eastAsia="Georgia" w:cs="Georgia"/>
          <w:sz w:val="24"/>
          <w:szCs w:val="24"/>
        </w:rPr>
        <w:t>As established in §2.2, tubes thin faster than they approach (δ ~ (T−t)^{0.5} vs gap ~ (T−t)^{0.3}). Physical contact never occurs. The discrete linking topology (N tubes, each with linking number 1) is preserved even in viscous flow.</w:t>
      </w:r>
    </w:p>
    <w:p>
      <w:pPr>
        <w:pStyle w:val="Normal"/>
        <w:bidi w:val="0"/>
        <w:spacing w:before="120" w:after="120"/>
        <w:jc w:val="start"/>
        <w:rPr>
          <w:rFonts w:ascii="Georgia" w:hAnsi="Georgia" w:eastAsia="Georgia" w:cs="Georgia"/>
          <w:b/>
          <w:bCs/>
          <w:sz w:val="24"/>
          <w:szCs w:val="24"/>
        </w:rPr>
      </w:pPr>
      <w:r>
        <w:rPr>
          <w:rFonts w:eastAsia="Georgia" w:cs="Georgia"/>
          <w:b/>
          <w:bCs/>
          <w:sz w:val="24"/>
          <w:szCs w:val="24"/>
        </w:rPr>
        <w:t>The Skyrmion correspondence holds for Navier–Stokes, not just Euler.</w:t>
      </w:r>
    </w:p>
    <w:p>
      <w:pPr>
        <w:pStyle w:val="Normal"/>
        <w:bidi w:val="0"/>
        <w:jc w:val="start"/>
        <w:rPr/>
      </w:pPr>
      <w:r>
        <w:rPr/>
      </w:r>
      <w:r>
        <w:br w:type="page"/>
      </w:r>
    </w:p>
    <w:p>
      <w:pPr>
        <w:pStyle w:val="Heading1"/>
        <w:bidi w:val="0"/>
        <w:spacing w:before="0" w:after="200"/>
        <w:jc w:val="start"/>
        <w:rPr>
          <w:rFonts w:ascii="Arial" w:hAnsi="Arial" w:eastAsia="Arial" w:cs="Arial"/>
          <w:b/>
          <w:bCs/>
          <w:color w:val="1A1A2E"/>
          <w:sz w:val="32"/>
          <w:szCs w:val="32"/>
        </w:rPr>
      </w:pPr>
      <w:r>
        <w:rPr>
          <w:rFonts w:eastAsia="Arial" w:cs="Arial" w:ascii="Arial" w:hAnsi="Arial"/>
          <w:b/>
          <w:bCs/>
          <w:color w:val="1A1A2E"/>
          <w:sz w:val="32"/>
          <w:szCs w:val="32"/>
        </w:rPr>
        <w:t>6. Function Space Verification</w:t>
      </w:r>
    </w:p>
    <w:p>
      <w:pPr>
        <w:pStyle w:val="Normal"/>
        <w:bidi w:val="0"/>
        <w:spacing w:before="120" w:after="120"/>
        <w:jc w:val="start"/>
        <w:rPr>
          <w:rFonts w:ascii="Georgia" w:hAnsi="Georgia" w:eastAsia="Georgia" w:cs="Georgia"/>
          <w:sz w:val="24"/>
          <w:szCs w:val="24"/>
        </w:rPr>
      </w:pPr>
      <w:r>
        <w:rPr>
          <w:rFonts w:eastAsia="Georgia" w:cs="Georgia"/>
          <w:sz w:val="24"/>
          <w:szCs w:val="24"/>
        </w:rPr>
        <w:t>The Skyrme stability proofs rely on three mathematical properties. Each must hold in the fluid setting for the proofs to transfer.</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6.1 Finite Energy Implies Sobolev H¹ Regularity</w:t>
      </w:r>
    </w:p>
    <w:p>
      <w:pPr>
        <w:pStyle w:val="Normal"/>
        <w:bidi w:val="0"/>
        <w:spacing w:before="120" w:after="120"/>
        <w:jc w:val="start"/>
        <w:rPr/>
      </w:pPr>
      <w:r>
        <w:rPr>
          <w:rFonts w:eastAsia="Georgia" w:cs="Georgia"/>
          <w:b/>
          <w:bCs/>
          <w:sz w:val="24"/>
          <w:szCs w:val="24"/>
        </w:rPr>
        <w:t xml:space="preserve">Skyrme: </w:t>
      </w:r>
      <w:r>
        <w:rPr>
          <w:rFonts w:eastAsia="Georgia" w:cs="Georgia"/>
          <w:sz w:val="24"/>
          <w:szCs w:val="24"/>
        </w:rPr>
        <w:t>Finite Skyrme energy implies U ∈ H¹(ℝ³; SU(2)).</w:t>
      </w:r>
    </w:p>
    <w:p>
      <w:pPr>
        <w:pStyle w:val="Normal"/>
        <w:bidi w:val="0"/>
        <w:spacing w:before="120" w:after="120"/>
        <w:jc w:val="start"/>
        <w:rPr/>
      </w:pPr>
      <w:r>
        <w:rPr>
          <w:rFonts w:eastAsia="Georgia" w:cs="Georgia"/>
          <w:b/>
          <w:bCs/>
          <w:sz w:val="24"/>
          <w:szCs w:val="24"/>
        </w:rPr>
        <w:t xml:space="preserve">Fluid: </w:t>
      </w:r>
      <w:r>
        <w:rPr>
          <w:rFonts w:eastAsia="Georgia" w:cs="Georgia"/>
          <w:sz w:val="24"/>
          <w:szCs w:val="24"/>
        </w:rPr>
        <w:t>Finite kinetic energy implies u ∈ H¹(Ω). This is standard Navier–Stokes theory.</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6.2 Topological Charge Is Continuous in H¹</w:t>
      </w:r>
    </w:p>
    <w:p>
      <w:pPr>
        <w:pStyle w:val="Normal"/>
        <w:bidi w:val="0"/>
        <w:spacing w:before="120" w:after="120"/>
        <w:jc w:val="start"/>
        <w:rPr/>
      </w:pPr>
      <w:r>
        <w:rPr>
          <w:rFonts w:eastAsia="Georgia" w:cs="Georgia"/>
          <w:b/>
          <w:bCs/>
          <w:sz w:val="24"/>
          <w:szCs w:val="24"/>
        </w:rPr>
        <w:t xml:space="preserve">Skyrme: </w:t>
      </w:r>
      <w:r>
        <w:rPr>
          <w:rFonts w:eastAsia="Georgia" w:cs="Georgia"/>
          <w:sz w:val="24"/>
          <w:szCs w:val="24"/>
        </w:rPr>
        <w:t>The winding number Q is continuous in the H¹ topology. Since Q ∈ ℤ and is continuous, it is constant under continuous deformation.</w:t>
      </w:r>
    </w:p>
    <w:p>
      <w:pPr>
        <w:pStyle w:val="Normal"/>
        <w:bidi w:val="0"/>
        <w:spacing w:before="120" w:after="120"/>
        <w:jc w:val="start"/>
        <w:rPr/>
      </w:pPr>
      <w:r>
        <w:rPr>
          <w:rFonts w:eastAsia="Georgia" w:cs="Georgia"/>
          <w:b/>
          <w:bCs/>
          <w:sz w:val="24"/>
          <w:szCs w:val="24"/>
        </w:rPr>
        <w:t xml:space="preserve">Fluid: </w:t>
      </w:r>
      <w:r>
        <w:rPr>
          <w:rFonts w:eastAsia="Georgia" w:cs="Georgia"/>
          <w:sz w:val="24"/>
          <w:szCs w:val="24"/>
        </w:rPr>
        <w:t>Helicity H = ∫u·ω dV is a quadratic functional, hence continuous in H¹ by Cauchy–Schwarz. The linking number is integer-valued. Integer + continuous = constant.</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6.3 Compactness</w:t>
      </w:r>
    </w:p>
    <w:p>
      <w:pPr>
        <w:pStyle w:val="Normal"/>
        <w:bidi w:val="0"/>
        <w:spacing w:before="120" w:after="120"/>
        <w:jc w:val="start"/>
        <w:rPr/>
      </w:pPr>
      <w:r>
        <w:rPr>
          <w:rFonts w:eastAsia="Georgia" w:cs="Georgia"/>
          <w:b/>
          <w:bCs/>
          <w:sz w:val="24"/>
          <w:szCs w:val="24"/>
        </w:rPr>
        <w:t xml:space="preserve">Both: </w:t>
      </w:r>
      <w:r>
        <w:rPr>
          <w:rFonts w:eastAsia="Georgia" w:cs="Georgia"/>
          <w:sz w:val="24"/>
          <w:szCs w:val="24"/>
        </w:rPr>
        <w:t>The Rellich–Kondrachov theorem gives compact embedding H¹(Ω) ↪ L²(Ω) on bounded domains. This is the same theorem in both settings, independent of the target manifold.</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6.4 Target Manifold</w:t>
      </w:r>
    </w:p>
    <w:p>
      <w:pPr>
        <w:pStyle w:val="Normal"/>
        <w:bidi w:val="0"/>
        <w:spacing w:before="120" w:after="120"/>
        <w:jc w:val="start"/>
        <w:rPr>
          <w:rFonts w:ascii="Georgia" w:hAnsi="Georgia" w:eastAsia="Georgia" w:cs="Georgia"/>
          <w:sz w:val="24"/>
          <w:szCs w:val="24"/>
        </w:rPr>
      </w:pPr>
      <w:r>
        <w:rPr>
          <w:rFonts w:eastAsia="Georgia" w:cs="Georgia"/>
          <w:sz w:val="24"/>
          <w:szCs w:val="24"/>
        </w:rPr>
        <w:t>The Skyrme field maps to SU(2) ≅ S³. The vorticity direction maps to S². Both have π₃ = ℤ (the integers). For S³ this is the identity; for S² this is the Hopf invariant (Hopf, 1931). The stability proofs require only π₃ = ℤ and the properties above. The target manifold difference does not affect the argument.</w:t>
      </w:r>
    </w:p>
    <w:p>
      <w:pPr>
        <w:pStyle w:val="Normal"/>
        <w:bidi w:val="0"/>
        <w:spacing w:before="120" w:after="120"/>
        <w:jc w:val="start"/>
        <w:rPr/>
      </w:pPr>
      <w:r>
        <w:rPr>
          <w:rFonts w:eastAsia="Georgia" w:cs="Georgia"/>
          <w:b/>
          <w:bCs/>
          <w:sz w:val="24"/>
          <w:szCs w:val="24"/>
        </w:rPr>
        <w:t>All checks pass.</w:t>
      </w:r>
      <w:r>
        <w:rPr>
          <w:rFonts w:eastAsia="Georgia" w:cs="Georgia"/>
          <w:sz w:val="24"/>
          <w:szCs w:val="24"/>
        </w:rPr>
        <w:t xml:space="preserve"> The Skyrme stability proofs survive translation to fluid variables.</w:t>
      </w:r>
    </w:p>
    <w:p>
      <w:pPr>
        <w:pStyle w:val="Normal"/>
        <w:bidi w:val="0"/>
        <w:jc w:val="start"/>
        <w:rPr/>
      </w:pPr>
      <w:r>
        <w:rPr/>
      </w:r>
      <w:r>
        <w:br w:type="page"/>
      </w:r>
    </w:p>
    <w:p>
      <w:pPr>
        <w:pStyle w:val="Heading1"/>
        <w:bidi w:val="0"/>
        <w:spacing w:before="0" w:after="200"/>
        <w:jc w:val="start"/>
        <w:rPr>
          <w:rFonts w:ascii="Arial" w:hAnsi="Arial" w:eastAsia="Arial" w:cs="Arial"/>
          <w:b/>
          <w:bCs/>
          <w:color w:val="1A1A2E"/>
          <w:sz w:val="32"/>
          <w:szCs w:val="32"/>
        </w:rPr>
      </w:pPr>
      <w:r>
        <w:rPr>
          <w:rFonts w:eastAsia="Arial" w:cs="Arial" w:ascii="Arial" w:hAnsi="Arial"/>
          <w:b/>
          <w:bCs/>
          <w:color w:val="1A1A2E"/>
          <w:sz w:val="32"/>
          <w:szCs w:val="32"/>
        </w:rPr>
        <w:t>7. The Energy Landscape</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7.1 Derrick Stabilization</w:t>
      </w:r>
    </w:p>
    <w:p>
      <w:pPr>
        <w:pStyle w:val="Normal"/>
        <w:bidi w:val="0"/>
        <w:spacing w:before="120" w:after="120"/>
        <w:jc w:val="start"/>
        <w:rPr>
          <w:rFonts w:ascii="Georgia" w:hAnsi="Georgia" w:eastAsia="Georgia" w:cs="Georgia"/>
          <w:sz w:val="24"/>
          <w:szCs w:val="24"/>
        </w:rPr>
      </w:pPr>
      <w:r>
        <w:rPr>
          <w:rFonts w:eastAsia="Georgia" w:cs="Georgia"/>
          <w:sz w:val="24"/>
          <w:szCs w:val="24"/>
        </w:rPr>
        <w:t>Derrick’s theorem (Derrick, 1964) states that without a quartic term, no stable localized solution exists in 3D — any soliton can lower its energy by shrinking to a point. The Supervortex resolves this identically to the Skyrme model: the cage tube repulsion (quartic analog) prevents collapse, creating an energy minimum at finite radius R*.</w:t>
      </w:r>
    </w:p>
    <w:p>
      <w:pPr>
        <w:pStyle w:val="Normal"/>
        <w:bidi w:val="0"/>
        <w:spacing w:before="120" w:after="120"/>
        <w:jc w:val="start"/>
        <w:rPr>
          <w:rFonts w:ascii="Georgia" w:hAnsi="Georgia" w:eastAsia="Georgia" w:cs="Georgia"/>
          <w:sz w:val="24"/>
          <w:szCs w:val="24"/>
        </w:rPr>
      </w:pPr>
      <w:r>
        <w:rPr>
          <w:rFonts w:eastAsia="Georgia" w:cs="Georgia"/>
          <w:sz w:val="24"/>
          <w:szCs w:val="24"/>
        </w:rPr>
        <w:t>The cage energy has three competing terms:</w:t>
      </w:r>
    </w:p>
    <w:p>
      <w:pPr>
        <w:pStyle w:val="Normal"/>
        <w:bidi w:val="0"/>
        <w:spacing w:before="180" w:after="180"/>
        <w:jc w:val="center"/>
        <w:rPr>
          <w:rFonts w:ascii="Courier New" w:hAnsi="Courier New" w:eastAsia="Courier New" w:cs="Courier New"/>
          <w:color w:val="2E4057"/>
          <w:sz w:val="22"/>
          <w:szCs w:val="22"/>
        </w:rPr>
      </w:pPr>
      <w:r>
        <w:rPr>
          <w:rFonts w:eastAsia="Courier New" w:cs="Courier New" w:ascii="Courier New" w:hAnsi="Courier New"/>
          <w:color w:val="2E4057"/>
          <w:sz w:val="22"/>
          <w:szCs w:val="22"/>
        </w:rPr>
        <w:t>E(R) = E_attract(R) + E_repel(R) + E_self(R)</w:t>
      </w:r>
    </w:p>
    <w:p>
      <w:pPr>
        <w:pStyle w:val="Normal"/>
        <w:bidi w:val="0"/>
        <w:spacing w:before="120" w:after="120"/>
        <w:jc w:val="start"/>
        <w:rPr>
          <w:rFonts w:ascii="Georgia" w:hAnsi="Georgia" w:eastAsia="Georgia" w:cs="Georgia"/>
          <w:sz w:val="24"/>
          <w:szCs w:val="24"/>
        </w:rPr>
      </w:pPr>
      <w:r>
        <w:rPr>
          <w:rFonts w:eastAsia="Georgia" w:cs="Georgia"/>
          <w:sz w:val="24"/>
          <w:szCs w:val="24"/>
        </w:rPr>
        <w:t>where E_attract ~ −ln(R/δ) drives collapse, E_repel ~ ln(d_nn/δ) resists collapse, and E_self ~ R·ln(R/δ) resists expansion. The minimum exists when N exceeds a critical threshold, which is precisely the N_crit scaling law from §1.3. The Derrick stabilization threshold provides a theoretical explanation for N_crit.</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7.2 Arnold Energy–Helicity Bound</w:t>
      </w:r>
    </w:p>
    <w:p>
      <w:pPr>
        <w:pStyle w:val="Normal"/>
        <w:bidi w:val="0"/>
        <w:spacing w:before="120" w:after="120"/>
        <w:jc w:val="start"/>
        <w:rPr>
          <w:rFonts w:ascii="Georgia" w:hAnsi="Georgia" w:eastAsia="Georgia" w:cs="Georgia"/>
          <w:sz w:val="24"/>
          <w:szCs w:val="24"/>
        </w:rPr>
      </w:pPr>
      <w:r>
        <w:rPr>
          <w:rFonts w:eastAsia="Georgia" w:cs="Georgia"/>
          <w:sz w:val="24"/>
          <w:szCs w:val="24"/>
        </w:rPr>
        <w:t>Arnold (1974) proved that for divergence-free fields in a bounded domain:</w:t>
      </w:r>
    </w:p>
    <w:p>
      <w:pPr>
        <w:pStyle w:val="Normal"/>
        <w:bidi w:val="0"/>
        <w:spacing w:before="180" w:after="180"/>
        <w:jc w:val="center"/>
        <w:rPr>
          <w:rFonts w:ascii="Courier New" w:hAnsi="Courier New" w:eastAsia="Courier New" w:cs="Courier New"/>
          <w:color w:val="2E4057"/>
          <w:sz w:val="22"/>
          <w:szCs w:val="22"/>
        </w:rPr>
      </w:pPr>
      <w:r>
        <w:rPr>
          <w:rFonts w:eastAsia="Courier New" w:cs="Courier New" w:ascii="Courier New" w:hAnsi="Courier New"/>
          <w:color w:val="2E4057"/>
          <w:sz w:val="22"/>
          <w:szCs w:val="22"/>
        </w:rPr>
        <w:t>E ≥ (λ₁/2) · |H|</w:t>
      </w:r>
    </w:p>
    <w:p>
      <w:pPr>
        <w:pStyle w:val="Normal"/>
        <w:bidi w:val="0"/>
        <w:spacing w:before="120" w:after="120"/>
        <w:jc w:val="start"/>
        <w:rPr>
          <w:rFonts w:ascii="Georgia" w:hAnsi="Georgia" w:eastAsia="Georgia" w:cs="Georgia"/>
          <w:sz w:val="24"/>
          <w:szCs w:val="24"/>
        </w:rPr>
      </w:pPr>
      <w:r>
        <w:rPr>
          <w:rFonts w:eastAsia="Georgia" w:cs="Georgia"/>
          <w:sz w:val="24"/>
          <w:szCs w:val="24"/>
        </w:rPr>
        <w:t>where λ₁ is the smallest eigenvalue of the curl operator. For the cage with helicity H = 2Nκ_t A/(T−t):</w:t>
      </w:r>
    </w:p>
    <w:p>
      <w:pPr>
        <w:pStyle w:val="Normal"/>
        <w:bidi w:val="0"/>
        <w:spacing w:before="180" w:after="180"/>
        <w:jc w:val="center"/>
        <w:rPr>
          <w:rFonts w:ascii="Courier New" w:hAnsi="Courier New" w:eastAsia="Courier New" w:cs="Courier New"/>
          <w:color w:val="2E4057"/>
          <w:sz w:val="22"/>
          <w:szCs w:val="22"/>
        </w:rPr>
      </w:pPr>
      <w:r>
        <w:rPr>
          <w:rFonts w:eastAsia="Courier New" w:cs="Courier New" w:ascii="Courier New" w:hAnsi="Courier New"/>
          <w:color w:val="2E4057"/>
          <w:sz w:val="22"/>
          <w:szCs w:val="22"/>
        </w:rPr>
        <w:t>E ≥ λ₁ N κ_t A / (T−t) → ∞  as  t → T</w:t>
      </w:r>
    </w:p>
    <w:p>
      <w:pPr>
        <w:pStyle w:val="Normal"/>
        <w:bidi w:val="0"/>
        <w:spacing w:before="120" w:after="120"/>
        <w:jc w:val="start"/>
        <w:rPr/>
      </w:pPr>
      <w:r>
        <w:rPr>
          <w:rFonts w:eastAsia="Georgia" w:cs="Georgia"/>
          <w:sz w:val="24"/>
          <w:szCs w:val="24"/>
        </w:rPr>
        <w:t xml:space="preserve">Topology forces energy. Energy forces vorticity. </w:t>
      </w:r>
      <w:r>
        <w:rPr>
          <w:rFonts w:eastAsia="Georgia" w:cs="Georgia"/>
          <w:b/>
          <w:bCs/>
          <w:sz w:val="24"/>
          <w:szCs w:val="24"/>
        </w:rPr>
        <w:t>A flow with nonzero linking must carry energy, and that energy must diverge if the linking strength diverges.</w:t>
      </w:r>
    </w:p>
    <w:p>
      <w:pPr>
        <w:pStyle w:val="Normal"/>
        <w:bidi w:val="0"/>
        <w:jc w:val="start"/>
        <w:rPr/>
      </w:pPr>
      <w:r>
        <w:rPr/>
      </w:r>
      <w:r>
        <w:br w:type="page"/>
      </w:r>
    </w:p>
    <w:p>
      <w:pPr>
        <w:pStyle w:val="Heading1"/>
        <w:bidi w:val="0"/>
        <w:spacing w:before="0" w:after="200"/>
        <w:jc w:val="start"/>
        <w:rPr>
          <w:rFonts w:ascii="Arial" w:hAnsi="Arial" w:eastAsia="Arial" w:cs="Arial"/>
          <w:b/>
          <w:bCs/>
          <w:color w:val="1A1A2E"/>
          <w:sz w:val="32"/>
          <w:szCs w:val="32"/>
        </w:rPr>
      </w:pPr>
      <w:r>
        <w:rPr>
          <w:rFonts w:eastAsia="Arial" w:cs="Arial" w:ascii="Arial" w:hAnsi="Arial"/>
          <w:b/>
          <w:bCs/>
          <w:color w:val="1A1A2E"/>
          <w:sz w:val="32"/>
          <w:szCs w:val="32"/>
        </w:rPr>
        <w:t>8. The Integral Reduction</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8.1 Topology Eliminates the Shape Variable</w:t>
      </w:r>
    </w:p>
    <w:p>
      <w:pPr>
        <w:pStyle w:val="Normal"/>
        <w:bidi w:val="0"/>
        <w:spacing w:before="120" w:after="120"/>
        <w:jc w:val="start"/>
        <w:rPr>
          <w:rFonts w:ascii="Georgia" w:hAnsi="Georgia" w:eastAsia="Georgia" w:cs="Georgia"/>
          <w:sz w:val="24"/>
          <w:szCs w:val="24"/>
        </w:rPr>
      </w:pPr>
      <w:r>
        <w:rPr>
          <w:rFonts w:eastAsia="Georgia" w:cs="Georgia"/>
          <w:sz w:val="24"/>
          <w:szCs w:val="24"/>
        </w:rPr>
        <w:t>Studying vorticity evolution across scales requires tracking two unknowns: the shape of the vorticity structure and the scale at which it is observed. The Skyrmion correspondence eliminates the shape variable. The linking number N is an integer that cannot change continuously, so the cage structure is identical at every scale. If the topological invariant is the same at the smallest and largest active scales, it must be the same at every scale in between — a discrete quantity cannot change continuously between the endpoints.</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8.2 One Integral</w:t>
      </w:r>
    </w:p>
    <w:p>
      <w:pPr>
        <w:pStyle w:val="Normal"/>
        <w:bidi w:val="0"/>
        <w:spacing w:before="120" w:after="120"/>
        <w:jc w:val="start"/>
        <w:rPr>
          <w:rFonts w:ascii="Georgia" w:hAnsi="Georgia" w:eastAsia="Georgia" w:cs="Georgia"/>
          <w:sz w:val="24"/>
          <w:szCs w:val="24"/>
        </w:rPr>
      </w:pPr>
      <w:r>
        <w:rPr>
          <w:rFonts w:eastAsia="Georgia" w:cs="Georgia"/>
          <w:sz w:val="24"/>
          <w:szCs w:val="24"/>
        </w:rPr>
        <w:t>With the shape variable eliminated, the Beale–Kato–Majda criterion (Beale, Kato, and Majda, 1984) reduces to:</w:t>
      </w:r>
    </w:p>
    <w:p>
      <w:pPr>
        <w:pStyle w:val="Normal"/>
        <w:bidi w:val="0"/>
        <w:spacing w:before="180" w:after="180"/>
        <w:jc w:val="center"/>
        <w:rPr>
          <w:rFonts w:ascii="Courier New" w:hAnsi="Courier New" w:eastAsia="Courier New" w:cs="Courier New"/>
          <w:color w:val="2E4057"/>
          <w:sz w:val="22"/>
          <w:szCs w:val="22"/>
        </w:rPr>
      </w:pPr>
      <w:r>
        <w:rPr>
          <w:rFonts w:eastAsia="Courier New" w:cs="Courier New" w:ascii="Courier New" w:hAnsi="Courier New"/>
          <w:color w:val="2E4057"/>
          <w:sz w:val="22"/>
          <w:szCs w:val="22"/>
        </w:rPr>
        <w:t>I(T) = ∫₀ᵀ ‖ω_cage‖_∞ dt = ∫₀ᵀ C/(T−t)² dt</w:t>
      </w:r>
    </w:p>
    <w:p>
      <w:pPr>
        <w:pStyle w:val="Normal"/>
        <w:bidi w:val="0"/>
        <w:spacing w:before="120" w:after="120"/>
        <w:jc w:val="start"/>
        <w:rPr>
          <w:rFonts w:ascii="Georgia" w:hAnsi="Georgia" w:eastAsia="Georgia" w:cs="Georgia"/>
          <w:sz w:val="24"/>
          <w:szCs w:val="24"/>
        </w:rPr>
      </w:pPr>
      <w:r>
        <w:rPr>
          <w:rFonts w:eastAsia="Georgia" w:cs="Georgia"/>
          <w:sz w:val="24"/>
          <w:szCs w:val="24"/>
        </w:rPr>
        <w:t>where C = C(N, A, R₀) is determined by the cage parameters. This integral diverges unless something cuts it off before t = T. The question of Navier–Stokes regularity for Supervortex-class initial data reduces to whether this integral is cut off.</w:t>
      </w:r>
    </w:p>
    <w:p>
      <w:pPr>
        <w:pStyle w:val="Normal"/>
        <w:bidi w:val="0"/>
        <w:jc w:val="start"/>
        <w:rPr/>
      </w:pPr>
      <w:r>
        <w:rPr/>
      </w:r>
      <w:r>
        <w:br w:type="page"/>
      </w:r>
    </w:p>
    <w:p>
      <w:pPr>
        <w:pStyle w:val="Heading1"/>
        <w:bidi w:val="0"/>
        <w:spacing w:before="0" w:after="200"/>
        <w:jc w:val="start"/>
        <w:rPr>
          <w:rFonts w:ascii="Arial" w:hAnsi="Arial" w:eastAsia="Arial" w:cs="Arial"/>
          <w:b/>
          <w:bCs/>
          <w:color w:val="1A1A2E"/>
          <w:sz w:val="32"/>
          <w:szCs w:val="32"/>
        </w:rPr>
      </w:pPr>
      <w:r>
        <w:rPr>
          <w:rFonts w:eastAsia="Arial" w:cs="Arial" w:ascii="Arial" w:hAnsi="Arial"/>
          <w:b/>
          <w:bCs/>
          <w:color w:val="1A1A2E"/>
          <w:sz w:val="32"/>
          <w:szCs w:val="32"/>
        </w:rPr>
        <w:t>9. The Binary Outcome</w:t>
      </w:r>
    </w:p>
    <w:p>
      <w:pPr>
        <w:pStyle w:val="Normal"/>
        <w:bidi w:val="0"/>
        <w:spacing w:before="120" w:after="120"/>
        <w:jc w:val="start"/>
        <w:rPr>
          <w:rFonts w:ascii="Georgia" w:hAnsi="Georgia" w:eastAsia="Georgia" w:cs="Georgia"/>
          <w:sz w:val="24"/>
          <w:szCs w:val="24"/>
        </w:rPr>
      </w:pPr>
      <w:r>
        <w:rPr>
          <w:rFonts w:eastAsia="Georgia" w:cs="Georgia"/>
          <w:sz w:val="24"/>
          <w:szCs w:val="24"/>
        </w:rPr>
        <w:t>The cage has exactly two possible fates:</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9.1 Outcome A — Singularity</w:t>
      </w:r>
    </w:p>
    <w:p>
      <w:pPr>
        <w:pStyle w:val="Normal"/>
        <w:bidi w:val="0"/>
        <w:spacing w:before="120" w:after="120"/>
        <w:jc w:val="start"/>
        <w:rPr>
          <w:rFonts w:ascii="Georgia" w:hAnsi="Georgia" w:eastAsia="Georgia" w:cs="Georgia"/>
          <w:sz w:val="24"/>
          <w:szCs w:val="24"/>
        </w:rPr>
      </w:pPr>
      <w:r>
        <w:rPr>
          <w:rFonts w:eastAsia="Georgia" w:cs="Georgia"/>
          <w:sz w:val="24"/>
          <w:szCs w:val="24"/>
        </w:rPr>
        <w:t>The cage survives to t = T. The BKM integral diverges. Vorticity reaches infinity in finite time. The Navier–Stokes equations develop a genuine singularity from smooth initial data. Global regularity fails.</w:t>
      </w:r>
    </w:p>
    <w:p>
      <w:pPr>
        <w:pStyle w:val="Normal"/>
        <w:bidi w:val="0"/>
        <w:spacing w:before="120" w:after="120"/>
        <w:jc w:val="start"/>
        <w:rPr/>
      </w:pPr>
      <w:r>
        <w:rPr>
          <w:rFonts w:eastAsia="Georgia" w:cs="Georgia"/>
          <w:b/>
          <w:bCs/>
          <w:sz w:val="24"/>
          <w:szCs w:val="24"/>
        </w:rPr>
        <w:t xml:space="preserve">Supporting evidence: </w:t>
      </w:r>
      <w:r>
        <w:rPr>
          <w:rFonts w:eastAsia="Georgia" w:cs="Georgia"/>
          <w:sz w:val="24"/>
          <w:szCs w:val="24"/>
        </w:rPr>
        <w:t>Self-consistency with no free parameters. Perturbative stability. Reconnection suppression. Pressure compatibility. Topological protection via Skyrmion correspondence. Arnold energy bound forcing energy divergence.</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9.2 Outcome B — Regularity</w:t>
      </w:r>
    </w:p>
    <w:p>
      <w:pPr>
        <w:pStyle w:val="Normal"/>
        <w:bidi w:val="0"/>
        <w:spacing w:before="120" w:after="120"/>
        <w:jc w:val="start"/>
        <w:rPr>
          <w:rFonts w:ascii="Georgia" w:hAnsi="Georgia" w:eastAsia="Georgia" w:cs="Georgia"/>
          <w:sz w:val="24"/>
          <w:szCs w:val="24"/>
        </w:rPr>
      </w:pPr>
      <w:r>
        <w:rPr>
          <w:rFonts w:eastAsia="Georgia" w:cs="Georgia"/>
          <w:sz w:val="24"/>
          <w:szCs w:val="24"/>
        </w:rPr>
        <w:t>Viscous diffusion ν/δ² grows without bound as tubes thin (δ → 0), and at some t* &lt; T the viscous smoothing rate overtakes the stretching rate. The cage is arrested. The BKM integral is cut off and remains finite. No singularity.</w:t>
      </w:r>
    </w:p>
    <w:p>
      <w:pPr>
        <w:pStyle w:val="Normal"/>
        <w:bidi w:val="0"/>
        <w:spacing w:before="120" w:after="120"/>
        <w:jc w:val="start"/>
        <w:rPr/>
      </w:pPr>
      <w:r>
        <w:rPr>
          <w:rFonts w:eastAsia="Georgia" w:cs="Georgia"/>
          <w:b/>
          <w:bCs/>
          <w:sz w:val="24"/>
          <w:szCs w:val="24"/>
        </w:rPr>
        <w:t xml:space="preserve">Supporting evidence: </w:t>
      </w:r>
      <w:r>
        <w:rPr>
          <w:rFonts w:eastAsia="Georgia" w:cs="Georgia"/>
          <w:sz w:val="24"/>
          <w:szCs w:val="24"/>
        </w:rPr>
        <w:t>The perturbative reconnection analysis may break down close to T. Viscosity ν/δ² ~ (T−t)^{−1} grows without bound. The Sobolev mode decomposition has not been completed non-perturbatively.</w:t>
      </w:r>
    </w:p>
    <w:p>
      <w:pPr>
        <w:pStyle w:val="Normal"/>
        <w:bidi w:val="0"/>
        <w:spacing w:before="120" w:after="120"/>
        <w:jc w:val="start"/>
        <w:rPr/>
      </w:pPr>
      <w:r>
        <w:rPr>
          <w:rFonts w:eastAsia="Arial" w:cs="Arial" w:ascii="Arial" w:hAnsi="Arial"/>
          <w:b/>
          <w:bCs/>
          <w:color w:val="666666"/>
          <w:sz w:val="20"/>
          <w:szCs w:val="20"/>
        </w:rPr>
        <w:t xml:space="preserve">Remark: </w:t>
      </w:r>
      <w:r>
        <w:rPr>
          <w:rFonts w:eastAsia="Georgia" w:cs="Georgia"/>
          <w:i/>
          <w:iCs/>
          <w:color w:val="666666"/>
          <w:sz w:val="20"/>
          <w:szCs w:val="20"/>
        </w:rPr>
        <w:t>Outcome B would itself be a significant result, identifying viscosity as the specific physical mechanism that prevents singularity formation — implying that the inviscid Euler equations may blow up while the viscous Navier–Stokes equations remain regular.</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9.3 No Third Option</w:t>
      </w:r>
    </w:p>
    <w:p>
      <w:pPr>
        <w:pStyle w:val="Normal"/>
        <w:bidi w:val="0"/>
        <w:spacing w:before="120" w:after="120"/>
        <w:jc w:val="start"/>
        <w:rPr>
          <w:rFonts w:ascii="Georgia" w:hAnsi="Georgia" w:eastAsia="Georgia" w:cs="Georgia"/>
          <w:sz w:val="24"/>
          <w:szCs w:val="24"/>
        </w:rPr>
      </w:pPr>
      <w:r>
        <w:rPr>
          <w:rFonts w:eastAsia="Georgia" w:cs="Georgia"/>
          <w:sz w:val="24"/>
          <w:szCs w:val="24"/>
        </w:rPr>
        <w:t>A cage that neither blows up nor breaks would persist indefinitely in a viscous fluid. This is impossible: viscosity continuously dissipates energy, so any structure that does not actively concentrate vorticity must decay. The cage must race to infinity or lose coherence. The outcome is strictly binary.</w:t>
      </w:r>
    </w:p>
    <w:p>
      <w:pPr>
        <w:pStyle w:val="Normal"/>
        <w:bidi w:val="0"/>
        <w:jc w:val="start"/>
        <w:rPr/>
      </w:pPr>
      <w:r>
        <w:rPr/>
      </w:r>
      <w:r>
        <w:br w:type="page"/>
      </w:r>
    </w:p>
    <w:p>
      <w:pPr>
        <w:pStyle w:val="Heading1"/>
        <w:bidi w:val="0"/>
        <w:spacing w:before="0" w:after="200"/>
        <w:jc w:val="start"/>
        <w:rPr>
          <w:rFonts w:ascii="Arial" w:hAnsi="Arial" w:eastAsia="Arial" w:cs="Arial"/>
          <w:b/>
          <w:bCs/>
          <w:color w:val="1A1A2E"/>
          <w:sz w:val="32"/>
          <w:szCs w:val="32"/>
        </w:rPr>
      </w:pPr>
      <w:r>
        <w:rPr>
          <w:rFonts w:eastAsia="Arial" w:cs="Arial" w:ascii="Arial" w:hAnsi="Arial"/>
          <w:b/>
          <w:bCs/>
          <w:color w:val="1A1A2E"/>
          <w:sz w:val="32"/>
          <w:szCs w:val="32"/>
        </w:rPr>
        <w:t>10. Discussion</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10.1 Summary of Results</w:t>
      </w:r>
    </w:p>
    <w:p>
      <w:pPr>
        <w:pStyle w:val="Normal"/>
        <w:bidi w:val="0"/>
        <w:spacing w:before="120" w:after="120"/>
        <w:jc w:val="start"/>
        <w:rPr>
          <w:rFonts w:ascii="Georgia" w:hAnsi="Georgia" w:eastAsia="Georgia" w:cs="Georgia"/>
          <w:sz w:val="24"/>
          <w:szCs w:val="24"/>
        </w:rPr>
      </w:pPr>
      <w:r>
        <w:rPr>
          <w:rFonts w:eastAsia="Georgia" w:cs="Georgia"/>
          <w:sz w:val="24"/>
          <w:szCs w:val="24"/>
        </w:rPr>
        <w:t>We have constructed a specific, fully determined blowup candidate for 3D Navier–Stokes and established its topological stability via four theorems:</w:t>
      </w:r>
    </w:p>
    <w:tbl>
      <w:tblPr>
        <w:tblW w:w="9360" w:type="dxa"/>
        <w:jc w:val="start"/>
        <w:tblInd w:w="0" w:type="dxa"/>
        <w:tblLayout w:type="fixed"/>
        <w:tblCellMar>
          <w:top w:w="80" w:type="dxa"/>
          <w:start w:w="120" w:type="dxa"/>
          <w:bottom w:w="80" w:type="dxa"/>
          <w:end w:w="120" w:type="dxa"/>
        </w:tblCellMar>
      </w:tblPr>
      <w:tblGrid>
        <w:gridCol w:w="2000"/>
        <w:gridCol w:w="4200"/>
        <w:gridCol w:w="3160"/>
      </w:tblGrid>
      <w:tr>
        <w:trPr/>
        <w:tc>
          <w:tcPr>
            <w:tcW w:w="2000" w:type="dxa"/>
            <w:tcBorders>
              <w:top w:val="single" w:sz="2" w:space="0" w:color="CCCCCC"/>
              <w:start w:val="single" w:sz="2" w:space="0" w:color="CCCCCC"/>
              <w:bottom w:val="single" w:sz="2" w:space="0" w:color="CCCCCC"/>
              <w:end w:val="single" w:sz="2" w:space="0" w:color="CCCCCC"/>
            </w:tcBorders>
            <w:shd w:fill="1A1A2E" w:val="clear"/>
          </w:tcPr>
          <w:p>
            <w:pPr>
              <w:pStyle w:val="Normal"/>
              <w:bidi w:val="0"/>
              <w:jc w:val="start"/>
              <w:rPr>
                <w:rFonts w:ascii="Arial" w:hAnsi="Arial" w:eastAsia="Arial" w:cs="Arial"/>
                <w:b/>
                <w:bCs/>
                <w:color w:val="FFFFFF"/>
                <w:sz w:val="20"/>
                <w:szCs w:val="20"/>
              </w:rPr>
            </w:pPr>
            <w:r>
              <w:rPr>
                <w:rFonts w:eastAsia="Arial" w:cs="Arial" w:ascii="Arial" w:hAnsi="Arial"/>
                <w:b/>
                <w:bCs/>
                <w:color w:val="FFFFFF"/>
                <w:sz w:val="20"/>
                <w:szCs w:val="20"/>
              </w:rPr>
              <w:t>Theorem</w:t>
            </w:r>
          </w:p>
        </w:tc>
        <w:tc>
          <w:tcPr>
            <w:tcW w:w="4200" w:type="dxa"/>
            <w:tcBorders>
              <w:top w:val="single" w:sz="2" w:space="0" w:color="CCCCCC"/>
              <w:start w:val="single" w:sz="2" w:space="0" w:color="CCCCCC"/>
              <w:bottom w:val="single" w:sz="2" w:space="0" w:color="CCCCCC"/>
              <w:end w:val="single" w:sz="2" w:space="0" w:color="CCCCCC"/>
            </w:tcBorders>
            <w:shd w:fill="1A1A2E" w:val="clear"/>
          </w:tcPr>
          <w:p>
            <w:pPr>
              <w:pStyle w:val="Normal"/>
              <w:bidi w:val="0"/>
              <w:jc w:val="start"/>
              <w:rPr>
                <w:rFonts w:ascii="Arial" w:hAnsi="Arial" w:eastAsia="Arial" w:cs="Arial"/>
                <w:b/>
                <w:bCs/>
                <w:color w:val="FFFFFF"/>
                <w:sz w:val="20"/>
                <w:szCs w:val="20"/>
              </w:rPr>
            </w:pPr>
            <w:r>
              <w:rPr>
                <w:rFonts w:eastAsia="Arial" w:cs="Arial" w:ascii="Arial" w:hAnsi="Arial"/>
                <w:b/>
                <w:bCs/>
                <w:color w:val="FFFFFF"/>
                <w:sz w:val="20"/>
                <w:szCs w:val="20"/>
              </w:rPr>
              <w:t>Statement</w:t>
            </w:r>
          </w:p>
        </w:tc>
        <w:tc>
          <w:tcPr>
            <w:tcW w:w="3160" w:type="dxa"/>
            <w:tcBorders>
              <w:top w:val="single" w:sz="2" w:space="0" w:color="CCCCCC"/>
              <w:start w:val="single" w:sz="2" w:space="0" w:color="CCCCCC"/>
              <w:bottom w:val="single" w:sz="2" w:space="0" w:color="CCCCCC"/>
              <w:end w:val="single" w:sz="2" w:space="0" w:color="CCCCCC"/>
            </w:tcBorders>
            <w:shd w:fill="1A1A2E" w:val="clear"/>
          </w:tcPr>
          <w:p>
            <w:pPr>
              <w:pStyle w:val="Normal"/>
              <w:bidi w:val="0"/>
              <w:jc w:val="start"/>
              <w:rPr>
                <w:rFonts w:ascii="Arial" w:hAnsi="Arial" w:eastAsia="Arial" w:cs="Arial"/>
                <w:b/>
                <w:bCs/>
                <w:color w:val="FFFFFF"/>
                <w:sz w:val="20"/>
                <w:szCs w:val="20"/>
              </w:rPr>
            </w:pPr>
            <w:r>
              <w:rPr>
                <w:rFonts w:eastAsia="Arial" w:cs="Arial" w:ascii="Arial" w:hAnsi="Arial"/>
                <w:b/>
                <w:bCs/>
                <w:color w:val="FFFFFF"/>
                <w:sz w:val="20"/>
                <w:szCs w:val="20"/>
              </w:rPr>
              <w:t>Basis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1. Q = H</w:t>
            </w:r>
          </w:p>
        </w:tc>
        <w:tc>
          <w:tcPr>
            <w:tcW w:w="4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Skyrmion charge equals fluid helicity for cage geometry</w:t>
            </w:r>
          </w:p>
        </w:tc>
        <w:tc>
          <w:tcPr>
            <w:tcW w:w="3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Hopf (1931), Moffatt (1969)</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2. Derrick stabilization</w:t>
            </w:r>
          </w:p>
        </w:tc>
        <w:tc>
          <w:tcPr>
            <w:tcW w:w="4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Cage energy has minimum at finite R*</w:t>
            </w:r>
          </w:p>
        </w:tc>
        <w:tc>
          <w:tcPr>
            <w:tcW w:w="3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Derrick (1964), Skyrme (1961)</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3. Energy bound</w:t>
            </w:r>
          </w:p>
        </w:tc>
        <w:tc>
          <w:tcPr>
            <w:tcW w:w="4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E ≥ (λ₁/2)|H| for the cage</w:t>
            </w:r>
          </w:p>
        </w:tc>
        <w:tc>
          <w:tcPr>
            <w:tcW w:w="3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Arnold (1974)</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4. Function spaces</w:t>
            </w:r>
          </w:p>
        </w:tc>
        <w:tc>
          <w:tcPr>
            <w:tcW w:w="4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H¹ regularity, charge continuity, compactness preserved</w:t>
            </w:r>
          </w:p>
        </w:tc>
        <w:tc>
          <w:tcPr>
            <w:tcW w:w="3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Georgia" w:hAnsi="Georgia" w:eastAsia="Georgia" w:cs="Georgia"/>
                <w:sz w:val="20"/>
                <w:szCs w:val="20"/>
              </w:rPr>
            </w:pPr>
            <w:r>
              <w:rPr>
                <w:rFonts w:eastAsia="Georgia" w:cs="Georgia"/>
                <w:sz w:val="20"/>
                <w:szCs w:val="20"/>
              </w:rPr>
              <w:t>Rellich–Kondrachov</w:t>
            </w:r>
          </w:p>
        </w:tc>
      </w:tr>
    </w:tbl>
    <w:p>
      <w:pPr>
        <w:pStyle w:val="Normal"/>
        <w:bidi w:val="0"/>
        <w:spacing w:before="0" w:after="120"/>
        <w:jc w:val="start"/>
        <w:rPr/>
      </w:pPr>
      <w:r>
        <w:rPr/>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10.2 Honest Assessment</w:t>
      </w:r>
    </w:p>
    <w:p>
      <w:pPr>
        <w:pStyle w:val="Normal"/>
        <w:bidi w:val="0"/>
        <w:spacing w:before="120" w:after="120"/>
        <w:jc w:val="start"/>
        <w:rPr>
          <w:rFonts w:ascii="Georgia" w:hAnsi="Georgia" w:eastAsia="Georgia" w:cs="Georgia"/>
          <w:sz w:val="24"/>
          <w:szCs w:val="24"/>
        </w:rPr>
      </w:pPr>
      <w:r>
        <w:rPr>
          <w:rFonts w:eastAsia="Georgia" w:cs="Georgia"/>
          <w:sz w:val="24"/>
          <w:szCs w:val="24"/>
        </w:rPr>
        <w:t>The construction is self-consistent, topologically protected, and backed by established mathematics. The four theorems of the Skyrmion correspondence are individually supported by well-known results in topology, functional analysis, and fluid dynamics.</w:t>
      </w:r>
    </w:p>
    <w:p>
      <w:pPr>
        <w:pStyle w:val="Normal"/>
        <w:bidi w:val="0"/>
        <w:spacing w:before="120" w:after="120"/>
        <w:jc w:val="start"/>
        <w:rPr>
          <w:rFonts w:ascii="Georgia" w:hAnsi="Georgia" w:eastAsia="Georgia" w:cs="Georgia"/>
          <w:sz w:val="24"/>
          <w:szCs w:val="24"/>
        </w:rPr>
      </w:pPr>
      <w:r>
        <w:rPr>
          <w:rFonts w:eastAsia="Georgia" w:cs="Georgia"/>
          <w:sz w:val="24"/>
          <w:szCs w:val="24"/>
        </w:rPr>
        <w:t>However, several caveats must be stated clearly:</w:t>
      </w:r>
    </w:p>
    <w:p>
      <w:pPr>
        <w:pStyle w:val="ListParagraph"/>
        <w:numPr>
          <w:ilvl w:val="0"/>
          <w:numId w:val="2"/>
        </w:numPr>
        <w:bidi w:val="0"/>
        <w:spacing w:before="60" w:after="60"/>
        <w:jc w:val="start"/>
        <w:rPr>
          <w:rFonts w:ascii="Georgia" w:hAnsi="Georgia" w:eastAsia="Georgia" w:cs="Georgia"/>
          <w:sz w:val="24"/>
          <w:szCs w:val="24"/>
        </w:rPr>
      </w:pPr>
      <w:r>
        <w:rPr>
          <w:rFonts w:eastAsia="Georgia" w:cs="Georgia"/>
          <w:sz w:val="24"/>
          <w:szCs w:val="24"/>
        </w:rPr>
        <w:t>The reconnection suppression analysis (§2.2) is perturbative. Very close to T, the flow becomes strongly nonlinear and the perturbative exponents may not hold.</w:t>
      </w:r>
    </w:p>
    <w:p>
      <w:pPr>
        <w:pStyle w:val="ListParagraph"/>
        <w:numPr>
          <w:ilvl w:val="0"/>
          <w:numId w:val="2"/>
        </w:numPr>
        <w:bidi w:val="0"/>
        <w:spacing w:before="60" w:after="60"/>
        <w:jc w:val="start"/>
        <w:rPr>
          <w:rFonts w:ascii="Georgia" w:hAnsi="Georgia" w:eastAsia="Georgia" w:cs="Georgia"/>
          <w:sz w:val="24"/>
          <w:szCs w:val="24"/>
        </w:rPr>
      </w:pPr>
      <w:r>
        <w:rPr>
          <w:rFonts w:eastAsia="Georgia" w:cs="Georgia"/>
          <w:sz w:val="24"/>
          <w:szCs w:val="24"/>
        </w:rPr>
        <w:t>The function space verification (§6) establishes that the relevant properties transfer, but a fully rigorous proof would require explicit construction of the isomorphism between Skyrme and NS configuration spaces, not just verification of shared properties.</w:t>
      </w:r>
    </w:p>
    <w:p>
      <w:pPr>
        <w:pStyle w:val="ListParagraph"/>
        <w:numPr>
          <w:ilvl w:val="0"/>
          <w:numId w:val="2"/>
        </w:numPr>
        <w:bidi w:val="0"/>
        <w:spacing w:before="60" w:after="60"/>
        <w:jc w:val="start"/>
        <w:rPr>
          <w:rFonts w:ascii="Georgia" w:hAnsi="Georgia" w:eastAsia="Georgia" w:cs="Georgia"/>
          <w:sz w:val="24"/>
          <w:szCs w:val="24"/>
        </w:rPr>
      </w:pPr>
      <w:r>
        <w:rPr>
          <w:rFonts w:eastAsia="Georgia" w:cs="Georgia"/>
          <w:sz w:val="24"/>
          <w:szCs w:val="24"/>
        </w:rPr>
        <w:t>The binary outcome (§9) is a framework, not a determination. We do not resolve which outcome occurs. The quantitative race between blowup and viscous arrest remains open.</w:t>
      </w:r>
    </w:p>
    <w:p>
      <w:pPr>
        <w:pStyle w:val="ListParagraph"/>
        <w:numPr>
          <w:ilvl w:val="0"/>
          <w:numId w:val="2"/>
        </w:numPr>
        <w:bidi w:val="0"/>
        <w:spacing w:before="60" w:after="60"/>
        <w:jc w:val="start"/>
        <w:rPr>
          <w:rFonts w:ascii="Georgia" w:hAnsi="Georgia" w:eastAsia="Georgia" w:cs="Georgia"/>
          <w:sz w:val="24"/>
          <w:szCs w:val="24"/>
        </w:rPr>
      </w:pPr>
      <w:r>
        <w:rPr>
          <w:rFonts w:eastAsia="Georgia" w:cs="Georgia"/>
          <w:sz w:val="24"/>
          <w:szCs w:val="24"/>
        </w:rPr>
        <w:t>No high-resolution numerical simulation of the full 3D Navier–Stokes equations with Supervortex initial data has been performed. Such a simulation would provide crucial empirical evidence.</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10.3 Relation to Existing Work</w:t>
      </w:r>
    </w:p>
    <w:p>
      <w:pPr>
        <w:pStyle w:val="Normal"/>
        <w:bidi w:val="0"/>
        <w:spacing w:before="120" w:after="120"/>
        <w:jc w:val="start"/>
        <w:rPr>
          <w:rFonts w:ascii="Georgia" w:hAnsi="Georgia" w:eastAsia="Georgia" w:cs="Georgia"/>
          <w:sz w:val="24"/>
          <w:szCs w:val="24"/>
        </w:rPr>
      </w:pPr>
      <w:r>
        <w:rPr>
          <w:rFonts w:eastAsia="Georgia" w:cs="Georgia"/>
          <w:sz w:val="24"/>
          <w:szCs w:val="24"/>
        </w:rPr>
        <w:t>The Supervortex construction relates to several threads in the existing literature. The use of vortex filament methods and Biot–Savart dynamics follows a tradition going back to Helmholtz. The identification of helicity as a topological invariant is due to Moffatt (1969) and Arnold (1974). The Skyrme model correspondence is, to our knowledge, novel — the identification of a fluid vortex configuration as a skyrmion with inherited topological stability has not been previously proposed.</w:t>
      </w:r>
    </w:p>
    <w:p>
      <w:pPr>
        <w:pStyle w:val="Normal"/>
        <w:bidi w:val="0"/>
        <w:spacing w:before="120" w:after="120"/>
        <w:jc w:val="start"/>
        <w:rPr/>
      </w:pPr>
      <w:r>
        <w:rPr>
          <w:rFonts w:eastAsia="Georgia" w:cs="Georgia"/>
          <w:sz w:val="24"/>
          <w:szCs w:val="24"/>
        </w:rPr>
        <w:t>The S² holographic screen structure that emerges from the cage geometry was identified independently in the Observer-Pixel Hypothesis of Mueller, who arrived at the same geometric framework from quantum gravity axioms. This convergence from opposite directions — fluid dynamics and fundamental physics — provides supporting evidence that the S² screen structure is a fundamental geometric feature, not an artifact of either approach.</w:t>
      </w:r>
    </w:p>
    <w:p>
      <w:pPr>
        <w:pStyle w:val="Heading2"/>
        <w:bidi w:val="0"/>
        <w:spacing w:before="360" w:after="140"/>
        <w:jc w:val="start"/>
        <w:rPr>
          <w:rFonts w:ascii="Arial" w:hAnsi="Arial" w:eastAsia="Arial" w:cs="Arial"/>
          <w:b/>
          <w:bCs/>
          <w:color w:val="16213E"/>
          <w:sz w:val="26"/>
          <w:szCs w:val="26"/>
        </w:rPr>
      </w:pPr>
      <w:r>
        <w:rPr>
          <w:rFonts w:eastAsia="Arial" w:cs="Arial" w:ascii="Arial" w:hAnsi="Arial"/>
          <w:b/>
          <w:bCs/>
          <w:color w:val="16213E"/>
          <w:sz w:val="26"/>
          <w:szCs w:val="26"/>
        </w:rPr>
        <w:t>10.4 What Remains</w:t>
      </w:r>
    </w:p>
    <w:p>
      <w:pPr>
        <w:pStyle w:val="Normal"/>
        <w:bidi w:val="0"/>
        <w:spacing w:before="120" w:after="120"/>
        <w:jc w:val="start"/>
        <w:rPr>
          <w:rFonts w:ascii="Georgia" w:hAnsi="Georgia" w:eastAsia="Georgia" w:cs="Georgia"/>
          <w:sz w:val="24"/>
          <w:szCs w:val="24"/>
        </w:rPr>
      </w:pPr>
      <w:r>
        <w:rPr>
          <w:rFonts w:eastAsia="Georgia" w:cs="Georgia"/>
          <w:sz w:val="24"/>
          <w:szCs w:val="24"/>
        </w:rPr>
        <w:t>The decisive remaining question is quantitative: does the viscous arrest timescale t* reach T before the blowup completes? This can be addressed by:</w:t>
      </w:r>
    </w:p>
    <w:p>
      <w:pPr>
        <w:pStyle w:val="ListParagraph"/>
        <w:numPr>
          <w:ilvl w:val="0"/>
          <w:numId w:val="2"/>
        </w:numPr>
        <w:bidi w:val="0"/>
        <w:spacing w:before="60" w:after="60"/>
        <w:jc w:val="start"/>
        <w:rPr>
          <w:rFonts w:ascii="Georgia" w:hAnsi="Georgia" w:eastAsia="Georgia" w:cs="Georgia"/>
          <w:sz w:val="24"/>
          <w:szCs w:val="24"/>
        </w:rPr>
      </w:pPr>
      <w:r>
        <w:rPr>
          <w:rFonts w:eastAsia="Georgia" w:cs="Georgia"/>
          <w:sz w:val="24"/>
          <w:szCs w:val="24"/>
        </w:rPr>
        <w:t>Direct numerical simulation of the 3D NS equations with cage-shaped initial data at high resolution, tracking whether the flow follows the predicted scaling laws.</w:t>
      </w:r>
    </w:p>
    <w:p>
      <w:pPr>
        <w:pStyle w:val="ListParagraph"/>
        <w:numPr>
          <w:ilvl w:val="0"/>
          <w:numId w:val="2"/>
        </w:numPr>
        <w:bidi w:val="0"/>
        <w:spacing w:before="60" w:after="60"/>
        <w:jc w:val="start"/>
        <w:rPr>
          <w:rFonts w:ascii="Georgia" w:hAnsi="Georgia" w:eastAsia="Georgia" w:cs="Georgia"/>
          <w:sz w:val="24"/>
          <w:szCs w:val="24"/>
        </w:rPr>
      </w:pPr>
      <w:r>
        <w:rPr>
          <w:rFonts w:eastAsia="Georgia" w:cs="Georgia"/>
          <w:sz w:val="24"/>
          <w:szCs w:val="24"/>
        </w:rPr>
        <w:t>Rigorous estimation of the viscous arrest time t* as a function of cage parameters (N, A, R₀, ν).</w:t>
      </w:r>
    </w:p>
    <w:p>
      <w:pPr>
        <w:pStyle w:val="ListParagraph"/>
        <w:numPr>
          <w:ilvl w:val="0"/>
          <w:numId w:val="2"/>
        </w:numPr>
        <w:bidi w:val="0"/>
        <w:spacing w:before="60" w:after="60"/>
        <w:jc w:val="start"/>
        <w:rPr>
          <w:rFonts w:ascii="Georgia" w:hAnsi="Georgia" w:eastAsia="Georgia" w:cs="Georgia"/>
          <w:sz w:val="24"/>
          <w:szCs w:val="24"/>
        </w:rPr>
      </w:pPr>
      <w:r>
        <w:rPr>
          <w:rFonts w:eastAsia="Georgia" w:cs="Georgia"/>
          <w:sz w:val="24"/>
          <w:szCs w:val="24"/>
        </w:rPr>
        <w:t>Non-perturbative extension of the reconnection analysis to the strongly nonlinear regime near T.</w:t>
      </w:r>
    </w:p>
    <w:p>
      <w:pPr>
        <w:pStyle w:val="Normal"/>
        <w:bidi w:val="0"/>
        <w:spacing w:before="120" w:after="120"/>
        <w:jc w:val="start"/>
        <w:rPr>
          <w:rFonts w:ascii="Georgia" w:hAnsi="Georgia" w:eastAsia="Georgia" w:cs="Georgia"/>
          <w:sz w:val="24"/>
          <w:szCs w:val="24"/>
        </w:rPr>
      </w:pPr>
      <w:r>
        <w:rPr>
          <w:rFonts w:eastAsia="Georgia" w:cs="Georgia"/>
          <w:sz w:val="24"/>
          <w:szCs w:val="24"/>
        </w:rPr>
        <w:t>The topological framework presented here reduces the Millennium Problem (for Supervortex-class data) from an open-ended PDE question to a specific, well-posed quantitative race. We believe this reduction represents meaningful progress regardless of which outcome ultimately prevails.</w:t>
      </w:r>
    </w:p>
    <w:p>
      <w:pPr>
        <w:pStyle w:val="Normal"/>
        <w:bidi w:val="0"/>
        <w:jc w:val="start"/>
        <w:rPr/>
      </w:pPr>
      <w:r>
        <w:rPr/>
      </w:r>
      <w:r>
        <w:br w:type="page"/>
      </w:r>
    </w:p>
    <w:p>
      <w:pPr>
        <w:pStyle w:val="Heading1"/>
        <w:bidi w:val="0"/>
        <w:spacing w:before="0" w:after="200"/>
        <w:jc w:val="start"/>
        <w:rPr>
          <w:rFonts w:ascii="Arial" w:hAnsi="Arial" w:eastAsia="Arial" w:cs="Arial"/>
          <w:b/>
          <w:bCs/>
          <w:color w:val="1A1A2E"/>
          <w:sz w:val="32"/>
          <w:szCs w:val="32"/>
        </w:rPr>
      </w:pPr>
      <w:r>
        <w:rPr>
          <w:rFonts w:eastAsia="Arial" w:cs="Arial" w:ascii="Arial" w:hAnsi="Arial"/>
          <w:b/>
          <w:bCs/>
          <w:color w:val="1A1A2E"/>
          <w:sz w:val="32"/>
          <w:szCs w:val="32"/>
        </w:rPr>
        <w:t>References</w:t>
      </w:r>
    </w:p>
    <w:p>
      <w:pPr>
        <w:pStyle w:val="Normal"/>
        <w:bidi w:val="0"/>
        <w:spacing w:before="120" w:after="120"/>
        <w:jc w:val="start"/>
        <w:rPr>
          <w:rFonts w:ascii="Georgia" w:hAnsi="Georgia" w:eastAsia="Georgia" w:cs="Georgia"/>
          <w:sz w:val="24"/>
          <w:szCs w:val="24"/>
        </w:rPr>
      </w:pPr>
      <w:r>
        <w:rPr>
          <w:rFonts w:eastAsia="Georgia" w:cs="Georgia"/>
          <w:sz w:val="24"/>
          <w:szCs w:val="24"/>
        </w:rPr>
        <w:t>[1] Arnold, V.I. (1966). Sur la géométrie différentielle des groupes de Lie de dimension infinie et ses applications à l’hydrodynamique des fluides parfaits. Ann. Inst. Fourier 16, 319–361.</w:t>
      </w:r>
    </w:p>
    <w:p>
      <w:pPr>
        <w:pStyle w:val="Normal"/>
        <w:bidi w:val="0"/>
        <w:spacing w:before="120" w:after="120"/>
        <w:jc w:val="start"/>
        <w:rPr>
          <w:rFonts w:ascii="Georgia" w:hAnsi="Georgia" w:eastAsia="Georgia" w:cs="Georgia"/>
          <w:sz w:val="24"/>
          <w:szCs w:val="24"/>
        </w:rPr>
      </w:pPr>
      <w:r>
        <w:rPr>
          <w:rFonts w:eastAsia="Georgia" w:cs="Georgia"/>
          <w:sz w:val="24"/>
          <w:szCs w:val="24"/>
        </w:rPr>
        <w:t>[2] Arnold, V.I. (1974). The asymptotic Hopf invariant and its applications. Sel. Math. Sov. 5, 327–345.</w:t>
      </w:r>
    </w:p>
    <w:p>
      <w:pPr>
        <w:pStyle w:val="Normal"/>
        <w:bidi w:val="0"/>
        <w:spacing w:before="120" w:after="120"/>
        <w:jc w:val="start"/>
        <w:rPr>
          <w:rFonts w:ascii="Georgia" w:hAnsi="Georgia" w:eastAsia="Georgia" w:cs="Georgia"/>
          <w:sz w:val="24"/>
          <w:szCs w:val="24"/>
        </w:rPr>
      </w:pPr>
      <w:r>
        <w:rPr>
          <w:rFonts w:eastAsia="Georgia" w:cs="Georgia"/>
          <w:sz w:val="24"/>
          <w:szCs w:val="24"/>
        </w:rPr>
        <w:t>[3] Beale, J.T., Kato, T., and Majda, A. (1984). Remarks on the breakdown of smooth solutions for the 3-D Euler equations. Comm. Math. Phys. 94, 61–66.</w:t>
      </w:r>
    </w:p>
    <w:p>
      <w:pPr>
        <w:pStyle w:val="Normal"/>
        <w:bidi w:val="0"/>
        <w:spacing w:before="120" w:after="120"/>
        <w:jc w:val="start"/>
        <w:rPr>
          <w:rFonts w:ascii="Georgia" w:hAnsi="Georgia" w:eastAsia="Georgia" w:cs="Georgia"/>
          <w:sz w:val="24"/>
          <w:szCs w:val="24"/>
        </w:rPr>
      </w:pPr>
      <w:r>
        <w:rPr>
          <w:rFonts w:eastAsia="Georgia" w:cs="Georgia"/>
          <w:sz w:val="24"/>
          <w:szCs w:val="24"/>
        </w:rPr>
        <w:t>[4] Derrick, G.H. (1964). Comments on nonlinear wave equations as models for elementary particles. J. Math. Phys. 5, 1252–1254.</w:t>
      </w:r>
    </w:p>
    <w:p>
      <w:pPr>
        <w:pStyle w:val="Normal"/>
        <w:bidi w:val="0"/>
        <w:spacing w:before="120" w:after="120"/>
        <w:jc w:val="start"/>
        <w:rPr>
          <w:rFonts w:ascii="Georgia" w:hAnsi="Georgia" w:eastAsia="Georgia" w:cs="Georgia"/>
          <w:sz w:val="24"/>
          <w:szCs w:val="24"/>
        </w:rPr>
      </w:pPr>
      <w:r>
        <w:rPr>
          <w:rFonts w:eastAsia="Georgia" w:cs="Georgia"/>
          <w:sz w:val="24"/>
          <w:szCs w:val="24"/>
        </w:rPr>
        <w:t>[5] Hopf, H. (1931). Über die Abbildungen der dreidimensionalen Sphäre auf die Kugelfläche. Math. Ann. 104, 637–665.</w:t>
      </w:r>
    </w:p>
    <w:p>
      <w:pPr>
        <w:pStyle w:val="Normal"/>
        <w:bidi w:val="0"/>
        <w:spacing w:before="120" w:after="120"/>
        <w:jc w:val="start"/>
        <w:rPr>
          <w:rFonts w:ascii="Georgia" w:hAnsi="Georgia" w:eastAsia="Georgia" w:cs="Georgia"/>
          <w:sz w:val="24"/>
          <w:szCs w:val="24"/>
        </w:rPr>
      </w:pPr>
      <w:r>
        <w:rPr>
          <w:rFonts w:eastAsia="Georgia" w:cs="Georgia"/>
          <w:sz w:val="24"/>
          <w:szCs w:val="24"/>
        </w:rPr>
        <w:t>[6] Moffatt, H.K. (1969). The degree of knottedness of tangled vortex lines. J. Fluid Mech. 35, 117–129.</w:t>
      </w:r>
    </w:p>
    <w:p>
      <w:pPr>
        <w:pStyle w:val="Normal"/>
        <w:bidi w:val="0"/>
        <w:spacing w:before="120" w:after="120"/>
        <w:jc w:val="start"/>
        <w:rPr>
          <w:rFonts w:ascii="Georgia" w:hAnsi="Georgia" w:eastAsia="Georgia" w:cs="Georgia"/>
          <w:sz w:val="24"/>
          <w:szCs w:val="24"/>
        </w:rPr>
      </w:pPr>
      <w:r>
        <w:rPr>
          <w:rFonts w:eastAsia="Georgia" w:cs="Georgia"/>
          <w:sz w:val="24"/>
          <w:szCs w:val="24"/>
        </w:rPr>
        <w:t>[7] Moffatt, H.K. (2014). Helicity and singular structures in fluid dynamics. Proc. Natl. Acad. Sci. USA 111, 3663–3670.</w:t>
      </w:r>
    </w:p>
    <w:p>
      <w:pPr>
        <w:pStyle w:val="Normal"/>
        <w:bidi w:val="0"/>
        <w:spacing w:before="120" w:after="120"/>
        <w:jc w:val="start"/>
        <w:rPr>
          <w:rFonts w:ascii="Georgia" w:hAnsi="Georgia" w:eastAsia="Georgia" w:cs="Georgia"/>
          <w:sz w:val="24"/>
          <w:szCs w:val="24"/>
        </w:rPr>
      </w:pPr>
      <w:r>
        <w:rPr>
          <w:rFonts w:eastAsia="Georgia" w:cs="Georgia"/>
          <w:sz w:val="24"/>
          <w:szCs w:val="24"/>
        </w:rPr>
        <w:t>[8] Mueller, B. Observer-Pixel Hypothesis. (Private communication and preprint.)</w:t>
      </w:r>
    </w:p>
    <w:p>
      <w:pPr>
        <w:pStyle w:val="Normal"/>
        <w:bidi w:val="0"/>
        <w:spacing w:before="120" w:after="120"/>
        <w:jc w:val="start"/>
        <w:rPr>
          <w:rFonts w:ascii="Georgia" w:hAnsi="Georgia" w:eastAsia="Georgia" w:cs="Georgia"/>
          <w:sz w:val="24"/>
          <w:szCs w:val="24"/>
        </w:rPr>
      </w:pPr>
      <w:r>
        <w:rPr>
          <w:rFonts w:eastAsia="Georgia" w:cs="Georgia"/>
          <w:sz w:val="24"/>
          <w:szCs w:val="24"/>
        </w:rPr>
        <w:t>[9] Ricca, R.L. and Moffatt, H.K. (1992). The helicity of a knotted vortex filament. In: Topological Aspects of the Dynamics of Fluids and Plasmas, 225–236. Kluwer.</w:t>
      </w:r>
    </w:p>
    <w:p>
      <w:pPr>
        <w:pStyle w:val="Normal"/>
        <w:bidi w:val="0"/>
        <w:spacing w:before="120" w:after="120"/>
        <w:jc w:val="start"/>
        <w:rPr>
          <w:rFonts w:ascii="Georgia" w:hAnsi="Georgia" w:eastAsia="Georgia" w:cs="Georgia"/>
          <w:sz w:val="24"/>
          <w:szCs w:val="24"/>
        </w:rPr>
      </w:pPr>
      <w:r>
        <w:rPr>
          <w:rFonts w:eastAsia="Georgia" w:cs="Georgia"/>
          <w:sz w:val="24"/>
          <w:szCs w:val="24"/>
        </w:rPr>
        <w:t>[10] Skyrme, T.H.R. (1961). A non-linear field theory. Proc. R. Soc. Lond. A 260, 127–138.</w:t>
      </w:r>
    </w:p>
    <w:p>
      <w:pPr>
        <w:pStyle w:val="Normal"/>
        <w:bidi w:val="0"/>
        <w:spacing w:before="120" w:after="120"/>
        <w:jc w:val="start"/>
        <w:rPr>
          <w:rFonts w:ascii="Georgia" w:hAnsi="Georgia" w:eastAsia="Georgia" w:cs="Georgia"/>
          <w:sz w:val="24"/>
          <w:szCs w:val="24"/>
        </w:rPr>
      </w:pPr>
      <w:r>
        <w:rPr>
          <w:rFonts w:eastAsia="Georgia" w:cs="Georgia"/>
          <w:sz w:val="24"/>
          <w:szCs w:val="24"/>
        </w:rPr>
        <w:t>[11] Skyrme, T.H.R. (1962). A unified field theory of mesons and baryons. Nucl. Phys. 31, 556–569.</w:t>
      </w:r>
    </w:p>
    <w:p>
      <w:pPr>
        <w:pStyle w:val="Normal"/>
        <w:pBdr>
          <w:bottom w:val="single" w:sz="6" w:space="1" w:color="CCCCCC"/>
        </w:pBdr>
        <w:bidi w:val="0"/>
        <w:spacing w:before="240" w:after="240"/>
        <w:jc w:val="start"/>
        <w:rPr/>
      </w:pPr>
      <w:r>
        <w:rPr/>
      </w:r>
    </w:p>
    <w:p>
      <w:pPr>
        <w:pStyle w:val="Normal"/>
        <w:bidi w:val="0"/>
        <w:spacing w:before="480" w:after="0"/>
        <w:jc w:val="start"/>
        <w:rPr/>
      </w:pPr>
      <w:r>
        <w:rPr/>
      </w:r>
    </w:p>
    <w:p>
      <w:pPr>
        <w:pStyle w:val="Normal"/>
        <w:bidi w:val="0"/>
        <w:spacing w:before="0" w:after="60"/>
        <w:jc w:val="center"/>
        <w:rPr>
          <w:rFonts w:ascii="Georgia" w:hAnsi="Georgia" w:eastAsia="Georgia" w:cs="Georgia"/>
          <w:i/>
          <w:iCs/>
          <w:sz w:val="24"/>
          <w:szCs w:val="24"/>
        </w:rPr>
      </w:pPr>
      <w:r>
        <w:rPr>
          <w:rFonts w:eastAsia="Georgia" w:cs="Georgia"/>
          <w:i/>
          <w:iCs/>
          <w:sz w:val="24"/>
          <w:szCs w:val="24"/>
        </w:rPr>
        <w:t>“</w:t>
      </w:r>
      <w:r>
        <w:rPr>
          <w:rFonts w:eastAsia="Georgia" w:cs="Georgia"/>
          <w:i/>
          <w:iCs/>
          <w:sz w:val="24"/>
          <w:szCs w:val="24"/>
        </w:rPr>
        <w:t>The cage is the same shape at every scale.</w:t>
      </w:r>
    </w:p>
    <w:p>
      <w:pPr>
        <w:pStyle w:val="Normal"/>
        <w:bidi w:val="0"/>
        <w:spacing w:before="0" w:after="60"/>
        <w:jc w:val="center"/>
        <w:rPr>
          <w:rFonts w:ascii="Georgia" w:hAnsi="Georgia" w:eastAsia="Georgia" w:cs="Georgia"/>
          <w:i/>
          <w:iCs/>
          <w:sz w:val="24"/>
          <w:szCs w:val="24"/>
        </w:rPr>
      </w:pPr>
      <w:r>
        <w:rPr>
          <w:rFonts w:eastAsia="Georgia" w:cs="Georgia"/>
          <w:i/>
          <w:iCs/>
          <w:sz w:val="24"/>
          <w:szCs w:val="24"/>
        </w:rPr>
        <w:t>If it works at the smallest scale and the biggest scale,</w:t>
      </w:r>
    </w:p>
    <w:p>
      <w:pPr>
        <w:pStyle w:val="Normal"/>
        <w:bidi w:val="0"/>
        <w:spacing w:before="0" w:after="60"/>
        <w:jc w:val="center"/>
        <w:rPr>
          <w:rFonts w:ascii="Georgia" w:hAnsi="Georgia" w:eastAsia="Georgia" w:cs="Georgia"/>
          <w:i/>
          <w:iCs/>
          <w:sz w:val="24"/>
          <w:szCs w:val="24"/>
        </w:rPr>
      </w:pPr>
      <w:r>
        <w:rPr>
          <w:rFonts w:eastAsia="Georgia" w:cs="Georgia"/>
          <w:i/>
          <w:iCs/>
          <w:sz w:val="24"/>
          <w:szCs w:val="24"/>
        </w:rPr>
        <w:t>it works at every scale in between.</w:t>
      </w:r>
    </w:p>
    <w:p>
      <w:pPr>
        <w:pStyle w:val="Normal"/>
        <w:bidi w:val="0"/>
        <w:spacing w:before="0" w:after="0"/>
        <w:jc w:val="center"/>
        <w:rPr>
          <w:rFonts w:ascii="Georgia" w:hAnsi="Georgia" w:eastAsia="Georgia" w:cs="Georgia"/>
          <w:i/>
          <w:iCs/>
          <w:sz w:val="24"/>
          <w:szCs w:val="24"/>
        </w:rPr>
      </w:pPr>
      <w:r>
        <w:rPr>
          <w:rFonts w:eastAsia="Georgia" w:cs="Georgia"/>
          <w:i/>
          <w:iCs/>
          <w:sz w:val="24"/>
          <w:szCs w:val="24"/>
        </w:rPr>
        <w:t>One shape. One integral. One answer.”</w:t>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eorgia">
    <w:charset w:val="00" w:characterSet="windows-1252"/>
    <w:family w:val="roman"/>
    <w:pitch w:val="variable"/>
  </w:font>
  <w:font w:name="Liberation Sans">
    <w:altName w:val="Arial"/>
    <w:charset w:val="00" w:characterSet="windows-1252"/>
    <w:family w:val="swiss"/>
    <w:pitch w:val="variable"/>
  </w:font>
  <w:font w:name="Arial">
    <w:charset w:val="00" w:characterSet="windows-1252"/>
    <w:family w:val="roman"/>
    <w:pitch w:val="variable"/>
  </w:font>
  <w:font w:name="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pPr>
    <w:r>
      <w:rPr>
        <w:rFonts w:eastAsia="Arial" w:cs="Arial" w:ascii="Arial" w:hAnsi="Arial"/>
        <w:color w:val="999999"/>
        <w:sz w:val="18"/>
        <w:szCs w:val="18"/>
      </w:rPr>
      <w:t xml:space="preserve">Page </w:t>
    </w:r>
    <w:r>
      <w:rPr>
        <w:rFonts w:eastAsia="Georgia" w:cs="Georgia"/>
        <w:i/>
        <w:iCs/>
        <w:sz w:val="24"/>
        <w:szCs w:val="24"/>
      </w:rPr>
      <w:fldChar w:fldCharType="begin"/>
    </w:r>
    <w:r>
      <w:rPr>
        <w:rFonts w:eastAsia="Georgia" w:cs="Georgia"/>
        <w:i/>
        <w:iCs/>
        <w:sz w:val="24"/>
        <w:szCs w:val="24"/>
      </w:rPr>
      <w:instrText xml:space="preserve"> PAGE </w:instrText>
    </w:r>
    <w:r>
      <w:rPr>
        <w:rFonts w:eastAsia="Georgia" w:cs="Georgia"/>
        <w:i/>
        <w:iCs/>
        <w:sz w:val="24"/>
        <w:szCs w:val="24"/>
      </w:rPr>
      <w:fldChar w:fldCharType="separate"/>
    </w:r>
    <w:r>
      <w:rPr>
        <w:rFonts w:eastAsia="Georgia" w:cs="Georgia"/>
        <w:i/>
        <w:iCs/>
        <w:sz w:val="24"/>
        <w:szCs w:val="24"/>
      </w:rPr>
      <w:t>14</w:t>
    </w:r>
    <w:r>
      <w:rPr>
        <w:rFonts w:eastAsia="Georgia" w:cs="Georgia"/>
        <w:i/>
        <w:iCs/>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ascii="Arial" w:hAnsi="Arial" w:eastAsia="Arial" w:cs="Arial"/>
        <w:color w:val="999999"/>
        <w:sz w:val="18"/>
        <w:szCs w:val="18"/>
      </w:rPr>
    </w:pPr>
    <w:r>
      <w:rPr>
        <w:rFonts w:eastAsia="Arial" w:cs="Arial" w:ascii="Arial" w:hAnsi="Arial"/>
        <w:color w:val="999999"/>
        <w:sz w:val="18"/>
        <w:szCs w:val="18"/>
      </w:rPr>
      <w:t>The Supervortex: A Topological Approach to Navier–Stokes Regularity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4"/>
        <w:szCs w:val="24"/>
        <w:lang w:val="fr-F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Georgia" w:hAnsi="Georgia" w:eastAsia="Georgia" w:cs="Georgia"/>
      <w:color w:val="auto"/>
      <w:kern w:val="0"/>
      <w:sz w:val="24"/>
      <w:szCs w:val="24"/>
      <w:lang w:val="fr-FR" w:eastAsia="zh-CN" w:bidi="hi-IN"/>
    </w:rPr>
  </w:style>
  <w:style w:type="paragraph" w:styleId="Heading1">
    <w:name w:val="heading 1"/>
    <w:basedOn w:val="Heading"/>
    <w:qFormat/>
    <w:pPr>
      <w:numPr>
        <w:ilvl w:val="0"/>
        <w:numId w:val="0"/>
      </w:numPr>
      <w:spacing w:before="480" w:after="200"/>
      <w:outlineLvl w:val="0"/>
    </w:pPr>
    <w:rPr>
      <w:rFonts w:ascii="Arial" w:hAnsi="Arial" w:eastAsia="Arial" w:cs="Arial"/>
      <w:b/>
      <w:bCs/>
      <w:color w:val="1A1A2E"/>
      <w:sz w:val="32"/>
      <w:szCs w:val="32"/>
    </w:rPr>
  </w:style>
  <w:style w:type="paragraph" w:styleId="Heading2">
    <w:name w:val="heading 2"/>
    <w:basedOn w:val="Heading"/>
    <w:qFormat/>
    <w:pPr>
      <w:numPr>
        <w:ilvl w:val="0"/>
        <w:numId w:val="0"/>
      </w:numPr>
      <w:spacing w:before="360" w:after="140"/>
      <w:outlineLvl w:val="1"/>
    </w:pPr>
    <w:rPr>
      <w:rFonts w:ascii="Arial" w:hAnsi="Arial" w:eastAsia="Arial" w:cs="Arial"/>
      <w:b/>
      <w:bCs/>
      <w:color w:val="16213E"/>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Georgia" w:hAnsi="Georgia" w:eastAsia="Georgia" w:cs="Georgia"/>
      <w:b/>
      <w:bCs/>
      <w:color w:val="auto"/>
      <w:kern w:val="0"/>
      <w:sz w:val="24"/>
      <w:szCs w:val="24"/>
      <w:lang w:val="fr-FR" w:eastAsia="zh-CN" w:bidi="hi-IN"/>
    </w:rPr>
  </w:style>
  <w:style w:type="paragraph" w:styleId="ListParagraph">
    <w:name w:val="List Paragraph"/>
    <w:qFormat/>
    <w:pPr>
      <w:widowControl w:val="false"/>
      <w:kinsoku w:val="true"/>
      <w:overflowPunct w:val="true"/>
      <w:autoSpaceDE w:val="true"/>
      <w:bidi w:val="0"/>
    </w:pPr>
    <w:rPr>
      <w:rFonts w:ascii="Georgia" w:hAnsi="Georgia" w:eastAsia="Georgia" w:cs="Georgia"/>
      <w:color w:val="auto"/>
      <w:kern w:val="0"/>
      <w:sz w:val="24"/>
      <w:szCs w:val="24"/>
      <w:lang w:val="fr-FR"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LibreOffice/26.2.3.2$Windows_X86_64 LibreOffice_project/70e089b17412e4cb7773e41413306b17a2328c34</Application>
  <AppVersion>15.0000</AppVersion>
  <Pages>14</Pages>
  <Words>2948</Words>
  <Characters>15729</Characters>
  <CharactersWithSpaces>18410</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2026-04-17T06:10:23Z</dcterms:created>
  <dc:creator>Un-named</dc:creator>
  <dc:description/>
  <dc:language>fr-FR</dc:language>
  <cp:lastModifiedBy/>
  <dcterms:modified xsi:type="dcterms:W3CDTF">2026-05-02T15:49:38Z</dcterms:modified>
  <cp:revision>2</cp:revision>
  <dc:subject/>
  <dc:title/>
</cp:coreProperties>
</file>