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Resolution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Clean proof-decision queue for title, morning-impact, and theology checks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575ac63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converts proof findings into decisions. It does not make any file final upload-ready. Applied manuscript edits, final proof, Bible permissions, ISBN/barcode, KDP Previewer, and physical proof review still remain.</w:t>
      </w:r>
    </w:p>
    <w:p>
      <w:pPr>
        <w:pStyle w:val="Heading1"/>
      </w:pPr>
      <w:r>
        <w:t>Decision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Total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Duplicate-title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Repeated morning-impact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Theology context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Source words checked by upstream audit: 369,499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Placeholder markers: 0</w:t>
      </w:r>
    </w:p>
    <w:p>
      <w:pPr>
        <w:pStyle w:val="Heading1"/>
      </w:pPr>
      <w:r>
        <w:t>Volume Decision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Volume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Impacts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Theology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Total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Priority Theology Contexts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No priority theology contexts remain in the current proof audit. Keep the grace/obedience guardrail visible during the final copyedit.</w:t>
      </w:r>
    </w:p>
    <w:p>
      <w:pPr>
        <w:pStyle w:val="Heading1"/>
      </w:pPr>
      <w:r>
        <w:t>Recommended Loop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Proof audit currently shows no duplicate title groups, no repeated morning-impact groups, and no priority theology contexts.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Run the next full copyedit pass for author voice, devotional flow, and line-level polish.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Keep the Adventist Sabbath and grace/obedience guardrails visible during final copyedit.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Regenerate final interiors and covers only after copyedit approval and locked page counts.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Do not declare KDP final until Previewer and physical proof review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Decision queue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Resolution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Resolution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