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7A5A00"/>
          <w:sz w:val="20"/>
        </w:rPr>
        <w:t>IDC Publishing KDP readiness</w:t>
      </w:r>
    </w:p>
    <w:p>
      <w:pPr>
        <w:spacing w:after="80"/>
      </w:pPr>
      <w:r>
        <w:rPr>
          <w:rFonts w:ascii="Calibri" w:hAnsi="Calibri"/>
          <w:b/>
          <w:color w:val="111827"/>
          <w:sz w:val="60"/>
        </w:rPr>
        <w:t>Lady D Author Decision Sheet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Title, Bible policy, cover, front/back matter, source freeze, and proof economics approval surface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71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Value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Author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Susan "Lady D" Damon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Generated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2026-07-08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Status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Decision gate ready; not final KDP upload approval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Commit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4f38f69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Design preset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compact_reference_guide with customer_pack opening</w:t>
            </w:r>
          </w:p>
        </w:tc>
      </w:tr>
    </w:tbl>
    <w:p>
      <w:pPr>
        <w:pStyle w:val="Heading1"/>
      </w:pPr>
      <w:r>
        <w:t>Product Approval Matrix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Key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Title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Kind</w:t>
            </w:r>
          </w:p>
        </w:tc>
        <w:tc>
          <w:tcPr>
            <w:tcW w:type="dxa" w:w="8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Proof 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primary launch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second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third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</w:tbl>
    <w:p>
      <w:pPr>
        <w:pStyle w:val="Heading1"/>
      </w:pPr>
      <w:r>
        <w:t>Immediate Decision Board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Area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Owner</w:t>
            </w:r>
          </w:p>
        </w:tc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Decision Needed</w:t>
            </w:r>
          </w:p>
        </w:tc>
        <w:tc>
          <w:tcPr>
            <w:tcW w:type="dxa" w:w="31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Done When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Title lock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title and subtitle for each devotional and each companion journal.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Every KDP product title/subtitle is approved in writing and matches the cover/interior/title page.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Bible policy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References only, public-domain text, or licensed translation with required notice.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copyright page carries the exact Bible translation and permission notice strategy.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July 6 content feedback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Whether every day gets quoted Scripture text or a more compact reference-plus-reader-reflection format.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Sample pages are approved before trilogy-wide conversion.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Cover direction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cover concept, brightness, author name treatment, subtitle scale, paper type, and barcode plan.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selected front cover and full-wrap proof pass thumbnail, spine, bleed, and barcode review.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Front/back matter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wording for author-sensitive pages.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No placeholders remain in copyright, dedication, bio, acknowledgments, or IDC imprint notes.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Launch order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Single-volume launch, trilogy launch, or staggered release calendar.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metadata, prices, categories, and review copies match the selected release sequence.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Adventist guardrail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theological audit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Confirm no Sunday-as-Sabbath language and no performance-based salvation phrasing.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proof audit shows zero Sunday-as-Sabbath drift and no earning-love framing.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proof economics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How many proofs, who receives them, and what retail-price scenarios should be modeled.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Proof order quantity, shipping destination, retail prices, and author-copy path are documented.</w:t>
            </w:r>
          </w:p>
        </w:tc>
      </w:tr>
    </w:tbl>
    <w:p>
      <w:r>
        <w:br w:type="page"/>
      </w:r>
    </w:p>
    <w:p>
      <w:pPr>
        <w:pStyle w:val="Heading1"/>
      </w:pPr>
      <w:r>
        <w:t>KDP Copy Economics Snapshot</w:t>
      </w:r>
    </w:p>
    <w:p>
      <w:pPr>
        <w:spacing w:after="120" w:line="300" w:lineRule="auto"/>
      </w:pPr>
      <w:r>
        <w:rPr>
          <w:rFonts w:ascii="Calibri" w:hAnsi="Calibri"/>
          <w:b/>
        </w:rPr>
        <w:t>Planning subtotal for one print copy of each of the six current review products before shipping/tax: $36.45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7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Product</w:t>
            </w:r>
          </w:p>
        </w:tc>
        <w:tc>
          <w:tcPr>
            <w:tcW w:type="dxa" w:w="93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Estimate</w:t>
            </w:r>
          </w:p>
        </w:tc>
        <w:tc>
          <w:tcPr>
            <w:tcW w:type="dxa" w:w="35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Notes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$6.64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$6.72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$6.80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</w:tbl>
    <w:p>
      <w:pPr>
        <w:pStyle w:val="Heading1"/>
      </w:pPr>
      <w:r>
        <w:t>Source Freeze Snapshot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File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Exists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Bytes</w:t>
            </w:r>
          </w:p>
        </w:tc>
        <w:tc>
          <w:tcPr>
            <w:tcW w:type="dxa" w:w="26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SHA-256 Prefix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785083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34284bde37fa4ba0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602832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b41bff9329d4989e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576827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97fa781cf0e4a237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131758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48fbf32d67f70f06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112931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a611a6eda81ad758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117300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505e92e6676b1d27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1591989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d67e600f9a4861dd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1374482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1eefb9f525600443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1348707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95018b3e8534e557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983685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97e800d1951c8bfc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943804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54323dcbd2951d4c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951019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0d882796ce880cb5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719342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f8840b1e54c81d05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878866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72bc8192f154115b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761132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aeaad97814ac97ae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702215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c03d8e80b71106cc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866858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d0d78f9c6e6bc264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757150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5055a5952d70e7a8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20" w:line="300" w:lineRule="auto"/>
      </w:pPr>
      <w:r>
        <w:rPr>
          <w:rFonts w:ascii="Calibri" w:hAnsi="Calibri"/>
          <w:b w:val="0"/>
        </w:rPr>
        <w:t>This sheet is a decision and source-control gate, not a final upload approval.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regenerate final wraps until trim, paper type, page counts, title/subtitle, and barcode strategy are locked.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add full Bible quotation text until the Bible policy is approved and the copyright/permission notice is inserted.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use public release language until KDP Previewer and physical proof review pass.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Keep Juan Damon testimony/autobiography separate unless a new scope is approved.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Decision gate, not final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 Decision Sheet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