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2026-07-08</w:t>
      </w:r>
    </w:p>
    <w:p>
      <w:r>
        <w:t>Repo commit at generation: 266943b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Author decision sheet generated with title, Bible policy, cover, front/back matter, launch order, Adventist guardrail, source-freeze, and KDP copy-economics approval fields.</w:t>
      </w:r>
    </w:p>
    <w:p>
      <w:pPr>
        <w:pStyle w:val="ListBullet"/>
      </w:pPr>
      <w:r>
        <w:t>Volume 1 Days 001-164, including Leap Day, author-voice line edits completed across twenty-two seven-day batches, one eight-entry leap-day/March gate, plus a three-day January closeout; the edited surface now has 165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Author approval of the decision sheet: titles, Bible policy, cover direction, bio, dedication, acknowledgments, and launch order.</w:t>
      </w:r>
    </w:p>
    <w:p>
      <w:pPr>
        <w:pStyle w:val="ListBullet"/>
      </w:pPr>
      <w:r>
        <w:t>Continue author-voice line edits beyond the completed Volume 1 Days 001-164 plus Leap Day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 decision sheet, author-voice copyedit gate, and completed Volume 1 Days 001-164 plus Leap Day line-edit batches as the next trilogy-wide copyedit and theological proof surface. The proof decision queue is clear; continue with Volume 1 Days 165-171, then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