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210-216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 from covenant belonging today; the Father is God to you before the future is managed.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God's belonging name the unsettled place today; temporary ground does not define His child.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Keep one entrusted rhythm today; obedience can answer love without bargaining for it.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God's finished work; let mercy become visible in one quiet relationship.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Restore one covenant reminder today; the Father's patience can call your heart back before worry speaks.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Strengthen one faithful witness today; covenant love can outlast the fear of this moment.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216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See the overlooked person today; restoring compassion can give dignity where hurry has made someone unseen.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