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Surface Geometry of Data Manifolds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Predicts Optimal Regularization in Neural Networks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Christopher Head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Navigator's Log R&amp;D — Fresno, California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powerpredixtable@proton.me | navigatorslog.netlify.app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</w:t>
      </w:r>
    </w:p>
    <w:p>
      <w:pPr>
        <w:pStyle w:val="Heading1"/>
      </w:pPr>
      <w:r>
        <w:t xml:space="preserve">Abstract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We show that four measurable geometric properties of a data manifold — intrinsic dimension, curvature, density variation, and codimension ratio — predict the optimal weight decay for neural networks with R² = 0.196 (p &lt; 0.001) and capture 84% of oracle grid-search performance on held-out domains (40 wins, 19 ties, 1 loss across 60 test manifolds). The key finding is that interaction terms between surface properties — particularly the product of intrinsic dimension and density variation (ID×DCV) — carry the dominant signal, while individual properties alone are weak predictors. This result emerges only when self-regularizing mechanisms (early stopping) are absent, confirming that surface geometry governs explicit regularization specifically. These findings derive from the Tension-Dissipation Framework (TDF), a cosmological theory tested against 18+ correlations across 12 scientific domains spanning 60 orders of magnitude. All experiments run on a consumer laptop using standard Python libraries. Code and data are publicly available.</w:t>
      </w:r>
    </w:p>
    <w:p>
      <w:pPr>
        <w:pStyle w:val="Heading1"/>
      </w:pPr>
      <w:r>
        <w:t xml:space="preserve">Core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With Early Stopping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Without Early Stopping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WD Prediction 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0.196 (p &lt; 0.001)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Oracle Capture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 / Tie /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/ 41 /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 / 19 /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Mean Gain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Tracks Oracle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 = 0.951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 = 0.967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1"/>
          <w:szCs w:val="21"/>
        </w:rPr>
        <w:t xml:space="preserve">The complete paper, methodology, and all supporting results are documented in the accompanying paper.md file and GitHub repository. All experiments are fully reproducible on a consumer laptop (Surface Pro 7, Intel i5, no GPU) using standard Python libraries (numpy, scikit-learn, scipy, matplotlib).</w:t>
      </w:r>
    </w:p>
    <w:p>
      <w:pPr>
        <w:pStyle w:val="Heading1"/>
      </w:pPr>
      <w:r>
        <w:t xml:space="preserve">Feature Importances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Interaction terms between surface properties dominate. No single raw property exceeds 14% importance: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× Density CV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0.290 (29%)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Curvature × Density CV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0.145 (15%)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Density CV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0.135 (14%)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Codimension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0.097 (10%)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Intrinsic 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0.086 (9%)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× Curvature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0.078 (8%)</w:t>
            </w:r>
          </w:p>
        </w:tc>
      </w:tr>
    </w:tbl>
    <w:p>
      <w:pPr>
        <w:spacing w:before="300"/>
      </w:pPr>
      <w:r>
        <w:rPr>
          <w:sz w:val="10"/>
          <w:szCs w:val="10"/>
        </w:rPr>
        <w:t xml:space="preserve"/>
      </w:r>
      <w:r>
        <w:br w:type="page"/>
      </w:r>
    </w:p>
    <w:p>
      <w:pPr>
        <w:pStyle w:val="Heading1"/>
      </w:pPr>
      <w:r>
        <w:t xml:space="preserve">Implications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 practitioners: </w:t>
      </w:r>
      <w:r>
        <w:rPr>
          <w:rFonts w:ascii="Arial" w:cs="Arial" w:eastAsia="Arial" w:hAnsi="Arial"/>
          <w:sz w:val="21"/>
          <w:szCs w:val="21"/>
        </w:rPr>
        <w:t xml:space="preserve">Measure your dataset's intrinsic dimension and density variation before training. High ID × high density variation demands lighter regularization. Low ID × uniform density tolerates heavier regularization. These measurements take minutes on CPU and narrow the hyperparameter search space.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 architecture designers: </w:t>
      </w:r>
      <w:r>
        <w:rPr>
          <w:rFonts w:ascii="Arial" w:cs="Arial" w:eastAsia="Arial" w:hAnsi="Arial"/>
          <w:sz w:val="21"/>
          <w:szCs w:val="21"/>
        </w:rPr>
        <w:t xml:space="preserve">A curvature-adaptive regularization module — measuring representation geometry at each layer and adjusting weight decay accordingly — would outperform fixed-regularization networks. The brain does this via neuromodulatory systems. No existing neural network architecture does.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 the AGI debate: </w:t>
      </w:r>
      <w:r>
        <w:rPr>
          <w:rFonts w:ascii="Arial" w:cs="Arial" w:eastAsia="Arial" w:hAnsi="Arial"/>
          <w:sz w:val="21"/>
          <w:szCs w:val="21"/>
        </w:rPr>
        <w:t xml:space="preserve">Different domains have measurably different surface geometries with disjoint Goldilocks zones for regularization. Cross-domain intelligence requires either adaptive brakes (curvature-gated regularization) or hierarchical specialization (domain-specific modules with domain-appropriate brakes). Scaling compute alone does not solve the regularization problem.</w:t>
      </w:r>
    </w:p>
    <w:p>
      <w:pPr>
        <w:pStyle w:val="Heading1"/>
      </w:pPr>
      <w:r>
        <w:t xml:space="preserve">Reproduce These Results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All code is available at github.com/navigatorslog/tdf-surface-geometry. Requirements: Python 3.8+, numpy, scikit-learn, scipy, matplotlib. Total compute: 2.5 hours on a consumer laptop. No GPU required.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Christopher Head — Navigator's Log R&amp;D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2026-03-28T20:46:16.171Z</dcterms:created>
  <dcterms:modified xsi:type="dcterms:W3CDTF">2026-03-28T20:46:16.172Z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