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rFonts w:ascii="Calibri" w:hAnsi="Calibri"/>
          <w:b/>
          <w:color w:val="2E74B5"/>
          <w:sz w:val="20"/>
        </w:rPr>
        <w:t>DETAILED PROJECT REPORT</w:t>
      </w:r>
    </w:p>
    <w:p>
      <w:r>
        <w:rPr>
          <w:rFonts w:ascii="Calibri" w:hAnsi="Calibri"/>
          <w:b/>
          <w:color w:val="17324D"/>
          <w:sz w:val="48"/>
        </w:rPr>
        <w:t>Travel CRM: Inquiry, Sales and Itinerary Modules</w:t>
      </w:r>
    </w:p>
    <w:p>
      <w:r>
        <w:rPr>
          <w:rFonts w:ascii="Calibri" w:hAnsi="Calibri"/>
          <w:color w:val="667085"/>
          <w:sz w:val="25"/>
        </w:rPr>
        <w:t>Functional overview, architecture, workflow, current readiness and next implementation priorities</w:t>
      </w:r>
    </w:p>
    <w:tbl>
      <w:tblPr>
        <w:tblStyle w:val="TableGrid"/>
        <w:tblW w:type="auto" w:w="0"/>
        <w:jc w:val="center"/>
        <w:tblLayout w:type="fixed"/>
        <w:tblLook w:firstColumn="1" w:firstRow="1" w:lastColumn="0" w:lastRow="0" w:noHBand="0" w:noVBand="1" w:val="04A0"/>
      </w:tblPr>
      <w:tblGrid>
        <w:gridCol w:w="4824"/>
        <w:gridCol w:w="4824"/>
      </w:tblGrid>
      <w:tr>
        <w:tc>
          <w:tcPr>
            <w:tcW w:type="dxa" w:w="2088"/>
            <w:shd w:fill="F2F4F7"/>
            <w:vAlign w:val="center"/>
          </w:tcPr>
          <w:p>
            <w:pPr>
              <w:spacing w:after="0"/>
            </w:pPr>
            <w:r>
              <w:rPr>
                <w:rFonts w:ascii="Calibri" w:hAnsi="Calibri"/>
                <w:b/>
                <w:color w:val="17324D"/>
                <w:sz w:val="19"/>
              </w:rPr>
              <w:t>Report item</w:t>
            </w:r>
          </w:p>
        </w:tc>
        <w:tc>
          <w:tcPr>
            <w:tcW w:type="dxa" w:w="6552"/>
            <w:shd w:fill="F2F4F7"/>
            <w:vAlign w:val="center"/>
          </w:tcPr>
          <w:p>
            <w:pPr>
              <w:spacing w:after="0"/>
            </w:pPr>
            <w:r>
              <w:rPr>
                <w:rFonts w:ascii="Calibri" w:hAnsi="Calibri"/>
                <w:b/>
                <w:color w:val="17324D"/>
                <w:sz w:val="19"/>
              </w:rPr>
              <w:t>Details</w:t>
            </w:r>
          </w:p>
        </w:tc>
      </w:tr>
      <w:tr>
        <w:tc>
          <w:tcPr>
            <w:tcW w:type="dxa" w:w="2088"/>
            <w:vAlign w:val="center"/>
          </w:tcPr>
          <w:p>
            <w:pPr>
              <w:spacing w:after="0"/>
            </w:pPr>
            <w:r>
              <w:rPr>
                <w:rFonts w:ascii="Calibri" w:hAnsi="Calibri"/>
                <w:b w:val="0"/>
                <w:color w:val="000000"/>
                <w:sz w:val="19"/>
              </w:rPr>
              <w:t>Scope</w:t>
            </w:r>
          </w:p>
        </w:tc>
        <w:tc>
          <w:tcPr>
            <w:tcW w:type="dxa" w:w="6552"/>
            <w:vAlign w:val="center"/>
          </w:tcPr>
          <w:p>
            <w:pPr>
              <w:spacing w:after="0"/>
            </w:pPr>
            <w:r>
              <w:rPr>
                <w:rFonts w:ascii="Calibri" w:hAnsi="Calibri"/>
                <w:b w:val="0"/>
                <w:color w:val="000000"/>
                <w:sz w:val="19"/>
              </w:rPr>
              <w:t>Detailed review of the current frontend implementation</w:t>
            </w:r>
          </w:p>
        </w:tc>
      </w:tr>
      <w:tr>
        <w:tc>
          <w:tcPr>
            <w:tcW w:type="dxa" w:w="2088"/>
            <w:vAlign w:val="center"/>
          </w:tcPr>
          <w:p>
            <w:pPr>
              <w:spacing w:after="0"/>
            </w:pPr>
            <w:r>
              <w:rPr>
                <w:rFonts w:ascii="Calibri" w:hAnsi="Calibri"/>
                <w:b w:val="0"/>
                <w:color w:val="000000"/>
                <w:sz w:val="19"/>
              </w:rPr>
              <w:t>Modules</w:t>
            </w:r>
          </w:p>
        </w:tc>
        <w:tc>
          <w:tcPr>
            <w:tcW w:type="dxa" w:w="6552"/>
            <w:vAlign w:val="center"/>
          </w:tcPr>
          <w:p>
            <w:pPr>
              <w:spacing w:after="0"/>
            </w:pPr>
            <w:r>
              <w:rPr>
                <w:rFonts w:ascii="Calibri" w:hAnsi="Calibri"/>
                <w:b w:val="0"/>
                <w:color w:val="000000"/>
                <w:sz w:val="19"/>
              </w:rPr>
              <w:t>Inquiry Engine, Sales Engine and Itinerary Builder</w:t>
            </w:r>
          </w:p>
        </w:tc>
      </w:tr>
      <w:tr>
        <w:tc>
          <w:tcPr>
            <w:tcW w:type="dxa" w:w="2088"/>
            <w:vAlign w:val="center"/>
          </w:tcPr>
          <w:p>
            <w:pPr>
              <w:spacing w:after="0"/>
            </w:pPr>
            <w:r>
              <w:rPr>
                <w:rFonts w:ascii="Calibri" w:hAnsi="Calibri"/>
                <w:b w:val="0"/>
                <w:color w:val="000000"/>
                <w:sz w:val="19"/>
              </w:rPr>
              <w:t>Architecture</w:t>
            </w:r>
          </w:p>
        </w:tc>
        <w:tc>
          <w:tcPr>
            <w:tcW w:type="dxa" w:w="6552"/>
            <w:vAlign w:val="center"/>
          </w:tcPr>
          <w:p>
            <w:pPr>
              <w:spacing w:after="0"/>
            </w:pPr>
            <w:r>
              <w:rPr>
                <w:rFonts w:ascii="Calibri" w:hAnsi="Calibri"/>
                <w:b w:val="0"/>
                <w:color w:val="000000"/>
                <w:sz w:val="19"/>
              </w:rPr>
              <w:t>React + Vite, module-owned routes, MUI-based interface, mock data/services</w:t>
            </w:r>
          </w:p>
        </w:tc>
      </w:tr>
      <w:tr>
        <w:tc>
          <w:tcPr>
            <w:tcW w:type="dxa" w:w="2088"/>
            <w:vAlign w:val="center"/>
          </w:tcPr>
          <w:p>
            <w:pPr>
              <w:spacing w:after="0"/>
            </w:pPr>
            <w:r>
              <w:rPr>
                <w:rFonts w:ascii="Calibri" w:hAnsi="Calibri"/>
                <w:b w:val="0"/>
                <w:color w:val="000000"/>
                <w:sz w:val="19"/>
              </w:rPr>
              <w:t>Report date</w:t>
            </w:r>
          </w:p>
        </w:tc>
        <w:tc>
          <w:tcPr>
            <w:tcW w:type="dxa" w:w="6552"/>
            <w:vAlign w:val="center"/>
          </w:tcPr>
          <w:p>
            <w:pPr>
              <w:spacing w:after="0"/>
            </w:pPr>
            <w:r>
              <w:rPr>
                <w:rFonts w:ascii="Calibri" w:hAnsi="Calibri"/>
                <w:b w:val="0"/>
                <w:color w:val="000000"/>
                <w:sz w:val="19"/>
              </w:rPr>
              <w:t>10 August 2026</w:t>
            </w:r>
          </w:p>
        </w:tc>
      </w:tr>
    </w:tbl>
    <w:p>
      <w:pPr>
        <w:spacing w:after="40"/>
      </w:pPr>
    </w:p>
    <w:p>
      <w:pPr>
        <w:pStyle w:val="Heading1"/>
        <w:keepNext/>
      </w:pPr>
      <w:r>
        <w:rPr>
          <w:rFonts w:ascii="Calibri" w:hAnsi="Calibri"/>
          <w:b/>
          <w:color w:val="2E74B5"/>
          <w:sz w:val="32"/>
        </w:rPr>
        <w:t>1. Executive Summary</w:t>
      </w:r>
    </w:p>
    <w:p>
      <w:pPr>
        <w:spacing w:after="120" w:line="264" w:lineRule="auto"/>
      </w:pPr>
      <w:r>
        <w:rPr>
          <w:rFonts w:ascii="Calibri" w:hAnsi="Calibri"/>
          <w:color w:val="000000"/>
          <w:sz w:val="22"/>
        </w:rPr>
        <w:t>The Travel CRM frontend establishes a structured travel sales lifecycle. The Inquiry Engine captures and qualifies customer requirements, the Sales Engine uses those live leads for follow-up and conversion-oriented work, and the Itinerary Builder creates the travel plan that can be presented to the customer. Each module has its own route registry, pages and components, enabling teams to evolve modules without centralising all work in a single router or screen.</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00"/>
            <w:shd w:fill="F2F4F7"/>
            <w:vAlign w:val="center"/>
          </w:tcPr>
          <w:p>
            <w:pPr>
              <w:spacing w:after="0"/>
            </w:pPr>
            <w:r>
              <w:rPr>
                <w:rFonts w:ascii="Calibri" w:hAnsi="Calibri"/>
                <w:b/>
                <w:color w:val="17324D"/>
                <w:sz w:val="19"/>
              </w:rPr>
              <w:t>Module</w:t>
            </w:r>
          </w:p>
        </w:tc>
        <w:tc>
          <w:tcPr>
            <w:tcW w:type="dxa" w:w="4464"/>
            <w:shd w:fill="F2F4F7"/>
            <w:vAlign w:val="center"/>
          </w:tcPr>
          <w:p>
            <w:pPr>
              <w:spacing w:after="0"/>
            </w:pPr>
            <w:r>
              <w:rPr>
                <w:rFonts w:ascii="Calibri" w:hAnsi="Calibri"/>
                <w:b/>
                <w:color w:val="17324D"/>
                <w:sz w:val="19"/>
              </w:rPr>
              <w:t>Business role</w:t>
            </w:r>
          </w:p>
        </w:tc>
        <w:tc>
          <w:tcPr>
            <w:tcW w:type="dxa" w:w="2880"/>
            <w:shd w:fill="F2F4F7"/>
            <w:vAlign w:val="center"/>
          </w:tcPr>
          <w:p>
            <w:pPr>
              <w:spacing w:after="0"/>
            </w:pPr>
            <w:r>
              <w:rPr>
                <w:rFonts w:ascii="Calibri" w:hAnsi="Calibri"/>
                <w:b/>
                <w:color w:val="17324D"/>
                <w:sz w:val="19"/>
              </w:rPr>
              <w:t>Current status</w:t>
            </w:r>
          </w:p>
        </w:tc>
      </w:tr>
      <w:tr>
        <w:tc>
          <w:tcPr>
            <w:tcW w:type="dxa" w:w="1800"/>
            <w:vAlign w:val="center"/>
          </w:tcPr>
          <w:p>
            <w:pPr>
              <w:spacing w:after="0"/>
            </w:pPr>
            <w:r>
              <w:rPr>
                <w:rFonts w:ascii="Calibri" w:hAnsi="Calibri"/>
                <w:b w:val="0"/>
                <w:color w:val="000000"/>
                <w:sz w:val="19"/>
              </w:rPr>
              <w:t>Inquiry Engine</w:t>
            </w:r>
          </w:p>
        </w:tc>
        <w:tc>
          <w:tcPr>
            <w:tcW w:type="dxa" w:w="4464"/>
            <w:vAlign w:val="center"/>
          </w:tcPr>
          <w:p>
            <w:pPr>
              <w:spacing w:after="0"/>
            </w:pPr>
            <w:r>
              <w:rPr>
                <w:rFonts w:ascii="Calibri" w:hAnsi="Calibri"/>
                <w:b w:val="0"/>
                <w:color w:val="000000"/>
                <w:sz w:val="19"/>
              </w:rPr>
              <w:t>Capture, qualify, prioritise and assign travel enquiries</w:t>
            </w:r>
          </w:p>
        </w:tc>
        <w:tc>
          <w:tcPr>
            <w:tcW w:type="dxa" w:w="2880"/>
            <w:vAlign w:val="center"/>
          </w:tcPr>
          <w:p>
            <w:pPr>
              <w:spacing w:after="0"/>
            </w:pPr>
            <w:r>
              <w:rPr>
                <w:rFonts w:ascii="Calibri" w:hAnsi="Calibri"/>
                <w:b w:val="0"/>
                <w:color w:val="000000"/>
                <w:sz w:val="19"/>
              </w:rPr>
              <w:t>Core dashboard, manual workspace, add/edit/detail flows are implemented</w:t>
            </w:r>
          </w:p>
        </w:tc>
      </w:tr>
      <w:tr>
        <w:tc>
          <w:tcPr>
            <w:tcW w:type="dxa" w:w="1800"/>
            <w:vAlign w:val="center"/>
          </w:tcPr>
          <w:p>
            <w:pPr>
              <w:spacing w:after="0"/>
            </w:pPr>
            <w:r>
              <w:rPr>
                <w:rFonts w:ascii="Calibri" w:hAnsi="Calibri"/>
                <w:b w:val="0"/>
                <w:color w:val="000000"/>
                <w:sz w:val="19"/>
              </w:rPr>
              <w:t>Sales Engine</w:t>
            </w:r>
          </w:p>
        </w:tc>
        <w:tc>
          <w:tcPr>
            <w:tcW w:type="dxa" w:w="4464"/>
            <w:vAlign w:val="center"/>
          </w:tcPr>
          <w:p>
            <w:pPr>
              <w:spacing w:after="0"/>
            </w:pPr>
            <w:r>
              <w:rPr>
                <w:rFonts w:ascii="Calibri" w:hAnsi="Calibri"/>
                <w:b w:val="0"/>
                <w:color w:val="000000"/>
                <w:sz w:val="19"/>
              </w:rPr>
              <w:t>Work leads through proposal, follow-up, negotiation and confirmation</w:t>
            </w:r>
          </w:p>
        </w:tc>
        <w:tc>
          <w:tcPr>
            <w:tcW w:type="dxa" w:w="2880"/>
            <w:vAlign w:val="center"/>
          </w:tcPr>
          <w:p>
            <w:pPr>
              <w:spacing w:after="0"/>
            </w:pPr>
            <w:r>
              <w:rPr>
                <w:rFonts w:ascii="Calibri" w:hAnsi="Calibri"/>
                <w:b w:val="0"/>
                <w:color w:val="000000"/>
                <w:sz w:val="19"/>
              </w:rPr>
              <w:t>Dashboard and workflow screens implemented; metrics remain mock-driven</w:t>
            </w:r>
          </w:p>
        </w:tc>
      </w:tr>
      <w:tr>
        <w:tc>
          <w:tcPr>
            <w:tcW w:type="dxa" w:w="1800"/>
            <w:vAlign w:val="center"/>
          </w:tcPr>
          <w:p>
            <w:pPr>
              <w:spacing w:after="0"/>
            </w:pPr>
            <w:r>
              <w:rPr>
                <w:rFonts w:ascii="Calibri" w:hAnsi="Calibri"/>
                <w:b w:val="0"/>
                <w:color w:val="000000"/>
                <w:sz w:val="19"/>
              </w:rPr>
              <w:t>Itinerary Builder</w:t>
            </w:r>
          </w:p>
        </w:tc>
        <w:tc>
          <w:tcPr>
            <w:tcW w:type="dxa" w:w="4464"/>
            <w:vAlign w:val="center"/>
          </w:tcPr>
          <w:p>
            <w:pPr>
              <w:spacing w:after="0"/>
            </w:pPr>
            <w:r>
              <w:rPr>
                <w:rFonts w:ascii="Calibri" w:hAnsi="Calibri"/>
                <w:b w:val="0"/>
                <w:color w:val="000000"/>
                <w:sz w:val="19"/>
              </w:rPr>
              <w:t>Create, revise, save and present travel itineraries</w:t>
            </w:r>
          </w:p>
        </w:tc>
        <w:tc>
          <w:tcPr>
            <w:tcW w:type="dxa" w:w="2880"/>
            <w:vAlign w:val="center"/>
          </w:tcPr>
          <w:p>
            <w:pPr>
              <w:spacing w:after="0"/>
            </w:pPr>
            <w:r>
              <w:rPr>
                <w:rFonts w:ascii="Calibri" w:hAnsi="Calibri"/>
                <w:b w:val="0"/>
                <w:color w:val="000000"/>
                <w:sz w:val="19"/>
              </w:rPr>
              <w:t>Functional list, builder, templates, pricing and localStorage service</w:t>
            </w:r>
          </w:p>
        </w:tc>
      </w:tr>
    </w:tbl>
    <w:p>
      <w:pPr>
        <w:spacing w:after="40"/>
      </w:pPr>
    </w:p>
    <w:p>
      <w:pPr>
        <w:pStyle w:val="Heading1"/>
        <w:keepNext/>
      </w:pPr>
      <w:r>
        <w:rPr>
          <w:rFonts w:ascii="Calibri" w:hAnsi="Calibri"/>
          <w:b/>
          <w:color w:val="2E74B5"/>
          <w:sz w:val="32"/>
        </w:rPr>
        <w:t>2. Shared Frontend Architecture</w:t>
      </w:r>
    </w:p>
    <w:p>
      <w:pPr>
        <w:spacing w:after="120" w:line="264" w:lineRule="auto"/>
      </w:pPr>
      <w:r>
        <w:rPr>
          <w:rFonts w:ascii="Calibri" w:hAnsi="Calibri"/>
          <w:color w:val="000000"/>
          <w:sz w:val="22"/>
        </w:rPr>
        <w:t>The project follows a module-oriented frontend structure. Each module owns its routes, pages, components, styles and local data where applicable. App-level routing aggregates the module route arrays, while shared contexts and common UI components provide cross-module behaviour.</w:t>
      </w:r>
    </w:p>
    <w:p>
      <w:pPr>
        <w:pStyle w:val="ListBullet"/>
        <w:spacing w:after="80" w:line="264" w:lineRule="auto"/>
      </w:pPr>
      <w:r>
        <w:rPr>
          <w:rFonts w:ascii="Calibri" w:hAnsi="Calibri"/>
          <w:color w:val="000000"/>
          <w:sz w:val="22"/>
        </w:rPr>
        <w:t>Route ownership: each module exports its own routes.jsx file; new module pages are registered locally rather than directly in the central router.</w:t>
      </w:r>
    </w:p>
    <w:p>
      <w:pPr>
        <w:pStyle w:val="ListBullet"/>
        <w:spacing w:after="80" w:line="264" w:lineRule="auto"/>
      </w:pPr>
      <w:r>
        <w:rPr>
          <w:rFonts w:ascii="Calibri" w:hAnsi="Calibri"/>
          <w:color w:val="000000"/>
          <w:sz w:val="22"/>
        </w:rPr>
        <w:t>Presentation layer: React pages are composed from Material UI, React Icons, module-specific CSS and reusable card/table/status components.</w:t>
      </w:r>
    </w:p>
    <w:p>
      <w:pPr>
        <w:pStyle w:val="ListBullet"/>
        <w:spacing w:after="80" w:line="264" w:lineRule="auto"/>
      </w:pPr>
      <w:r>
        <w:rPr>
          <w:rFonts w:ascii="Calibri" w:hAnsi="Calibri"/>
          <w:color w:val="000000"/>
          <w:sz w:val="22"/>
        </w:rPr>
        <w:t>State approach: InquiryContext stores in-memory lead data and exposes actions; Sales consumes that context; Itinerary uses a local service abstraction.</w:t>
      </w:r>
    </w:p>
    <w:p>
      <w:pPr>
        <w:pStyle w:val="ListBullet"/>
        <w:spacing w:after="80" w:line="264" w:lineRule="auto"/>
      </w:pPr>
      <w:r>
        <w:rPr>
          <w:rFonts w:ascii="Calibri" w:hAnsi="Calibri"/>
          <w:color w:val="000000"/>
          <w:sz w:val="22"/>
        </w:rPr>
        <w:t>Data readiness: mock data and simulated asynchronous operations provide demo behaviour while backend API integration is pending.</w:t>
      </w:r>
    </w:p>
    <w:p>
      <w:pPr>
        <w:pStyle w:val="Heading1"/>
        <w:keepNext/>
      </w:pPr>
      <w:r>
        <w:rPr>
          <w:rFonts w:ascii="Calibri" w:hAnsi="Calibri"/>
          <w:b/>
          <w:color w:val="2E74B5"/>
          <w:sz w:val="32"/>
        </w:rPr>
        <w:t>3. Inquiry Engine</w:t>
      </w:r>
    </w:p>
    <w:p>
      <w:pPr>
        <w:pStyle w:val="Heading2"/>
        <w:keepNext/>
      </w:pPr>
      <w:r>
        <w:rPr>
          <w:rFonts w:ascii="Calibri" w:hAnsi="Calibri"/>
          <w:b/>
          <w:color w:val="2E74B5"/>
          <w:sz w:val="26"/>
        </w:rPr>
        <w:t>3.1 Purpose and operational scope</w:t>
      </w:r>
    </w:p>
    <w:p>
      <w:pPr>
        <w:spacing w:after="120" w:line="264" w:lineRule="auto"/>
      </w:pPr>
      <w:r>
        <w:rPr>
          <w:rFonts w:ascii="Calibri" w:hAnsi="Calibri"/>
          <w:color w:val="000000"/>
          <w:sz w:val="22"/>
        </w:rPr>
        <w:t>The Inquiry Engine is the entry point for prospective traveller information. It provides a controlled way to record the customer, destination, dates, traveller count, budget, preferences, source, sales ownership and follow-up details needed for qualification. The module is designed to support multiple inbound enquiry channels while retaining a consistent lead structure.</w:t>
      </w:r>
    </w:p>
    <w:p>
      <w:pPr>
        <w:pStyle w:val="Heading2"/>
        <w:keepNext/>
      </w:pPr>
      <w:r>
        <w:rPr>
          <w:rFonts w:ascii="Calibri" w:hAnsi="Calibri"/>
          <w:b/>
          <w:color w:val="2E74B5"/>
          <w:sz w:val="26"/>
        </w:rPr>
        <w:t>3.2 Routes and screens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944"/>
            <w:shd w:fill="F2F4F7"/>
            <w:vAlign w:val="center"/>
          </w:tcPr>
          <w:p>
            <w:pPr>
              <w:spacing w:after="0"/>
            </w:pPr>
            <w:r>
              <w:rPr>
                <w:rFonts w:ascii="Calibri" w:hAnsi="Calibri"/>
                <w:b/>
                <w:color w:val="17324D"/>
                <w:sz w:val="19"/>
              </w:rPr>
              <w:t>Screen</w:t>
            </w:r>
          </w:p>
        </w:tc>
        <w:tc>
          <w:tcPr>
            <w:tcW w:type="dxa" w:w="2880"/>
            <w:shd w:fill="F2F4F7"/>
            <w:vAlign w:val="center"/>
          </w:tcPr>
          <w:p>
            <w:pPr>
              <w:spacing w:after="0"/>
            </w:pPr>
            <w:r>
              <w:rPr>
                <w:rFonts w:ascii="Calibri" w:hAnsi="Calibri"/>
                <w:b/>
                <w:color w:val="17324D"/>
                <w:sz w:val="19"/>
              </w:rPr>
              <w:t>Route</w:t>
            </w:r>
          </w:p>
        </w:tc>
        <w:tc>
          <w:tcPr>
            <w:tcW w:type="dxa" w:w="4320"/>
            <w:shd w:fill="F2F4F7"/>
            <w:vAlign w:val="center"/>
          </w:tcPr>
          <w:p>
            <w:pPr>
              <w:spacing w:after="0"/>
            </w:pPr>
            <w:r>
              <w:rPr>
                <w:rFonts w:ascii="Calibri" w:hAnsi="Calibri"/>
                <w:b/>
                <w:color w:val="17324D"/>
                <w:sz w:val="19"/>
              </w:rPr>
              <w:t>Function</w:t>
            </w:r>
          </w:p>
        </w:tc>
      </w:tr>
      <w:tr>
        <w:tc>
          <w:tcPr>
            <w:tcW w:type="dxa" w:w="1944"/>
            <w:vAlign w:val="center"/>
          </w:tcPr>
          <w:p>
            <w:pPr>
              <w:spacing w:after="0"/>
            </w:pPr>
            <w:r>
              <w:rPr>
                <w:rFonts w:ascii="Calibri" w:hAnsi="Calibri"/>
                <w:b w:val="0"/>
                <w:color w:val="000000"/>
                <w:sz w:val="19"/>
              </w:rPr>
              <w:t>Dashboard</w:t>
            </w:r>
          </w:p>
        </w:tc>
        <w:tc>
          <w:tcPr>
            <w:tcW w:type="dxa" w:w="2880"/>
            <w:vAlign w:val="center"/>
          </w:tcPr>
          <w:p>
            <w:pPr>
              <w:spacing w:after="0"/>
            </w:pPr>
            <w:r>
              <w:rPr>
                <w:rFonts w:ascii="Calibri" w:hAnsi="Calibri"/>
                <w:b w:val="0"/>
                <w:color w:val="000000"/>
                <w:sz w:val="19"/>
              </w:rPr>
              <w:t>/inquiry/dashboard</w:t>
            </w:r>
          </w:p>
        </w:tc>
        <w:tc>
          <w:tcPr>
            <w:tcW w:type="dxa" w:w="4320"/>
            <w:vAlign w:val="center"/>
          </w:tcPr>
          <w:p>
            <w:pPr>
              <w:spacing w:after="0"/>
            </w:pPr>
            <w:r>
              <w:rPr>
                <w:rFonts w:ascii="Calibri" w:hAnsi="Calibri"/>
                <w:b w:val="0"/>
                <w:color w:val="000000"/>
                <w:sz w:val="19"/>
              </w:rPr>
              <w:t>Shows enquiry totals, priority counts, funnel distribution and source mix.</w:t>
            </w:r>
          </w:p>
        </w:tc>
      </w:tr>
      <w:tr>
        <w:tc>
          <w:tcPr>
            <w:tcW w:type="dxa" w:w="1944"/>
            <w:vAlign w:val="center"/>
          </w:tcPr>
          <w:p>
            <w:pPr>
              <w:spacing w:after="0"/>
            </w:pPr>
            <w:r>
              <w:rPr>
                <w:rFonts w:ascii="Calibri" w:hAnsi="Calibri"/>
                <w:b w:val="0"/>
                <w:color w:val="000000"/>
                <w:sz w:val="19"/>
              </w:rPr>
              <w:t>Manual Workspace</w:t>
            </w:r>
          </w:p>
        </w:tc>
        <w:tc>
          <w:tcPr>
            <w:tcW w:type="dxa" w:w="2880"/>
            <w:vAlign w:val="center"/>
          </w:tcPr>
          <w:p>
            <w:pPr>
              <w:spacing w:after="0"/>
            </w:pPr>
            <w:r>
              <w:rPr>
                <w:rFonts w:ascii="Calibri" w:hAnsi="Calibri"/>
                <w:b w:val="0"/>
                <w:color w:val="000000"/>
                <w:sz w:val="19"/>
              </w:rPr>
              <w:t>/inquiry/manual</w:t>
            </w:r>
          </w:p>
        </w:tc>
        <w:tc>
          <w:tcPr>
            <w:tcW w:type="dxa" w:w="4320"/>
            <w:vAlign w:val="center"/>
          </w:tcPr>
          <w:p>
            <w:pPr>
              <w:spacing w:after="0"/>
            </w:pPr>
            <w:r>
              <w:rPr>
                <w:rFonts w:ascii="Calibri" w:hAnsi="Calibri"/>
                <w:b w:val="0"/>
                <w:color w:val="000000"/>
                <w:sz w:val="19"/>
              </w:rPr>
              <w:t>Searchable and filterable lead workspace with bulk assignment.</w:t>
            </w:r>
          </w:p>
        </w:tc>
      </w:tr>
      <w:tr>
        <w:tc>
          <w:tcPr>
            <w:tcW w:type="dxa" w:w="1944"/>
            <w:vAlign w:val="center"/>
          </w:tcPr>
          <w:p>
            <w:pPr>
              <w:spacing w:after="0"/>
            </w:pPr>
            <w:r>
              <w:rPr>
                <w:rFonts w:ascii="Calibri" w:hAnsi="Calibri"/>
                <w:b w:val="0"/>
                <w:color w:val="000000"/>
                <w:sz w:val="19"/>
              </w:rPr>
              <w:t>Lead Detail</w:t>
            </w:r>
          </w:p>
        </w:tc>
        <w:tc>
          <w:tcPr>
            <w:tcW w:type="dxa" w:w="2880"/>
            <w:vAlign w:val="center"/>
          </w:tcPr>
          <w:p>
            <w:pPr>
              <w:spacing w:after="0"/>
            </w:pPr>
            <w:r>
              <w:rPr>
                <w:rFonts w:ascii="Calibri" w:hAnsi="Calibri"/>
                <w:b w:val="0"/>
                <w:color w:val="000000"/>
                <w:sz w:val="19"/>
              </w:rPr>
              <w:t>/inquiry/manual/:id</w:t>
            </w:r>
          </w:p>
        </w:tc>
        <w:tc>
          <w:tcPr>
            <w:tcW w:type="dxa" w:w="4320"/>
            <w:vAlign w:val="center"/>
          </w:tcPr>
          <w:p>
            <w:pPr>
              <w:spacing w:after="0"/>
            </w:pPr>
            <w:r>
              <w:rPr>
                <w:rFonts w:ascii="Calibri" w:hAnsi="Calibri"/>
                <w:b w:val="0"/>
                <w:color w:val="000000"/>
                <w:sz w:val="19"/>
              </w:rPr>
              <w:t>Detailed lead information and itinerary-oriented lead workspace.</w:t>
            </w:r>
          </w:p>
        </w:tc>
      </w:tr>
      <w:tr>
        <w:tc>
          <w:tcPr>
            <w:tcW w:type="dxa" w:w="1944"/>
            <w:vAlign w:val="center"/>
          </w:tcPr>
          <w:p>
            <w:pPr>
              <w:spacing w:after="0"/>
            </w:pPr>
            <w:r>
              <w:rPr>
                <w:rFonts w:ascii="Calibri" w:hAnsi="Calibri"/>
                <w:b w:val="0"/>
                <w:color w:val="000000"/>
                <w:sz w:val="19"/>
              </w:rPr>
              <w:t>Inbound channels</w:t>
            </w:r>
          </w:p>
        </w:tc>
        <w:tc>
          <w:tcPr>
            <w:tcW w:type="dxa" w:w="2880"/>
            <w:vAlign w:val="center"/>
          </w:tcPr>
          <w:p>
            <w:pPr>
              <w:spacing w:after="0"/>
            </w:pPr>
            <w:r>
              <w:rPr>
                <w:rFonts w:ascii="Calibri" w:hAnsi="Calibri"/>
                <w:b w:val="0"/>
                <w:color w:val="000000"/>
                <w:sz w:val="19"/>
              </w:rPr>
              <w:t>/inquiry/website, /whatsapp, /instagram-meta, /b2b-partners, /repeat-customers</w:t>
            </w:r>
          </w:p>
        </w:tc>
        <w:tc>
          <w:tcPr>
            <w:tcW w:type="dxa" w:w="4320"/>
            <w:vAlign w:val="center"/>
          </w:tcPr>
          <w:p>
            <w:pPr>
              <w:spacing w:after="0"/>
            </w:pPr>
            <w:r>
              <w:rPr>
                <w:rFonts w:ascii="Calibri" w:hAnsi="Calibri"/>
                <w:b w:val="0"/>
                <w:color w:val="000000"/>
                <w:sz w:val="19"/>
              </w:rPr>
              <w:t>Dedicated labelled screens currently reserved for future channel integrations.</w:t>
            </w:r>
          </w:p>
        </w:tc>
      </w:tr>
    </w:tbl>
    <w:p>
      <w:pPr>
        <w:spacing w:after="40"/>
      </w:pPr>
    </w:p>
    <w:p>
      <w:pPr>
        <w:pStyle w:val="Heading2"/>
        <w:keepNext/>
      </w:pPr>
      <w:r>
        <w:rPr>
          <w:rFonts w:ascii="Calibri" w:hAnsi="Calibri"/>
          <w:b/>
          <w:color w:val="2E74B5"/>
          <w:sz w:val="26"/>
        </w:rPr>
        <w:t>3.3 Dashboard functionality</w:t>
      </w:r>
    </w:p>
    <w:p>
      <w:pPr>
        <w:pStyle w:val="ListBullet"/>
        <w:spacing w:after="80" w:line="264" w:lineRule="auto"/>
      </w:pPr>
      <w:r>
        <w:rPr>
          <w:rFonts w:ascii="Calibri" w:hAnsi="Calibri"/>
          <w:color w:val="000000"/>
          <w:sz w:val="22"/>
        </w:rPr>
        <w:t>Calculates total enquiries and Hot, Warm and Cold lead counts from the InquiryContext lead collection.</w:t>
      </w:r>
    </w:p>
    <w:p>
      <w:pPr>
        <w:pStyle w:val="ListBullet"/>
        <w:spacing w:after="80" w:line="264" w:lineRule="auto"/>
      </w:pPr>
      <w:r>
        <w:rPr>
          <w:rFonts w:ascii="Calibri" w:hAnsi="Calibri"/>
          <w:color w:val="000000"/>
          <w:sz w:val="22"/>
        </w:rPr>
        <w:t>Calculates average group size from pax or totalPax values to give immediate demand context.</w:t>
      </w:r>
    </w:p>
    <w:p>
      <w:pPr>
        <w:pStyle w:val="ListBullet"/>
        <w:spacing w:after="80" w:line="264" w:lineRule="auto"/>
      </w:pPr>
      <w:r>
        <w:rPr>
          <w:rFonts w:ascii="Calibri" w:hAnsi="Calibri"/>
          <w:color w:val="000000"/>
          <w:sz w:val="22"/>
        </w:rPr>
        <w:t>Builds a stage funnel across New, Contacted, Follow-up, Proposal Sent, Viewed, Negotiation, Revised Proposal and Soft Confirm.</w:t>
      </w:r>
    </w:p>
    <w:p>
      <w:pPr>
        <w:pStyle w:val="ListBullet"/>
        <w:spacing w:after="80" w:line="264" w:lineRule="auto"/>
      </w:pPr>
      <w:r>
        <w:rPr>
          <w:rFonts w:ascii="Calibri" w:hAnsi="Calibri"/>
          <w:color w:val="000000"/>
          <w:sz w:val="22"/>
        </w:rPr>
        <w:t>Builds a source mix for Manual, Website, WhatsApp, Instagram/Meta Ads, B2B Partners and Repeat Customers.</w:t>
      </w:r>
    </w:p>
    <w:p>
      <w:pPr>
        <w:pStyle w:val="ListBullet"/>
        <w:spacing w:after="80" w:line="264" w:lineRule="auto"/>
      </w:pPr>
      <w:r>
        <w:rPr>
          <w:rFonts w:ascii="Calibri" w:hAnsi="Calibri"/>
          <w:color w:val="000000"/>
          <w:sz w:val="22"/>
        </w:rPr>
        <w:t>Provides a quick Add Lead action directly from the dashboard.</w:t>
      </w:r>
    </w:p>
    <w:p>
      <w:pPr>
        <w:pStyle w:val="Heading2"/>
        <w:keepNext/>
      </w:pPr>
      <w:r>
        <w:rPr>
          <w:rFonts w:ascii="Calibri" w:hAnsi="Calibri"/>
          <w:b/>
          <w:color w:val="2E74B5"/>
          <w:sz w:val="26"/>
        </w:rPr>
        <w:t>3.4 Manual enquiry workspace</w:t>
      </w:r>
    </w:p>
    <w:p>
      <w:pPr>
        <w:pStyle w:val="ListBullet"/>
        <w:spacing w:after="80" w:line="264" w:lineRule="auto"/>
      </w:pPr>
      <w:r>
        <w:rPr>
          <w:rFonts w:ascii="Calibri" w:hAnsi="Calibri"/>
          <w:color w:val="000000"/>
          <w:sz w:val="22"/>
        </w:rPr>
        <w:t>Supports priority tabs for All, Hot, Warm and Cold leads, with live counters based on the current lead set.</w:t>
      </w:r>
    </w:p>
    <w:p>
      <w:pPr>
        <w:pStyle w:val="ListBullet"/>
        <w:spacing w:after="80" w:line="264" w:lineRule="auto"/>
      </w:pPr>
      <w:r>
        <w:rPr>
          <w:rFonts w:ascii="Calibri" w:hAnsi="Calibri"/>
          <w:color w:val="000000"/>
          <w:sz w:val="22"/>
        </w:rPr>
        <w:t>Searches across enquiry ID, customer name, phone, email, destination and travel purpose.</w:t>
      </w:r>
    </w:p>
    <w:p>
      <w:pPr>
        <w:pStyle w:val="ListBullet"/>
        <w:spacing w:after="80" w:line="264" w:lineRule="auto"/>
      </w:pPr>
      <w:r>
        <w:rPr>
          <w:rFonts w:ascii="Calibri" w:hAnsi="Calibri"/>
          <w:color w:val="000000"/>
          <w:sz w:val="22"/>
        </w:rPr>
        <w:t>Provides row selection and bulk assignment of sales and operations users.</w:t>
      </w:r>
    </w:p>
    <w:p>
      <w:pPr>
        <w:pStyle w:val="ListBullet"/>
        <w:spacing w:after="80" w:line="264" w:lineRule="auto"/>
      </w:pPr>
      <w:r>
        <w:rPr>
          <w:rFonts w:ascii="Calibri" w:hAnsi="Calibri"/>
          <w:color w:val="000000"/>
          <w:sz w:val="22"/>
        </w:rPr>
        <w:t>Uses AddLeadModal, EditLeadModal and LeadDetailDrawer to keep capture, editing and detail actions within the same workspace.</w:t>
      </w:r>
    </w:p>
    <w:p>
      <w:pPr>
        <w:pStyle w:val="ListBullet"/>
        <w:spacing w:after="80" w:line="264" w:lineRule="auto"/>
      </w:pPr>
      <w:r>
        <w:rPr>
          <w:rFonts w:ascii="Calibri" w:hAnsi="Calibri"/>
          <w:color w:val="000000"/>
          <w:sz w:val="22"/>
        </w:rPr>
        <w:t>Provides an Export Enquiries interface action; the report treats this as a UI capability and does not claim a completed export backend.</w:t>
      </w:r>
    </w:p>
    <w:p>
      <w:pPr>
        <w:pStyle w:val="Heading2"/>
        <w:keepNext/>
      </w:pPr>
      <w:r>
        <w:rPr>
          <w:rFonts w:ascii="Calibri" w:hAnsi="Calibri"/>
          <w:b/>
          <w:color w:val="2E74B5"/>
          <w:sz w:val="26"/>
        </w:rPr>
        <w:t>3.5 Lead data model and state</w:t>
      </w:r>
    </w:p>
    <w:tbl>
      <w:tblPr>
        <w:tblStyle w:val="TableGrid"/>
        <w:tblW w:type="auto" w:w="0"/>
        <w:jc w:val="center"/>
        <w:tblLayout w:type="fixed"/>
        <w:tblLook w:firstColumn="1" w:firstRow="1" w:lastColumn="0" w:lastRow="0" w:noHBand="0" w:noVBand="1" w:val="04A0"/>
      </w:tblPr>
      <w:tblGrid>
        <w:gridCol w:w="4824"/>
        <w:gridCol w:w="4824"/>
      </w:tblGrid>
      <w:tr>
        <w:tc>
          <w:tcPr>
            <w:tcW w:type="dxa" w:w="2232"/>
            <w:shd w:fill="F2F4F7"/>
            <w:vAlign w:val="center"/>
          </w:tcPr>
          <w:p>
            <w:pPr>
              <w:spacing w:after="0"/>
            </w:pPr>
            <w:r>
              <w:rPr>
                <w:rFonts w:ascii="Calibri" w:hAnsi="Calibri"/>
                <w:b/>
                <w:color w:val="17324D"/>
                <w:sz w:val="19"/>
              </w:rPr>
              <w:t>Data group</w:t>
            </w:r>
          </w:p>
        </w:tc>
        <w:tc>
          <w:tcPr>
            <w:tcW w:type="dxa" w:w="6912"/>
            <w:shd w:fill="F2F4F7"/>
            <w:vAlign w:val="center"/>
          </w:tcPr>
          <w:p>
            <w:pPr>
              <w:spacing w:after="0"/>
            </w:pPr>
            <w:r>
              <w:rPr>
                <w:rFonts w:ascii="Calibri" w:hAnsi="Calibri"/>
                <w:b/>
                <w:color w:val="17324D"/>
                <w:sz w:val="19"/>
              </w:rPr>
              <w:t>Examples captured</w:t>
            </w:r>
          </w:p>
        </w:tc>
      </w:tr>
      <w:tr>
        <w:tc>
          <w:tcPr>
            <w:tcW w:type="dxa" w:w="2232"/>
            <w:vAlign w:val="center"/>
          </w:tcPr>
          <w:p>
            <w:pPr>
              <w:spacing w:after="0"/>
            </w:pPr>
            <w:r>
              <w:rPr>
                <w:rFonts w:ascii="Calibri" w:hAnsi="Calibri"/>
                <w:b w:val="0"/>
                <w:color w:val="000000"/>
                <w:sz w:val="19"/>
              </w:rPr>
              <w:t>Basic information</w:t>
            </w:r>
          </w:p>
        </w:tc>
        <w:tc>
          <w:tcPr>
            <w:tcW w:type="dxa" w:w="6912"/>
            <w:vAlign w:val="center"/>
          </w:tcPr>
          <w:p>
            <w:pPr>
              <w:spacing w:after="0"/>
            </w:pPr>
            <w:r>
              <w:rPr>
                <w:rFonts w:ascii="Calibri" w:hAnsi="Calibri"/>
                <w:b w:val="0"/>
                <w:color w:val="000000"/>
                <w:sz w:val="19"/>
              </w:rPr>
              <w:t>Client name, company, phone, alternate phone, email and WhatsApp number</w:t>
            </w:r>
          </w:p>
        </w:tc>
      </w:tr>
      <w:tr>
        <w:tc>
          <w:tcPr>
            <w:tcW w:type="dxa" w:w="2232"/>
            <w:vAlign w:val="center"/>
          </w:tcPr>
          <w:p>
            <w:pPr>
              <w:spacing w:after="0"/>
            </w:pPr>
            <w:r>
              <w:rPr>
                <w:rFonts w:ascii="Calibri" w:hAnsi="Calibri"/>
                <w:b w:val="0"/>
                <w:color w:val="000000"/>
                <w:sz w:val="19"/>
              </w:rPr>
              <w:t>Travel information</w:t>
            </w:r>
          </w:p>
        </w:tc>
        <w:tc>
          <w:tcPr>
            <w:tcW w:type="dxa" w:w="6912"/>
            <w:vAlign w:val="center"/>
          </w:tcPr>
          <w:p>
            <w:pPr>
              <w:spacing w:after="0"/>
            </w:pPr>
            <w:r>
              <w:rPr>
                <w:rFonts w:ascii="Calibri" w:hAnsi="Calibri"/>
                <w:b w:val="0"/>
                <w:color w:val="000000"/>
                <w:sz w:val="19"/>
              </w:rPr>
              <w:t>Destination, departure city, travel dates, adults/children/infants, duration, travel type and purpose</w:t>
            </w:r>
          </w:p>
        </w:tc>
      </w:tr>
      <w:tr>
        <w:tc>
          <w:tcPr>
            <w:tcW w:type="dxa" w:w="2232"/>
            <w:vAlign w:val="center"/>
          </w:tcPr>
          <w:p>
            <w:pPr>
              <w:spacing w:after="0"/>
            </w:pPr>
            <w:r>
              <w:rPr>
                <w:rFonts w:ascii="Calibri" w:hAnsi="Calibri"/>
                <w:b w:val="0"/>
                <w:color w:val="000000"/>
                <w:sz w:val="19"/>
              </w:rPr>
              <w:t>Preferences</w:t>
            </w:r>
          </w:p>
        </w:tc>
        <w:tc>
          <w:tcPr>
            <w:tcW w:type="dxa" w:w="6912"/>
            <w:vAlign w:val="center"/>
          </w:tcPr>
          <w:p>
            <w:pPr>
              <w:spacing w:after="0"/>
            </w:pPr>
            <w:r>
              <w:rPr>
                <w:rFonts w:ascii="Calibri" w:hAnsi="Calibri"/>
                <w:b w:val="0"/>
                <w:color w:val="000000"/>
                <w:sz w:val="19"/>
              </w:rPr>
              <w:t>Budget, estimated deal value, hotel category, meals, flight/train/cab, visa, passport and insurance</w:t>
            </w:r>
          </w:p>
        </w:tc>
      </w:tr>
      <w:tr>
        <w:tc>
          <w:tcPr>
            <w:tcW w:type="dxa" w:w="2232"/>
            <w:vAlign w:val="center"/>
          </w:tcPr>
          <w:p>
            <w:pPr>
              <w:spacing w:after="0"/>
            </w:pPr>
            <w:r>
              <w:rPr>
                <w:rFonts w:ascii="Calibri" w:hAnsi="Calibri"/>
                <w:b w:val="0"/>
                <w:color w:val="000000"/>
                <w:sz w:val="19"/>
              </w:rPr>
              <w:t>Lead management</w:t>
            </w:r>
          </w:p>
        </w:tc>
        <w:tc>
          <w:tcPr>
            <w:tcW w:type="dxa" w:w="6912"/>
            <w:vAlign w:val="center"/>
          </w:tcPr>
          <w:p>
            <w:pPr>
              <w:spacing w:after="0"/>
            </w:pPr>
            <w:r>
              <w:rPr>
                <w:rFonts w:ascii="Calibri" w:hAnsi="Calibri"/>
                <w:b w:val="0"/>
                <w:color w:val="000000"/>
                <w:sz w:val="19"/>
              </w:rPr>
              <w:t>Status, stage, priority/temperature, sales/operations assignment, source, expected booking date and probability</w:t>
            </w:r>
          </w:p>
        </w:tc>
      </w:tr>
      <w:tr>
        <w:tc>
          <w:tcPr>
            <w:tcW w:type="dxa" w:w="2232"/>
            <w:vAlign w:val="center"/>
          </w:tcPr>
          <w:p>
            <w:pPr>
              <w:spacing w:after="0"/>
            </w:pPr>
            <w:r>
              <w:rPr>
                <w:rFonts w:ascii="Calibri" w:hAnsi="Calibri"/>
                <w:b w:val="0"/>
                <w:color w:val="000000"/>
                <w:sz w:val="19"/>
              </w:rPr>
              <w:t>Follow-up and notes</w:t>
            </w:r>
          </w:p>
        </w:tc>
        <w:tc>
          <w:tcPr>
            <w:tcW w:type="dxa" w:w="6912"/>
            <w:vAlign w:val="center"/>
          </w:tcPr>
          <w:p>
            <w:pPr>
              <w:spacing w:after="0"/>
            </w:pPr>
            <w:r>
              <w:rPr>
                <w:rFonts w:ascii="Calibri" w:hAnsi="Calibri"/>
                <w:b w:val="0"/>
                <w:color w:val="000000"/>
                <w:sz w:val="19"/>
              </w:rPr>
              <w:t>Last contact date, next follow-up, communication mode, notes, customer requirements and internal notes</w:t>
            </w:r>
          </w:p>
        </w:tc>
      </w:tr>
    </w:tbl>
    <w:p>
      <w:pPr>
        <w:spacing w:after="40"/>
      </w:pPr>
    </w:p>
    <w:p>
      <w:pPr>
        <w:spacing w:after="120" w:line="264" w:lineRule="auto"/>
      </w:pPr>
      <w:r>
        <w:rPr>
          <w:rFonts w:ascii="Calibri" w:hAnsi="Calibri"/>
          <w:color w:val="000000"/>
          <w:sz w:val="22"/>
        </w:rPr>
        <w:t>InquiryContext provides the leads collection along with addLead, updateLead and assignUsers actions. New leads are normalised into the same multi-section data shape, then inserted at the beginning of the in-memory collection. This makes the module usable for the current frontend demo, but the data is not yet server-persisted.</w:t>
      </w:r>
    </w:p>
    <w:p>
      <w:pPr>
        <w:pStyle w:val="Heading1"/>
        <w:keepNext/>
      </w:pPr>
      <w:r>
        <w:rPr>
          <w:rFonts w:ascii="Calibri" w:hAnsi="Calibri"/>
          <w:b/>
          <w:color w:val="2E74B5"/>
          <w:sz w:val="32"/>
        </w:rPr>
        <w:t>4. Sales Engine</w:t>
      </w:r>
    </w:p>
    <w:p>
      <w:pPr>
        <w:pStyle w:val="Heading2"/>
        <w:keepNext/>
      </w:pPr>
      <w:r>
        <w:rPr>
          <w:rFonts w:ascii="Calibri" w:hAnsi="Calibri"/>
          <w:b/>
          <w:color w:val="2E74B5"/>
          <w:sz w:val="26"/>
        </w:rPr>
        <w:t>4.1 Purpose and connection to inquiry</w:t>
      </w:r>
    </w:p>
    <w:p>
      <w:pPr>
        <w:spacing w:after="120" w:line="264" w:lineRule="auto"/>
      </w:pPr>
      <w:r>
        <w:rPr>
          <w:rFonts w:ascii="Calibri" w:hAnsi="Calibri"/>
          <w:color w:val="000000"/>
          <w:sz w:val="22"/>
        </w:rPr>
        <w:t>The Sales Engine converts qualified enquiries into sales activity. It uses a dedicated sales experience wrapper and sidebar while reading live inquiry leads through useSalesDashboard. This is the key implemented cross-module connection: the sales lead table and Hot/Warm/Cold/Total KPIs reflect the lead state maintained by InquiryContext.</w:t>
      </w:r>
    </w:p>
    <w:p>
      <w:pPr>
        <w:pStyle w:val="Heading2"/>
        <w:keepNext/>
      </w:pPr>
      <w:r>
        <w:rPr>
          <w:rFonts w:ascii="Calibri" w:hAnsi="Calibri"/>
          <w:b/>
          <w:color w:val="2E74B5"/>
          <w:sz w:val="26"/>
        </w:rPr>
        <w:t>4.2 Sales routes and workflow areas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944"/>
            <w:shd w:fill="F2F4F7"/>
            <w:vAlign w:val="center"/>
          </w:tcPr>
          <w:p>
            <w:pPr>
              <w:spacing w:after="0"/>
            </w:pPr>
            <w:r>
              <w:rPr>
                <w:rFonts w:ascii="Calibri" w:hAnsi="Calibri"/>
                <w:b/>
                <w:color w:val="17324D"/>
                <w:sz w:val="19"/>
              </w:rPr>
              <w:t>Workflow area</w:t>
            </w:r>
          </w:p>
        </w:tc>
        <w:tc>
          <w:tcPr>
            <w:tcW w:type="dxa" w:w="2880"/>
            <w:shd w:fill="F2F4F7"/>
            <w:vAlign w:val="center"/>
          </w:tcPr>
          <w:p>
            <w:pPr>
              <w:spacing w:after="0"/>
            </w:pPr>
            <w:r>
              <w:rPr>
                <w:rFonts w:ascii="Calibri" w:hAnsi="Calibri"/>
                <w:b/>
                <w:color w:val="17324D"/>
                <w:sz w:val="19"/>
              </w:rPr>
              <w:t>Route</w:t>
            </w:r>
          </w:p>
        </w:tc>
        <w:tc>
          <w:tcPr>
            <w:tcW w:type="dxa" w:w="4320"/>
            <w:shd w:fill="F2F4F7"/>
            <w:vAlign w:val="center"/>
          </w:tcPr>
          <w:p>
            <w:pPr>
              <w:spacing w:after="0"/>
            </w:pPr>
            <w:r>
              <w:rPr>
                <w:rFonts w:ascii="Calibri" w:hAnsi="Calibri"/>
                <w:b/>
                <w:color w:val="17324D"/>
                <w:sz w:val="19"/>
              </w:rPr>
              <w:t>Role in the sales journey</w:t>
            </w:r>
          </w:p>
        </w:tc>
      </w:tr>
      <w:tr>
        <w:tc>
          <w:tcPr>
            <w:tcW w:type="dxa" w:w="1944"/>
            <w:vAlign w:val="center"/>
          </w:tcPr>
          <w:p>
            <w:pPr>
              <w:spacing w:after="0"/>
            </w:pPr>
            <w:r>
              <w:rPr>
                <w:rFonts w:ascii="Calibri" w:hAnsi="Calibri"/>
                <w:b w:val="0"/>
                <w:color w:val="000000"/>
                <w:sz w:val="19"/>
              </w:rPr>
              <w:t>Dashboard</w:t>
            </w:r>
          </w:p>
        </w:tc>
        <w:tc>
          <w:tcPr>
            <w:tcW w:type="dxa" w:w="2880"/>
            <w:vAlign w:val="center"/>
          </w:tcPr>
          <w:p>
            <w:pPr>
              <w:spacing w:after="0"/>
            </w:pPr>
            <w:r>
              <w:rPr>
                <w:rFonts w:ascii="Calibri" w:hAnsi="Calibri"/>
                <w:b w:val="0"/>
                <w:color w:val="000000"/>
                <w:sz w:val="19"/>
              </w:rPr>
              <w:t>/sales and /sales/dashboard</w:t>
            </w:r>
          </w:p>
        </w:tc>
        <w:tc>
          <w:tcPr>
            <w:tcW w:type="dxa" w:w="4320"/>
            <w:vAlign w:val="center"/>
          </w:tcPr>
          <w:p>
            <w:pPr>
              <w:spacing w:after="0"/>
            </w:pPr>
            <w:r>
              <w:rPr>
                <w:rFonts w:ascii="Calibri" w:hAnsi="Calibri"/>
                <w:b w:val="0"/>
                <w:color w:val="000000"/>
                <w:sz w:val="19"/>
              </w:rPr>
              <w:t>Sales overview, pipeline and operational activity.</w:t>
            </w:r>
          </w:p>
        </w:tc>
      </w:tr>
      <w:tr>
        <w:tc>
          <w:tcPr>
            <w:tcW w:type="dxa" w:w="1944"/>
            <w:vAlign w:val="center"/>
          </w:tcPr>
          <w:p>
            <w:pPr>
              <w:spacing w:after="0"/>
            </w:pPr>
            <w:r>
              <w:rPr>
                <w:rFonts w:ascii="Calibri" w:hAnsi="Calibri"/>
                <w:b w:val="0"/>
                <w:color w:val="000000"/>
                <w:sz w:val="19"/>
              </w:rPr>
              <w:t>Proposal</w:t>
            </w:r>
          </w:p>
        </w:tc>
        <w:tc>
          <w:tcPr>
            <w:tcW w:type="dxa" w:w="2880"/>
            <w:vAlign w:val="center"/>
          </w:tcPr>
          <w:p>
            <w:pPr>
              <w:spacing w:after="0"/>
            </w:pPr>
            <w:r>
              <w:rPr>
                <w:rFonts w:ascii="Calibri" w:hAnsi="Calibri"/>
                <w:b w:val="0"/>
                <w:color w:val="000000"/>
                <w:sz w:val="19"/>
              </w:rPr>
              <w:t>/sales/proposal</w:t>
            </w:r>
          </w:p>
        </w:tc>
        <w:tc>
          <w:tcPr>
            <w:tcW w:type="dxa" w:w="4320"/>
            <w:vAlign w:val="center"/>
          </w:tcPr>
          <w:p>
            <w:pPr>
              <w:spacing w:after="0"/>
            </w:pPr>
            <w:r>
              <w:rPr>
                <w:rFonts w:ascii="Calibri" w:hAnsi="Calibri"/>
                <w:b w:val="0"/>
                <w:color w:val="000000"/>
                <w:sz w:val="19"/>
              </w:rPr>
              <w:t>Proposal creation and proposal-oriented workspace.</w:t>
            </w:r>
          </w:p>
        </w:tc>
      </w:tr>
      <w:tr>
        <w:tc>
          <w:tcPr>
            <w:tcW w:type="dxa" w:w="1944"/>
            <w:vAlign w:val="center"/>
          </w:tcPr>
          <w:p>
            <w:pPr>
              <w:spacing w:after="0"/>
            </w:pPr>
            <w:r>
              <w:rPr>
                <w:rFonts w:ascii="Calibri" w:hAnsi="Calibri"/>
                <w:b w:val="0"/>
                <w:color w:val="000000"/>
                <w:sz w:val="19"/>
              </w:rPr>
              <w:t>Follow Up</w:t>
            </w:r>
          </w:p>
        </w:tc>
        <w:tc>
          <w:tcPr>
            <w:tcW w:type="dxa" w:w="2880"/>
            <w:vAlign w:val="center"/>
          </w:tcPr>
          <w:p>
            <w:pPr>
              <w:spacing w:after="0"/>
            </w:pPr>
            <w:r>
              <w:rPr>
                <w:rFonts w:ascii="Calibri" w:hAnsi="Calibri"/>
                <w:b w:val="0"/>
                <w:color w:val="000000"/>
                <w:sz w:val="19"/>
              </w:rPr>
              <w:t>/sales/follow-up</w:t>
            </w:r>
          </w:p>
        </w:tc>
        <w:tc>
          <w:tcPr>
            <w:tcW w:type="dxa" w:w="4320"/>
            <w:vAlign w:val="center"/>
          </w:tcPr>
          <w:p>
            <w:pPr>
              <w:spacing w:after="0"/>
            </w:pPr>
            <w:r>
              <w:rPr>
                <w:rFonts w:ascii="Calibri" w:hAnsi="Calibri"/>
                <w:b w:val="0"/>
                <w:color w:val="000000"/>
                <w:sz w:val="19"/>
              </w:rPr>
              <w:t>Scheduled contact and follow-up management.</w:t>
            </w:r>
          </w:p>
        </w:tc>
      </w:tr>
      <w:tr>
        <w:tc>
          <w:tcPr>
            <w:tcW w:type="dxa" w:w="1944"/>
            <w:vAlign w:val="center"/>
          </w:tcPr>
          <w:p>
            <w:pPr>
              <w:spacing w:after="0"/>
            </w:pPr>
            <w:r>
              <w:rPr>
                <w:rFonts w:ascii="Calibri" w:hAnsi="Calibri"/>
                <w:b w:val="0"/>
                <w:color w:val="000000"/>
                <w:sz w:val="19"/>
              </w:rPr>
              <w:t>Negotiation</w:t>
            </w:r>
          </w:p>
        </w:tc>
        <w:tc>
          <w:tcPr>
            <w:tcW w:type="dxa" w:w="2880"/>
            <w:vAlign w:val="center"/>
          </w:tcPr>
          <w:p>
            <w:pPr>
              <w:spacing w:after="0"/>
            </w:pPr>
            <w:r>
              <w:rPr>
                <w:rFonts w:ascii="Calibri" w:hAnsi="Calibri"/>
                <w:b w:val="0"/>
                <w:color w:val="000000"/>
                <w:sz w:val="19"/>
              </w:rPr>
              <w:t>/sales/negotiation</w:t>
            </w:r>
          </w:p>
        </w:tc>
        <w:tc>
          <w:tcPr>
            <w:tcW w:type="dxa" w:w="4320"/>
            <w:vAlign w:val="center"/>
          </w:tcPr>
          <w:p>
            <w:pPr>
              <w:spacing w:after="0"/>
            </w:pPr>
            <w:r>
              <w:rPr>
                <w:rFonts w:ascii="Calibri" w:hAnsi="Calibri"/>
                <w:b w:val="0"/>
                <w:color w:val="000000"/>
                <w:sz w:val="19"/>
              </w:rPr>
              <w:t>Negotiation workspace for progressing active opportunities.</w:t>
            </w:r>
          </w:p>
        </w:tc>
      </w:tr>
      <w:tr>
        <w:tc>
          <w:tcPr>
            <w:tcW w:type="dxa" w:w="1944"/>
            <w:vAlign w:val="center"/>
          </w:tcPr>
          <w:p>
            <w:pPr>
              <w:spacing w:after="0"/>
            </w:pPr>
            <w:r>
              <w:rPr>
                <w:rFonts w:ascii="Calibri" w:hAnsi="Calibri"/>
                <w:b w:val="0"/>
                <w:color w:val="000000"/>
                <w:sz w:val="19"/>
              </w:rPr>
              <w:t>Confirmation</w:t>
            </w:r>
          </w:p>
        </w:tc>
        <w:tc>
          <w:tcPr>
            <w:tcW w:type="dxa" w:w="2880"/>
            <w:vAlign w:val="center"/>
          </w:tcPr>
          <w:p>
            <w:pPr>
              <w:spacing w:after="0"/>
            </w:pPr>
            <w:r>
              <w:rPr>
                <w:rFonts w:ascii="Calibri" w:hAnsi="Calibri"/>
                <w:b w:val="0"/>
                <w:color w:val="000000"/>
                <w:sz w:val="19"/>
              </w:rPr>
              <w:t>/sales/confirmation</w:t>
            </w:r>
          </w:p>
        </w:tc>
        <w:tc>
          <w:tcPr>
            <w:tcW w:type="dxa" w:w="4320"/>
            <w:vAlign w:val="center"/>
          </w:tcPr>
          <w:p>
            <w:pPr>
              <w:spacing w:after="0"/>
            </w:pPr>
            <w:r>
              <w:rPr>
                <w:rFonts w:ascii="Calibri" w:hAnsi="Calibri"/>
                <w:b w:val="0"/>
                <w:color w:val="000000"/>
                <w:sz w:val="19"/>
              </w:rPr>
              <w:t>Confirmation workspace for the late-stage conversion process.</w:t>
            </w:r>
          </w:p>
        </w:tc>
      </w:tr>
      <w:tr>
        <w:tc>
          <w:tcPr>
            <w:tcW w:type="dxa" w:w="1944"/>
            <w:vAlign w:val="center"/>
          </w:tcPr>
          <w:p>
            <w:pPr>
              <w:spacing w:after="0"/>
            </w:pPr>
            <w:r>
              <w:rPr>
                <w:rFonts w:ascii="Calibri" w:hAnsi="Calibri"/>
                <w:b w:val="0"/>
                <w:color w:val="000000"/>
                <w:sz w:val="19"/>
              </w:rPr>
              <w:t>Analytics</w:t>
            </w:r>
          </w:p>
        </w:tc>
        <w:tc>
          <w:tcPr>
            <w:tcW w:type="dxa" w:w="2880"/>
            <w:vAlign w:val="center"/>
          </w:tcPr>
          <w:p>
            <w:pPr>
              <w:spacing w:after="0"/>
            </w:pPr>
            <w:r>
              <w:rPr>
                <w:rFonts w:ascii="Calibri" w:hAnsi="Calibri"/>
                <w:b w:val="0"/>
                <w:color w:val="000000"/>
                <w:sz w:val="19"/>
              </w:rPr>
              <w:t>/sales/analytics</w:t>
            </w:r>
          </w:p>
        </w:tc>
        <w:tc>
          <w:tcPr>
            <w:tcW w:type="dxa" w:w="4320"/>
            <w:vAlign w:val="center"/>
          </w:tcPr>
          <w:p>
            <w:pPr>
              <w:spacing w:after="0"/>
            </w:pPr>
            <w:r>
              <w:rPr>
                <w:rFonts w:ascii="Calibri" w:hAnsi="Calibri"/>
                <w:b w:val="0"/>
                <w:color w:val="000000"/>
                <w:sz w:val="19"/>
              </w:rPr>
              <w:t>Sales performance and analytical view.</w:t>
            </w:r>
          </w:p>
        </w:tc>
      </w:tr>
    </w:tbl>
    <w:p>
      <w:pPr>
        <w:spacing w:after="40"/>
      </w:pPr>
    </w:p>
    <w:p>
      <w:pPr>
        <w:pStyle w:val="Heading2"/>
        <w:keepNext/>
      </w:pPr>
      <w:r>
        <w:rPr>
          <w:rFonts w:ascii="Calibri" w:hAnsi="Calibri"/>
          <w:b/>
          <w:color w:val="2E74B5"/>
          <w:sz w:val="26"/>
        </w:rPr>
        <w:t>4.3 Dashboard and supporting components</w:t>
      </w:r>
    </w:p>
    <w:p>
      <w:pPr>
        <w:pStyle w:val="ListBullet"/>
        <w:spacing w:after="80" w:line="264" w:lineRule="auto"/>
      </w:pPr>
      <w:r>
        <w:rPr>
          <w:rFonts w:ascii="Calibri" w:hAnsi="Calibri"/>
          <w:color w:val="000000"/>
          <w:sz w:val="22"/>
        </w:rPr>
        <w:t>SalesDashboardContent assembles KPI tiles, pipeline visibility, live lead rows, recent activity and upcoming follow-up content.</w:t>
      </w:r>
    </w:p>
    <w:p>
      <w:pPr>
        <w:pStyle w:val="ListBullet"/>
        <w:spacing w:after="80" w:line="264" w:lineRule="auto"/>
      </w:pPr>
      <w:r>
        <w:rPr>
          <w:rFonts w:ascii="Calibri" w:hAnsi="Calibri"/>
          <w:color w:val="000000"/>
          <w:sz w:val="22"/>
        </w:rPr>
        <w:t>SalesPipeline, SalesMetricGrid, RevenueSummary, LeadSourceChart and TopSalesExecutives present performance-oriented dashboard elements.</w:t>
      </w:r>
    </w:p>
    <w:p>
      <w:pPr>
        <w:pStyle w:val="ListBullet"/>
        <w:spacing w:after="80" w:line="264" w:lineRule="auto"/>
      </w:pPr>
      <w:r>
        <w:rPr>
          <w:rFonts w:ascii="Calibri" w:hAnsi="Calibri"/>
          <w:color w:val="000000"/>
          <w:sz w:val="22"/>
        </w:rPr>
        <w:t>FollowUpList and FollowUpDashboard support follow-up visibility; LeadSummaryDrawer provides lead-level contextual detail.</w:t>
      </w:r>
    </w:p>
    <w:p>
      <w:pPr>
        <w:pStyle w:val="ListBullet"/>
        <w:spacing w:after="80" w:line="264" w:lineRule="auto"/>
      </w:pPr>
      <w:r>
        <w:rPr>
          <w:rFonts w:ascii="Calibri" w:hAnsi="Calibri"/>
          <w:color w:val="000000"/>
          <w:sz w:val="22"/>
        </w:rPr>
        <w:t>CreateProposalWizard, ProposalDashboard, NegotiationWorkspace and ConfirmationWorkspace provide dedicated workflow building blocks.</w:t>
      </w:r>
    </w:p>
    <w:p>
      <w:pPr>
        <w:pStyle w:val="ListBullet"/>
        <w:spacing w:after="80" w:line="264" w:lineRule="auto"/>
      </w:pPr>
      <w:r>
        <w:rPr>
          <w:rFonts w:ascii="Calibri" w:hAnsi="Calibri"/>
          <w:color w:val="000000"/>
          <w:sz w:val="22"/>
        </w:rPr>
        <w:t>SalesModuleSidebar, SalesModuleLayout, SalesWorkspaceHeader and SalesStatusChip standardise the module navigation and visual language.</w:t>
      </w:r>
    </w:p>
    <w:p>
      <w:pPr>
        <w:pStyle w:val="Heading2"/>
        <w:keepNext/>
      </w:pPr>
      <w:r>
        <w:rPr>
          <w:rFonts w:ascii="Calibri" w:hAnsi="Calibri"/>
          <w:b/>
          <w:color w:val="2E74B5"/>
          <w:sz w:val="26"/>
        </w:rPr>
        <w:t>4.4 Data behaviour and limitations</w:t>
      </w:r>
    </w:p>
    <w:p>
      <w:pPr>
        <w:spacing w:after="120" w:line="264" w:lineRule="auto"/>
      </w:pPr>
      <w:r>
        <w:rPr>
          <w:rFonts w:ascii="Calibri" w:hAnsi="Calibri"/>
          <w:color w:val="000000"/>
          <w:sz w:val="22"/>
        </w:rPr>
        <w:t>The useSalesDashboard hook derives total, Hot, Warm and Cold lead KPIs from InquiryContext. Pipeline stages, recent activities, upcoming follow-ups, top executives, lead sources and monthly revenue are currently read from sales.mock.js. Revenue summary is calculated from the mock monthly revenue and target values. The hook exposes updateLead from InquiryContext, while deleteLead is currently a no-op placeholder. This should be replaced by persistent sales-domain APIs before production use.</w:t>
      </w:r>
    </w:p>
    <w:p>
      <w:pPr>
        <w:pStyle w:val="Heading1"/>
        <w:keepNext/>
      </w:pPr>
      <w:r>
        <w:rPr>
          <w:rFonts w:ascii="Calibri" w:hAnsi="Calibri"/>
          <w:b/>
          <w:color w:val="2E74B5"/>
          <w:sz w:val="32"/>
        </w:rPr>
        <w:t>5. Itinerary Builder</w:t>
      </w:r>
    </w:p>
    <w:p>
      <w:pPr>
        <w:pStyle w:val="Heading2"/>
        <w:keepNext/>
      </w:pPr>
      <w:r>
        <w:rPr>
          <w:rFonts w:ascii="Calibri" w:hAnsi="Calibri"/>
          <w:b/>
          <w:color w:val="2E74B5"/>
          <w:sz w:val="26"/>
        </w:rPr>
        <w:t>5.1 Purpose and business value</w:t>
      </w:r>
    </w:p>
    <w:p>
      <w:pPr>
        <w:spacing w:after="120" w:line="264" w:lineRule="auto"/>
      </w:pPr>
      <w:r>
        <w:rPr>
          <w:rFonts w:ascii="Calibri" w:hAnsi="Calibri"/>
          <w:color w:val="000000"/>
          <w:sz w:val="22"/>
        </w:rPr>
        <w:t>The Itinerary Builder is the customer-plan creation module. It gives travel staff the ability to prepare package information, day-by-day activities, transport/accommodation/sightseeing services, pricing, discounts, terms and cover imagery. The resulting plan can be saved and prepared for PDF presentation.</w:t>
      </w:r>
    </w:p>
    <w:p>
      <w:pPr>
        <w:pStyle w:val="Heading2"/>
        <w:keepNext/>
      </w:pPr>
      <w:r>
        <w:rPr>
          <w:rFonts w:ascii="Calibri" w:hAnsi="Calibri"/>
          <w:b/>
          <w:color w:val="2E74B5"/>
          <w:sz w:val="26"/>
        </w:rPr>
        <w:t>5.2 Routes and screens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944"/>
            <w:shd w:fill="F2F4F7"/>
            <w:vAlign w:val="center"/>
          </w:tcPr>
          <w:p>
            <w:pPr>
              <w:spacing w:after="0"/>
            </w:pPr>
            <w:r>
              <w:rPr>
                <w:rFonts w:ascii="Calibri" w:hAnsi="Calibri"/>
                <w:b/>
                <w:color w:val="17324D"/>
                <w:sz w:val="19"/>
              </w:rPr>
              <w:t>Screen</w:t>
            </w:r>
          </w:p>
        </w:tc>
        <w:tc>
          <w:tcPr>
            <w:tcW w:type="dxa" w:w="2880"/>
            <w:shd w:fill="F2F4F7"/>
            <w:vAlign w:val="center"/>
          </w:tcPr>
          <w:p>
            <w:pPr>
              <w:spacing w:after="0"/>
            </w:pPr>
            <w:r>
              <w:rPr>
                <w:rFonts w:ascii="Calibri" w:hAnsi="Calibri"/>
                <w:b/>
                <w:color w:val="17324D"/>
                <w:sz w:val="19"/>
              </w:rPr>
              <w:t>Route</w:t>
            </w:r>
          </w:p>
        </w:tc>
        <w:tc>
          <w:tcPr>
            <w:tcW w:type="dxa" w:w="4320"/>
            <w:shd w:fill="F2F4F7"/>
            <w:vAlign w:val="center"/>
          </w:tcPr>
          <w:p>
            <w:pPr>
              <w:spacing w:after="0"/>
            </w:pPr>
            <w:r>
              <w:rPr>
                <w:rFonts w:ascii="Calibri" w:hAnsi="Calibri"/>
                <w:b/>
                <w:color w:val="17324D"/>
                <w:sz w:val="19"/>
              </w:rPr>
              <w:t>Function</w:t>
            </w:r>
          </w:p>
        </w:tc>
      </w:tr>
      <w:tr>
        <w:tc>
          <w:tcPr>
            <w:tcW w:type="dxa" w:w="1944"/>
            <w:vAlign w:val="center"/>
          </w:tcPr>
          <w:p>
            <w:pPr>
              <w:spacing w:after="0"/>
            </w:pPr>
            <w:r>
              <w:rPr>
                <w:rFonts w:ascii="Calibri" w:hAnsi="Calibri"/>
                <w:b w:val="0"/>
                <w:color w:val="000000"/>
                <w:sz w:val="19"/>
              </w:rPr>
              <w:t>Itinerary list</w:t>
            </w:r>
          </w:p>
        </w:tc>
        <w:tc>
          <w:tcPr>
            <w:tcW w:type="dxa" w:w="2880"/>
            <w:vAlign w:val="center"/>
          </w:tcPr>
          <w:p>
            <w:pPr>
              <w:spacing w:after="0"/>
            </w:pPr>
            <w:r>
              <w:rPr>
                <w:rFonts w:ascii="Calibri" w:hAnsi="Calibri"/>
                <w:b w:val="0"/>
                <w:color w:val="000000"/>
                <w:sz w:val="19"/>
              </w:rPr>
              <w:t>/itinerary and /itinerary/dashboard</w:t>
            </w:r>
          </w:p>
        </w:tc>
        <w:tc>
          <w:tcPr>
            <w:tcW w:type="dxa" w:w="4320"/>
            <w:vAlign w:val="center"/>
          </w:tcPr>
          <w:p>
            <w:pPr>
              <w:spacing w:after="0"/>
            </w:pPr>
            <w:r>
              <w:rPr>
                <w:rFonts w:ascii="Calibri" w:hAnsi="Calibri"/>
                <w:b w:val="0"/>
                <w:color w:val="000000"/>
                <w:sz w:val="19"/>
              </w:rPr>
              <w:t>View, search, filter, sort and manage active itineraries.</w:t>
            </w:r>
          </w:p>
        </w:tc>
      </w:tr>
      <w:tr>
        <w:tc>
          <w:tcPr>
            <w:tcW w:type="dxa" w:w="1944"/>
            <w:vAlign w:val="center"/>
          </w:tcPr>
          <w:p>
            <w:pPr>
              <w:spacing w:after="0"/>
            </w:pPr>
            <w:r>
              <w:rPr>
                <w:rFonts w:ascii="Calibri" w:hAnsi="Calibri"/>
                <w:b w:val="0"/>
                <w:color w:val="000000"/>
                <w:sz w:val="19"/>
              </w:rPr>
              <w:t>Builder</w:t>
            </w:r>
          </w:p>
        </w:tc>
        <w:tc>
          <w:tcPr>
            <w:tcW w:type="dxa" w:w="2880"/>
            <w:vAlign w:val="center"/>
          </w:tcPr>
          <w:p>
            <w:pPr>
              <w:spacing w:after="0"/>
            </w:pPr>
            <w:r>
              <w:rPr>
                <w:rFonts w:ascii="Calibri" w:hAnsi="Calibri"/>
                <w:b w:val="0"/>
                <w:color w:val="000000"/>
                <w:sz w:val="19"/>
              </w:rPr>
              <w:t>/itinerary/build</w:t>
            </w:r>
          </w:p>
        </w:tc>
        <w:tc>
          <w:tcPr>
            <w:tcW w:type="dxa" w:w="4320"/>
            <w:vAlign w:val="center"/>
          </w:tcPr>
          <w:p>
            <w:pPr>
              <w:spacing w:after="0"/>
            </w:pPr>
            <w:r>
              <w:rPr>
                <w:rFonts w:ascii="Calibri" w:hAnsi="Calibri"/>
                <w:b w:val="0"/>
                <w:color w:val="000000"/>
                <w:sz w:val="19"/>
              </w:rPr>
              <w:t>Create a new itinerary.</w:t>
            </w:r>
          </w:p>
        </w:tc>
      </w:tr>
      <w:tr>
        <w:tc>
          <w:tcPr>
            <w:tcW w:type="dxa" w:w="1944"/>
            <w:vAlign w:val="center"/>
          </w:tcPr>
          <w:p>
            <w:pPr>
              <w:spacing w:after="0"/>
            </w:pPr>
            <w:r>
              <w:rPr>
                <w:rFonts w:ascii="Calibri" w:hAnsi="Calibri"/>
                <w:b w:val="0"/>
                <w:color w:val="000000"/>
                <w:sz w:val="19"/>
              </w:rPr>
              <w:t>Builder edit</w:t>
            </w:r>
          </w:p>
        </w:tc>
        <w:tc>
          <w:tcPr>
            <w:tcW w:type="dxa" w:w="2880"/>
            <w:vAlign w:val="center"/>
          </w:tcPr>
          <w:p>
            <w:pPr>
              <w:spacing w:after="0"/>
            </w:pPr>
            <w:r>
              <w:rPr>
                <w:rFonts w:ascii="Calibri" w:hAnsi="Calibri"/>
                <w:b w:val="0"/>
                <w:color w:val="000000"/>
                <w:sz w:val="19"/>
              </w:rPr>
              <w:t>/itinerary/build/:id</w:t>
            </w:r>
          </w:p>
        </w:tc>
        <w:tc>
          <w:tcPr>
            <w:tcW w:type="dxa" w:w="4320"/>
            <w:vAlign w:val="center"/>
          </w:tcPr>
          <w:p>
            <w:pPr>
              <w:spacing w:after="0"/>
            </w:pPr>
            <w:r>
              <w:rPr>
                <w:rFonts w:ascii="Calibri" w:hAnsi="Calibri"/>
                <w:b w:val="0"/>
                <w:color w:val="000000"/>
                <w:sz w:val="19"/>
              </w:rPr>
              <w:t>Load and revise an existing itinerary.</w:t>
            </w:r>
          </w:p>
        </w:tc>
      </w:tr>
      <w:tr>
        <w:tc>
          <w:tcPr>
            <w:tcW w:type="dxa" w:w="1944"/>
            <w:vAlign w:val="center"/>
          </w:tcPr>
          <w:p>
            <w:pPr>
              <w:spacing w:after="0"/>
            </w:pPr>
            <w:r>
              <w:rPr>
                <w:rFonts w:ascii="Calibri" w:hAnsi="Calibri"/>
                <w:b w:val="0"/>
                <w:color w:val="000000"/>
                <w:sz w:val="19"/>
              </w:rPr>
              <w:t>Templates</w:t>
            </w:r>
          </w:p>
        </w:tc>
        <w:tc>
          <w:tcPr>
            <w:tcW w:type="dxa" w:w="2880"/>
            <w:vAlign w:val="center"/>
          </w:tcPr>
          <w:p>
            <w:pPr>
              <w:spacing w:after="0"/>
            </w:pPr>
            <w:r>
              <w:rPr>
                <w:rFonts w:ascii="Calibri" w:hAnsi="Calibri"/>
                <w:b w:val="0"/>
                <w:color w:val="000000"/>
                <w:sz w:val="19"/>
              </w:rPr>
              <w:t>/itinerary/templates</w:t>
            </w:r>
          </w:p>
        </w:tc>
        <w:tc>
          <w:tcPr>
            <w:tcW w:type="dxa" w:w="4320"/>
            <w:vAlign w:val="center"/>
          </w:tcPr>
          <w:p>
            <w:pPr>
              <w:spacing w:after="0"/>
            </w:pPr>
            <w:r>
              <w:rPr>
                <w:rFonts w:ascii="Calibri" w:hAnsi="Calibri"/>
                <w:b w:val="0"/>
                <w:color w:val="000000"/>
                <w:sz w:val="19"/>
              </w:rPr>
              <w:t>Browse reusable templates and duplicate as a draft.</w:t>
            </w:r>
          </w:p>
        </w:tc>
      </w:tr>
      <w:tr>
        <w:tc>
          <w:tcPr>
            <w:tcW w:type="dxa" w:w="1944"/>
            <w:vAlign w:val="center"/>
          </w:tcPr>
          <w:p>
            <w:pPr>
              <w:spacing w:after="0"/>
            </w:pPr>
            <w:r>
              <w:rPr>
                <w:rFonts w:ascii="Calibri" w:hAnsi="Calibri"/>
                <w:b w:val="0"/>
                <w:color w:val="000000"/>
                <w:sz w:val="19"/>
              </w:rPr>
              <w:t>Settings</w:t>
            </w:r>
          </w:p>
        </w:tc>
        <w:tc>
          <w:tcPr>
            <w:tcW w:type="dxa" w:w="2880"/>
            <w:vAlign w:val="center"/>
          </w:tcPr>
          <w:p>
            <w:pPr>
              <w:spacing w:after="0"/>
            </w:pPr>
            <w:r>
              <w:rPr>
                <w:rFonts w:ascii="Calibri" w:hAnsi="Calibri"/>
                <w:b w:val="0"/>
                <w:color w:val="000000"/>
                <w:sz w:val="19"/>
              </w:rPr>
              <w:t>/itinerary/settings</w:t>
            </w:r>
          </w:p>
        </w:tc>
        <w:tc>
          <w:tcPr>
            <w:tcW w:type="dxa" w:w="4320"/>
            <w:vAlign w:val="center"/>
          </w:tcPr>
          <w:p>
            <w:pPr>
              <w:spacing w:after="0"/>
            </w:pPr>
            <w:r>
              <w:rPr>
                <w:rFonts w:ascii="Calibri" w:hAnsi="Calibri"/>
                <w:b w:val="0"/>
                <w:color w:val="000000"/>
                <w:sz w:val="19"/>
              </w:rPr>
              <w:t>Reserved settings screen.</w:t>
            </w:r>
          </w:p>
        </w:tc>
      </w:tr>
      <w:tr>
        <w:tc>
          <w:tcPr>
            <w:tcW w:type="dxa" w:w="1944"/>
            <w:vAlign w:val="center"/>
          </w:tcPr>
          <w:p>
            <w:pPr>
              <w:spacing w:after="0"/>
            </w:pPr>
            <w:r>
              <w:rPr>
                <w:rFonts w:ascii="Calibri" w:hAnsi="Calibri"/>
                <w:b w:val="0"/>
                <w:color w:val="000000"/>
                <w:sz w:val="19"/>
              </w:rPr>
              <w:t>Analytics</w:t>
            </w:r>
          </w:p>
        </w:tc>
        <w:tc>
          <w:tcPr>
            <w:tcW w:type="dxa" w:w="2880"/>
            <w:vAlign w:val="center"/>
          </w:tcPr>
          <w:p>
            <w:pPr>
              <w:spacing w:after="0"/>
            </w:pPr>
            <w:r>
              <w:rPr>
                <w:rFonts w:ascii="Calibri" w:hAnsi="Calibri"/>
                <w:b w:val="0"/>
                <w:color w:val="000000"/>
                <w:sz w:val="19"/>
              </w:rPr>
              <w:t>/itinerary/analytics</w:t>
            </w:r>
          </w:p>
        </w:tc>
        <w:tc>
          <w:tcPr>
            <w:tcW w:type="dxa" w:w="4320"/>
            <w:vAlign w:val="center"/>
          </w:tcPr>
          <w:p>
            <w:pPr>
              <w:spacing w:after="0"/>
            </w:pPr>
            <w:r>
              <w:rPr>
                <w:rFonts w:ascii="Calibri" w:hAnsi="Calibri"/>
                <w:b w:val="0"/>
                <w:color w:val="000000"/>
                <w:sz w:val="19"/>
              </w:rPr>
              <w:t>Reserved analytics screen.</w:t>
            </w:r>
          </w:p>
        </w:tc>
      </w:tr>
    </w:tbl>
    <w:p>
      <w:pPr>
        <w:spacing w:after="40"/>
      </w:pPr>
    </w:p>
    <w:p>
      <w:pPr>
        <w:pStyle w:val="Heading2"/>
        <w:keepNext/>
      </w:pPr>
      <w:r>
        <w:rPr>
          <w:rFonts w:ascii="Calibri" w:hAnsi="Calibri"/>
          <w:b/>
          <w:color w:val="2E74B5"/>
          <w:sz w:val="26"/>
        </w:rPr>
        <w:t>5.3 Itinerary list and templates</w:t>
      </w:r>
    </w:p>
    <w:p>
      <w:pPr>
        <w:pStyle w:val="ListBullet"/>
        <w:spacing w:after="80" w:line="264" w:lineRule="auto"/>
      </w:pPr>
      <w:r>
        <w:rPr>
          <w:rFonts w:ascii="Calibri" w:hAnsi="Calibri"/>
          <w:color w:val="000000"/>
          <w:sz w:val="22"/>
        </w:rPr>
        <w:t>The list page supports search by itinerary name, customer name, destination or identifier.</w:t>
      </w:r>
    </w:p>
    <w:p>
      <w:pPr>
        <w:pStyle w:val="ListBullet"/>
        <w:spacing w:after="80" w:line="264" w:lineRule="auto"/>
      </w:pPr>
      <w:r>
        <w:rPr>
          <w:rFonts w:ascii="Calibri" w:hAnsi="Calibri"/>
          <w:color w:val="000000"/>
          <w:sz w:val="22"/>
        </w:rPr>
        <w:t>Itineraries can be filtered by type and status, then sorted to support operational browsing.</w:t>
      </w:r>
    </w:p>
    <w:p>
      <w:pPr>
        <w:pStyle w:val="ListBullet"/>
        <w:spacing w:after="80" w:line="264" w:lineRule="auto"/>
      </w:pPr>
      <w:r>
        <w:rPr>
          <w:rFonts w:ascii="Calibri" w:hAnsi="Calibri"/>
          <w:color w:val="000000"/>
          <w:sz w:val="22"/>
        </w:rPr>
        <w:t>Itinerary cards and a header component provide the primary list presentation and controls.</w:t>
      </w:r>
    </w:p>
    <w:p>
      <w:pPr>
        <w:pStyle w:val="ListBullet"/>
        <w:spacing w:after="80" w:line="264" w:lineRule="auto"/>
      </w:pPr>
      <w:r>
        <w:rPr>
          <w:rFonts w:ascii="Calibri" w:hAnsi="Calibri"/>
          <w:color w:val="000000"/>
          <w:sz w:val="22"/>
        </w:rPr>
        <w:t>Deletion is supported through a confirmation flow and the itinerary service remove operation.</w:t>
      </w:r>
    </w:p>
    <w:p>
      <w:pPr>
        <w:pStyle w:val="ListBullet"/>
        <w:spacing w:after="80" w:line="264" w:lineRule="auto"/>
      </w:pPr>
      <w:r>
        <w:rPr>
          <w:rFonts w:ascii="Calibri" w:hAnsi="Calibri"/>
          <w:color w:val="000000"/>
          <w:sz w:val="22"/>
        </w:rPr>
        <w:t>The templates page provides a template gallery and supports duplication into a draft, reducing repeated package creation effort.</w:t>
      </w:r>
    </w:p>
    <w:p>
      <w:pPr>
        <w:pStyle w:val="Heading2"/>
        <w:keepNext/>
      </w:pPr>
      <w:r>
        <w:rPr>
          <w:rFonts w:ascii="Calibri" w:hAnsi="Calibri"/>
          <w:b/>
          <w:color w:val="2E74B5"/>
          <w:sz w:val="26"/>
        </w:rPr>
        <w:t>5.4 Builder capabilities</w:t>
      </w:r>
    </w:p>
    <w:p>
      <w:pPr>
        <w:pStyle w:val="ListBullet"/>
        <w:spacing w:after="80" w:line="264" w:lineRule="auto"/>
      </w:pPr>
      <w:r>
        <w:rPr>
          <w:rFonts w:ascii="Calibri" w:hAnsi="Calibri"/>
          <w:color w:val="000000"/>
          <w:sz w:val="22"/>
        </w:rPr>
        <w:t>Captures itinerary name, destination, trip type, customer information, traveller counts, dates and general description.</w:t>
      </w:r>
    </w:p>
    <w:p>
      <w:pPr>
        <w:pStyle w:val="ListBullet"/>
        <w:spacing w:after="80" w:line="264" w:lineRule="auto"/>
      </w:pPr>
      <w:r>
        <w:rPr>
          <w:rFonts w:ascii="Calibri" w:hAnsi="Calibri"/>
          <w:color w:val="000000"/>
          <w:sz w:val="22"/>
        </w:rPr>
        <w:t>Supports day-level titles, descriptions and itinerary highlights, with dialogs for editing day content.</w:t>
      </w:r>
    </w:p>
    <w:p>
      <w:pPr>
        <w:pStyle w:val="ListBullet"/>
        <w:spacing w:after="80" w:line="264" w:lineRule="auto"/>
      </w:pPr>
      <w:r>
        <w:rPr>
          <w:rFonts w:ascii="Calibri" w:hAnsi="Calibri"/>
          <w:color w:val="000000"/>
          <w:sz w:val="22"/>
        </w:rPr>
        <w:t>Supports adding and editing services through service modals; the builder uses services to construct trip cost categories.</w:t>
      </w:r>
    </w:p>
    <w:p>
      <w:pPr>
        <w:pStyle w:val="ListBullet"/>
        <w:spacing w:after="80" w:line="264" w:lineRule="auto"/>
      </w:pPr>
      <w:r>
        <w:rPr>
          <w:rFonts w:ascii="Calibri" w:hAnsi="Calibri"/>
          <w:color w:val="000000"/>
          <w:sz w:val="22"/>
        </w:rPr>
        <w:t>Maintains trip cost breakdowns for accommodation, sightseeing, transport, meals and other services.</w:t>
      </w:r>
    </w:p>
    <w:p>
      <w:pPr>
        <w:pStyle w:val="ListBullet"/>
        <w:spacing w:after="80" w:line="264" w:lineRule="auto"/>
      </w:pPr>
      <w:r>
        <w:rPr>
          <w:rFonts w:ascii="Calibri" w:hAnsi="Calibri"/>
          <w:color w:val="000000"/>
          <w:sz w:val="22"/>
        </w:rPr>
        <w:t>Provides percentage- or value-based discount handling, subtotal visibility and calculated final amount.</w:t>
      </w:r>
    </w:p>
    <w:p>
      <w:pPr>
        <w:pStyle w:val="ListBullet"/>
        <w:spacing w:after="80" w:line="264" w:lineRule="auto"/>
      </w:pPr>
      <w:r>
        <w:rPr>
          <w:rFonts w:ascii="Calibri" w:hAnsi="Calibri"/>
          <w:color w:val="000000"/>
          <w:sz w:val="22"/>
        </w:rPr>
        <w:t>Supports cover-image selection from presets or a custom URL, and manages terms/policy blocks as customer-facing content.</w:t>
      </w:r>
    </w:p>
    <w:p>
      <w:pPr>
        <w:pStyle w:val="ListBullet"/>
        <w:spacing w:after="80" w:line="264" w:lineRule="auto"/>
      </w:pPr>
      <w:r>
        <w:rPr>
          <w:rFonts w:ascii="Calibri" w:hAnsi="Calibri"/>
          <w:color w:val="000000"/>
          <w:sz w:val="22"/>
        </w:rPr>
        <w:t>Uses PdfTemplateModal and pdfGenerator utility as the presentation/export pathway.</w:t>
      </w:r>
    </w:p>
    <w:p>
      <w:pPr>
        <w:pStyle w:val="Heading2"/>
        <w:keepNext/>
      </w:pPr>
      <w:r>
        <w:rPr>
          <w:rFonts w:ascii="Calibri" w:hAnsi="Calibri"/>
          <w:b/>
          <w:color w:val="2E74B5"/>
          <w:sz w:val="26"/>
        </w:rPr>
        <w:t>5.5 Service layer and persistence</w:t>
      </w:r>
    </w:p>
    <w:p>
      <w:pPr>
        <w:spacing w:after="120" w:line="264" w:lineRule="auto"/>
      </w:pPr>
      <w:r>
        <w:rPr>
          <w:rFonts w:ascii="Calibri" w:hAnsi="Calibri"/>
          <w:color w:val="000000"/>
          <w:sz w:val="22"/>
        </w:rPr>
        <w:t>itinerary.service.js is a localStorage-backed mock service. On initial access it seeds browser storage with mock itinerary data. It exposes asynchronous getAll, getById, create, update and remove operations with simulated latency. getAll applies search, type and status filtering; getById restores mock day, service and policy details when a seeded record has incomplete stored data. This is a useful frontend development abstraction, but it must be replaced by authenticated API calls and server-side validation for a multi-user production system.</w:t>
      </w:r>
    </w:p>
    <w:p>
      <w:pPr>
        <w:pStyle w:val="Heading1"/>
        <w:keepNext/>
      </w:pPr>
      <w:r>
        <w:rPr>
          <w:rFonts w:ascii="Calibri" w:hAnsi="Calibri"/>
          <w:b/>
          <w:color w:val="2E74B5"/>
          <w:sz w:val="32"/>
        </w:rPr>
        <w:t>6. End-to-End User Workflow</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936"/>
            <w:shd w:fill="F2F4F7"/>
            <w:vAlign w:val="center"/>
          </w:tcPr>
          <w:p>
            <w:pPr>
              <w:spacing w:after="0"/>
            </w:pPr>
            <w:r>
              <w:rPr>
                <w:rFonts w:ascii="Calibri" w:hAnsi="Calibri"/>
                <w:b/>
                <w:color w:val="17324D"/>
                <w:sz w:val="19"/>
              </w:rPr>
              <w:t>Step</w:t>
            </w:r>
          </w:p>
        </w:tc>
        <w:tc>
          <w:tcPr>
            <w:tcW w:type="dxa" w:w="3384"/>
            <w:shd w:fill="F2F4F7"/>
            <w:vAlign w:val="center"/>
          </w:tcPr>
          <w:p>
            <w:pPr>
              <w:spacing w:after="0"/>
            </w:pPr>
            <w:r>
              <w:rPr>
                <w:rFonts w:ascii="Calibri" w:hAnsi="Calibri"/>
                <w:b/>
                <w:color w:val="17324D"/>
                <w:sz w:val="19"/>
              </w:rPr>
              <w:t>User activity</w:t>
            </w:r>
          </w:p>
        </w:tc>
        <w:tc>
          <w:tcPr>
            <w:tcW w:type="dxa" w:w="4824"/>
            <w:shd w:fill="F2F4F7"/>
            <w:vAlign w:val="center"/>
          </w:tcPr>
          <w:p>
            <w:pPr>
              <w:spacing w:after="0"/>
            </w:pPr>
            <w:r>
              <w:rPr>
                <w:rFonts w:ascii="Calibri" w:hAnsi="Calibri"/>
                <w:b/>
                <w:color w:val="17324D"/>
                <w:sz w:val="19"/>
              </w:rPr>
              <w:t>Module outcome</w:t>
            </w:r>
          </w:p>
        </w:tc>
      </w:tr>
      <w:tr>
        <w:tc>
          <w:tcPr>
            <w:tcW w:type="dxa" w:w="936"/>
            <w:vAlign w:val="center"/>
          </w:tcPr>
          <w:p>
            <w:pPr>
              <w:spacing w:after="0"/>
            </w:pPr>
            <w:r>
              <w:rPr>
                <w:rFonts w:ascii="Calibri" w:hAnsi="Calibri"/>
                <w:b w:val="0"/>
                <w:color w:val="000000"/>
                <w:sz w:val="19"/>
              </w:rPr>
              <w:t>1. Capture</w:t>
            </w:r>
          </w:p>
        </w:tc>
        <w:tc>
          <w:tcPr>
            <w:tcW w:type="dxa" w:w="3384"/>
            <w:vAlign w:val="center"/>
          </w:tcPr>
          <w:p>
            <w:pPr>
              <w:spacing w:after="0"/>
            </w:pPr>
            <w:r>
              <w:rPr>
                <w:rFonts w:ascii="Calibri" w:hAnsi="Calibri"/>
                <w:b w:val="0"/>
                <w:color w:val="000000"/>
                <w:sz w:val="19"/>
              </w:rPr>
              <w:t>A travel request is entered manually or is expected to arrive from a channel integration.</w:t>
            </w:r>
          </w:p>
        </w:tc>
        <w:tc>
          <w:tcPr>
            <w:tcW w:type="dxa" w:w="4824"/>
            <w:vAlign w:val="center"/>
          </w:tcPr>
          <w:p>
            <w:pPr>
              <w:spacing w:after="0"/>
            </w:pPr>
            <w:r>
              <w:rPr>
                <w:rFonts w:ascii="Calibri" w:hAnsi="Calibri"/>
                <w:b w:val="0"/>
                <w:color w:val="000000"/>
                <w:sz w:val="19"/>
              </w:rPr>
              <w:t>A structured lead is created with customer and trip requirements.</w:t>
            </w:r>
          </w:p>
        </w:tc>
      </w:tr>
      <w:tr>
        <w:tc>
          <w:tcPr>
            <w:tcW w:type="dxa" w:w="936"/>
            <w:vAlign w:val="center"/>
          </w:tcPr>
          <w:p>
            <w:pPr>
              <w:spacing w:after="0"/>
            </w:pPr>
            <w:r>
              <w:rPr>
                <w:rFonts w:ascii="Calibri" w:hAnsi="Calibri"/>
                <w:b w:val="0"/>
                <w:color w:val="000000"/>
                <w:sz w:val="19"/>
              </w:rPr>
              <w:t>2. Qualify</w:t>
            </w:r>
          </w:p>
        </w:tc>
        <w:tc>
          <w:tcPr>
            <w:tcW w:type="dxa" w:w="3384"/>
            <w:vAlign w:val="center"/>
          </w:tcPr>
          <w:p>
            <w:pPr>
              <w:spacing w:after="0"/>
            </w:pPr>
            <w:r>
              <w:rPr>
                <w:rFonts w:ascii="Calibri" w:hAnsi="Calibri"/>
                <w:b w:val="0"/>
                <w:color w:val="000000"/>
                <w:sz w:val="19"/>
              </w:rPr>
              <w:t>The team sets priority, stage, ownership, expected date and follow-up.</w:t>
            </w:r>
          </w:p>
        </w:tc>
        <w:tc>
          <w:tcPr>
            <w:tcW w:type="dxa" w:w="4824"/>
            <w:vAlign w:val="center"/>
          </w:tcPr>
          <w:p>
            <w:pPr>
              <w:spacing w:after="0"/>
            </w:pPr>
            <w:r>
              <w:rPr>
                <w:rFonts w:ascii="Calibri" w:hAnsi="Calibri"/>
                <w:b w:val="0"/>
                <w:color w:val="000000"/>
                <w:sz w:val="19"/>
              </w:rPr>
              <w:t>The lead is ready for a sales representative.</w:t>
            </w:r>
          </w:p>
        </w:tc>
      </w:tr>
      <w:tr>
        <w:tc>
          <w:tcPr>
            <w:tcW w:type="dxa" w:w="936"/>
            <w:vAlign w:val="center"/>
          </w:tcPr>
          <w:p>
            <w:pPr>
              <w:spacing w:after="0"/>
            </w:pPr>
            <w:r>
              <w:rPr>
                <w:rFonts w:ascii="Calibri" w:hAnsi="Calibri"/>
                <w:b w:val="0"/>
                <w:color w:val="000000"/>
                <w:sz w:val="19"/>
              </w:rPr>
              <w:t>3. Sell</w:t>
            </w:r>
          </w:p>
        </w:tc>
        <w:tc>
          <w:tcPr>
            <w:tcW w:type="dxa" w:w="3384"/>
            <w:vAlign w:val="center"/>
          </w:tcPr>
          <w:p>
            <w:pPr>
              <w:spacing w:after="0"/>
            </w:pPr>
            <w:r>
              <w:rPr>
                <w:rFonts w:ascii="Calibri" w:hAnsi="Calibri"/>
                <w:b w:val="0"/>
                <w:color w:val="000000"/>
                <w:sz w:val="19"/>
              </w:rPr>
              <w:t>Sales staff use dashboard and workflow screens for proposal, follow-up and negotiation.</w:t>
            </w:r>
          </w:p>
        </w:tc>
        <w:tc>
          <w:tcPr>
            <w:tcW w:type="dxa" w:w="4824"/>
            <w:vAlign w:val="center"/>
          </w:tcPr>
          <w:p>
            <w:pPr>
              <w:spacing w:after="0"/>
            </w:pPr>
            <w:r>
              <w:rPr>
                <w:rFonts w:ascii="Calibri" w:hAnsi="Calibri"/>
                <w:b w:val="0"/>
                <w:color w:val="000000"/>
                <w:sz w:val="19"/>
              </w:rPr>
              <w:t>The opportunity progresses toward confirmation.</w:t>
            </w:r>
          </w:p>
        </w:tc>
      </w:tr>
      <w:tr>
        <w:tc>
          <w:tcPr>
            <w:tcW w:type="dxa" w:w="936"/>
            <w:vAlign w:val="center"/>
          </w:tcPr>
          <w:p>
            <w:pPr>
              <w:spacing w:after="0"/>
            </w:pPr>
            <w:r>
              <w:rPr>
                <w:rFonts w:ascii="Calibri" w:hAnsi="Calibri"/>
                <w:b w:val="0"/>
                <w:color w:val="000000"/>
                <w:sz w:val="19"/>
              </w:rPr>
              <w:t>4. Build</w:t>
            </w:r>
          </w:p>
        </w:tc>
        <w:tc>
          <w:tcPr>
            <w:tcW w:type="dxa" w:w="3384"/>
            <w:vAlign w:val="center"/>
          </w:tcPr>
          <w:p>
            <w:pPr>
              <w:spacing w:after="0"/>
            </w:pPr>
            <w:r>
              <w:rPr>
                <w:rFonts w:ascii="Calibri" w:hAnsi="Calibri"/>
                <w:b w:val="0"/>
                <w:color w:val="000000"/>
                <w:sz w:val="19"/>
              </w:rPr>
              <w:t>The trip plan is created or updated with services, days, price and policies.</w:t>
            </w:r>
          </w:p>
        </w:tc>
        <w:tc>
          <w:tcPr>
            <w:tcW w:type="dxa" w:w="4824"/>
            <w:vAlign w:val="center"/>
          </w:tcPr>
          <w:p>
            <w:pPr>
              <w:spacing w:after="0"/>
            </w:pPr>
            <w:r>
              <w:rPr>
                <w:rFonts w:ascii="Calibri" w:hAnsi="Calibri"/>
                <w:b w:val="0"/>
                <w:color w:val="000000"/>
                <w:sz w:val="19"/>
              </w:rPr>
              <w:t>A customer-specific itinerary is available.</w:t>
            </w:r>
          </w:p>
        </w:tc>
      </w:tr>
      <w:tr>
        <w:tc>
          <w:tcPr>
            <w:tcW w:type="dxa" w:w="936"/>
            <w:vAlign w:val="center"/>
          </w:tcPr>
          <w:p>
            <w:pPr>
              <w:spacing w:after="0"/>
            </w:pPr>
            <w:r>
              <w:rPr>
                <w:rFonts w:ascii="Calibri" w:hAnsi="Calibri"/>
                <w:b w:val="0"/>
                <w:color w:val="000000"/>
                <w:sz w:val="19"/>
              </w:rPr>
              <w:t>5. Present</w:t>
            </w:r>
          </w:p>
        </w:tc>
        <w:tc>
          <w:tcPr>
            <w:tcW w:type="dxa" w:w="3384"/>
            <w:vAlign w:val="center"/>
          </w:tcPr>
          <w:p>
            <w:pPr>
              <w:spacing w:after="0"/>
            </w:pPr>
            <w:r>
              <w:rPr>
                <w:rFonts w:ascii="Calibri" w:hAnsi="Calibri"/>
                <w:b w:val="0"/>
                <w:color w:val="000000"/>
                <w:sz w:val="19"/>
              </w:rPr>
              <w:t>A PDF template/export flow is selected for the completed itinerary.</w:t>
            </w:r>
          </w:p>
        </w:tc>
        <w:tc>
          <w:tcPr>
            <w:tcW w:type="dxa" w:w="4824"/>
            <w:vAlign w:val="center"/>
          </w:tcPr>
          <w:p>
            <w:pPr>
              <w:spacing w:after="0"/>
            </w:pPr>
            <w:r>
              <w:rPr>
                <w:rFonts w:ascii="Calibri" w:hAnsi="Calibri"/>
                <w:b w:val="0"/>
                <w:color w:val="000000"/>
                <w:sz w:val="19"/>
              </w:rPr>
              <w:t>The plan can be presented or shared with the traveller.</w:t>
            </w:r>
          </w:p>
        </w:tc>
      </w:tr>
    </w:tbl>
    <w:p>
      <w:pPr>
        <w:spacing w:after="40"/>
      </w:pPr>
    </w:p>
    <w:p>
      <w:pPr>
        <w:pStyle w:val="Heading1"/>
        <w:keepNext/>
      </w:pPr>
      <w:r>
        <w:rPr>
          <w:rFonts w:ascii="Calibri" w:hAnsi="Calibri"/>
          <w:b/>
          <w:color w:val="2E74B5"/>
          <w:sz w:val="32"/>
        </w:rPr>
        <w:t>7. Current Readiness, Gaps and Recommendations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00"/>
            <w:shd w:fill="F2F4F7"/>
            <w:vAlign w:val="center"/>
          </w:tcPr>
          <w:p>
            <w:pPr>
              <w:spacing w:after="0"/>
            </w:pPr>
            <w:r>
              <w:rPr>
                <w:rFonts w:ascii="Calibri" w:hAnsi="Calibri"/>
                <w:b/>
                <w:color w:val="17324D"/>
                <w:sz w:val="19"/>
              </w:rPr>
              <w:t>Area</w:t>
            </w:r>
          </w:p>
        </w:tc>
        <w:tc>
          <w:tcPr>
            <w:tcW w:type="dxa" w:w="3600"/>
            <w:shd w:fill="F2F4F7"/>
            <w:vAlign w:val="center"/>
          </w:tcPr>
          <w:p>
            <w:pPr>
              <w:spacing w:after="0"/>
            </w:pPr>
            <w:r>
              <w:rPr>
                <w:rFonts w:ascii="Calibri" w:hAnsi="Calibri"/>
                <w:b/>
                <w:color w:val="17324D"/>
                <w:sz w:val="19"/>
              </w:rPr>
              <w:t>Current readiness</w:t>
            </w:r>
          </w:p>
        </w:tc>
        <w:tc>
          <w:tcPr>
            <w:tcW w:type="dxa" w:w="3744"/>
            <w:shd w:fill="F2F4F7"/>
            <w:vAlign w:val="center"/>
          </w:tcPr>
          <w:p>
            <w:pPr>
              <w:spacing w:after="0"/>
            </w:pPr>
            <w:r>
              <w:rPr>
                <w:rFonts w:ascii="Calibri" w:hAnsi="Calibri"/>
                <w:b/>
                <w:color w:val="17324D"/>
                <w:sz w:val="19"/>
              </w:rPr>
              <w:t>Recommended next action</w:t>
            </w:r>
          </w:p>
        </w:tc>
      </w:tr>
      <w:tr>
        <w:tc>
          <w:tcPr>
            <w:tcW w:type="dxa" w:w="1800"/>
            <w:vAlign w:val="center"/>
          </w:tcPr>
          <w:p>
            <w:pPr>
              <w:spacing w:after="0"/>
            </w:pPr>
            <w:r>
              <w:rPr>
                <w:rFonts w:ascii="Calibri" w:hAnsi="Calibri"/>
                <w:b w:val="0"/>
                <w:color w:val="000000"/>
                <w:sz w:val="19"/>
              </w:rPr>
              <w:t>Inquiry capture</w:t>
            </w:r>
          </w:p>
        </w:tc>
        <w:tc>
          <w:tcPr>
            <w:tcW w:type="dxa" w:w="3600"/>
            <w:vAlign w:val="center"/>
          </w:tcPr>
          <w:p>
            <w:pPr>
              <w:spacing w:after="0"/>
            </w:pPr>
            <w:r>
              <w:rPr>
                <w:rFonts w:ascii="Calibri" w:hAnsi="Calibri"/>
                <w:b w:val="0"/>
                <w:color w:val="000000"/>
                <w:sz w:val="19"/>
              </w:rPr>
              <w:t>Functional manual capture and context-driven lead operations</w:t>
            </w:r>
          </w:p>
        </w:tc>
        <w:tc>
          <w:tcPr>
            <w:tcW w:type="dxa" w:w="3744"/>
            <w:vAlign w:val="center"/>
          </w:tcPr>
          <w:p>
            <w:pPr>
              <w:spacing w:after="0"/>
            </w:pPr>
            <w:r>
              <w:rPr>
                <w:rFonts w:ascii="Calibri" w:hAnsi="Calibri"/>
                <w:b w:val="0"/>
                <w:color w:val="000000"/>
                <w:sz w:val="19"/>
              </w:rPr>
              <w:t>Persist leads through a secured API; integrate website, WhatsApp, Meta and B2B ingestion.</w:t>
            </w:r>
          </w:p>
        </w:tc>
      </w:tr>
      <w:tr>
        <w:tc>
          <w:tcPr>
            <w:tcW w:type="dxa" w:w="1800"/>
            <w:vAlign w:val="center"/>
          </w:tcPr>
          <w:p>
            <w:pPr>
              <w:spacing w:after="0"/>
            </w:pPr>
            <w:r>
              <w:rPr>
                <w:rFonts w:ascii="Calibri" w:hAnsi="Calibri"/>
                <w:b w:val="0"/>
                <w:color w:val="000000"/>
                <w:sz w:val="19"/>
              </w:rPr>
              <w:t>Sales workflow</w:t>
            </w:r>
          </w:p>
        </w:tc>
        <w:tc>
          <w:tcPr>
            <w:tcW w:type="dxa" w:w="3600"/>
            <w:vAlign w:val="center"/>
          </w:tcPr>
          <w:p>
            <w:pPr>
              <w:spacing w:after="0"/>
            </w:pPr>
            <w:r>
              <w:rPr>
                <w:rFonts w:ascii="Calibri" w:hAnsi="Calibri"/>
                <w:b w:val="0"/>
                <w:color w:val="000000"/>
                <w:sz w:val="19"/>
              </w:rPr>
              <w:t>Pages/components and live Inquiry lead consumption</w:t>
            </w:r>
          </w:p>
        </w:tc>
        <w:tc>
          <w:tcPr>
            <w:tcW w:type="dxa" w:w="3744"/>
            <w:vAlign w:val="center"/>
          </w:tcPr>
          <w:p>
            <w:pPr>
              <w:spacing w:after="0"/>
            </w:pPr>
            <w:r>
              <w:rPr>
                <w:rFonts w:ascii="Calibri" w:hAnsi="Calibri"/>
                <w:b w:val="0"/>
                <w:color w:val="000000"/>
                <w:sz w:val="19"/>
              </w:rPr>
              <w:t>Persist proposals, activity, follow-up, negotiation and confirmations with an audit trail.</w:t>
            </w:r>
          </w:p>
        </w:tc>
      </w:tr>
      <w:tr>
        <w:tc>
          <w:tcPr>
            <w:tcW w:type="dxa" w:w="1800"/>
            <w:vAlign w:val="center"/>
          </w:tcPr>
          <w:p>
            <w:pPr>
              <w:spacing w:after="0"/>
            </w:pPr>
            <w:r>
              <w:rPr>
                <w:rFonts w:ascii="Calibri" w:hAnsi="Calibri"/>
                <w:b w:val="0"/>
                <w:color w:val="000000"/>
                <w:sz w:val="19"/>
              </w:rPr>
              <w:t>Itinerary</w:t>
            </w:r>
          </w:p>
        </w:tc>
        <w:tc>
          <w:tcPr>
            <w:tcW w:type="dxa" w:w="3600"/>
            <w:vAlign w:val="center"/>
          </w:tcPr>
          <w:p>
            <w:pPr>
              <w:spacing w:after="0"/>
            </w:pPr>
            <w:r>
              <w:rPr>
                <w:rFonts w:ascii="Calibri" w:hAnsi="Calibri"/>
                <w:b w:val="0"/>
                <w:color w:val="000000"/>
                <w:sz w:val="19"/>
              </w:rPr>
              <w:t>Functional browser-persisted CRUD-like demo workflow</w:t>
            </w:r>
          </w:p>
        </w:tc>
        <w:tc>
          <w:tcPr>
            <w:tcW w:type="dxa" w:w="3744"/>
            <w:vAlign w:val="center"/>
          </w:tcPr>
          <w:p>
            <w:pPr>
              <w:spacing w:after="0"/>
            </w:pPr>
            <w:r>
              <w:rPr>
                <w:rFonts w:ascii="Calibri" w:hAnsi="Calibri"/>
                <w:b w:val="0"/>
                <w:color w:val="000000"/>
                <w:sz w:val="19"/>
              </w:rPr>
              <w:t>Replace localStorage with API-backed records, user ownership and permissions.</w:t>
            </w:r>
          </w:p>
        </w:tc>
      </w:tr>
      <w:tr>
        <w:tc>
          <w:tcPr>
            <w:tcW w:type="dxa" w:w="1800"/>
            <w:vAlign w:val="center"/>
          </w:tcPr>
          <w:p>
            <w:pPr>
              <w:spacing w:after="0"/>
            </w:pPr>
            <w:r>
              <w:rPr>
                <w:rFonts w:ascii="Calibri" w:hAnsi="Calibri"/>
                <w:b w:val="0"/>
                <w:color w:val="000000"/>
                <w:sz w:val="19"/>
              </w:rPr>
              <w:t>Cross-module handoff</w:t>
            </w:r>
          </w:p>
        </w:tc>
        <w:tc>
          <w:tcPr>
            <w:tcW w:type="dxa" w:w="3600"/>
            <w:vAlign w:val="center"/>
          </w:tcPr>
          <w:p>
            <w:pPr>
              <w:spacing w:after="0"/>
            </w:pPr>
            <w:r>
              <w:rPr>
                <w:rFonts w:ascii="Calibri" w:hAnsi="Calibri"/>
                <w:b w:val="0"/>
                <w:color w:val="000000"/>
                <w:sz w:val="19"/>
              </w:rPr>
              <w:t>Inquiry to Sales linkage is implemented</w:t>
            </w:r>
          </w:p>
        </w:tc>
        <w:tc>
          <w:tcPr>
            <w:tcW w:type="dxa" w:w="3744"/>
            <w:vAlign w:val="center"/>
          </w:tcPr>
          <w:p>
            <w:pPr>
              <w:spacing w:after="0"/>
            </w:pPr>
            <w:r>
              <w:rPr>
                <w:rFonts w:ascii="Calibri" w:hAnsi="Calibri"/>
                <w:b w:val="0"/>
                <w:color w:val="000000"/>
                <w:sz w:val="19"/>
              </w:rPr>
              <w:t>Add Sales-to-Itinerary handoff with approved customer, pax, destination and budget prefill.</w:t>
            </w:r>
          </w:p>
        </w:tc>
      </w:tr>
      <w:tr>
        <w:tc>
          <w:tcPr>
            <w:tcW w:type="dxa" w:w="1800"/>
            <w:vAlign w:val="center"/>
          </w:tcPr>
          <w:p>
            <w:pPr>
              <w:spacing w:after="0"/>
            </w:pPr>
            <w:r>
              <w:rPr>
                <w:rFonts w:ascii="Calibri" w:hAnsi="Calibri"/>
                <w:b w:val="0"/>
                <w:color w:val="000000"/>
                <w:sz w:val="19"/>
              </w:rPr>
              <w:t>Reporting</w:t>
            </w:r>
          </w:p>
        </w:tc>
        <w:tc>
          <w:tcPr>
            <w:tcW w:type="dxa" w:w="3600"/>
            <w:vAlign w:val="center"/>
          </w:tcPr>
          <w:p>
            <w:pPr>
              <w:spacing w:after="0"/>
            </w:pPr>
            <w:r>
              <w:rPr>
                <w:rFonts w:ascii="Calibri" w:hAnsi="Calibri"/>
                <w:b w:val="0"/>
                <w:color w:val="000000"/>
                <w:sz w:val="19"/>
              </w:rPr>
              <w:t>Visual dashboard elements and mock metrics</w:t>
            </w:r>
          </w:p>
        </w:tc>
        <w:tc>
          <w:tcPr>
            <w:tcW w:type="dxa" w:w="3744"/>
            <w:vAlign w:val="center"/>
          </w:tcPr>
          <w:p>
            <w:pPr>
              <w:spacing w:after="0"/>
            </w:pPr>
            <w:r>
              <w:rPr>
                <w:rFonts w:ascii="Calibri" w:hAnsi="Calibri"/>
                <w:b w:val="0"/>
                <w:color w:val="000000"/>
                <w:sz w:val="19"/>
              </w:rPr>
              <w:t>Use transactional data for conversion, revenue, source and itinerary analytics.</w:t>
            </w:r>
          </w:p>
        </w:tc>
      </w:tr>
      <w:tr>
        <w:tc>
          <w:tcPr>
            <w:tcW w:type="dxa" w:w="1800"/>
            <w:vAlign w:val="center"/>
          </w:tcPr>
          <w:p>
            <w:pPr>
              <w:spacing w:after="0"/>
            </w:pPr>
            <w:r>
              <w:rPr>
                <w:rFonts w:ascii="Calibri" w:hAnsi="Calibri"/>
                <w:b w:val="0"/>
                <w:color w:val="000000"/>
                <w:sz w:val="19"/>
              </w:rPr>
              <w:t>Quality and security</w:t>
            </w:r>
          </w:p>
        </w:tc>
        <w:tc>
          <w:tcPr>
            <w:tcW w:type="dxa" w:w="3600"/>
            <w:vAlign w:val="center"/>
          </w:tcPr>
          <w:p>
            <w:pPr>
              <w:spacing w:after="0"/>
            </w:pPr>
            <w:r>
              <w:rPr>
                <w:rFonts w:ascii="Calibri" w:hAnsi="Calibri"/>
                <w:b w:val="0"/>
                <w:color w:val="000000"/>
                <w:sz w:val="19"/>
              </w:rPr>
              <w:t>Frontend scaffolding and mock validation</w:t>
            </w:r>
          </w:p>
        </w:tc>
        <w:tc>
          <w:tcPr>
            <w:tcW w:type="dxa" w:w="3744"/>
            <w:vAlign w:val="center"/>
          </w:tcPr>
          <w:p>
            <w:pPr>
              <w:spacing w:after="0"/>
            </w:pPr>
            <w:r>
              <w:rPr>
                <w:rFonts w:ascii="Calibri" w:hAnsi="Calibri"/>
                <w:b w:val="0"/>
                <w:color w:val="000000"/>
                <w:sz w:val="19"/>
              </w:rPr>
              <w:t>Add role-based access, server validation, tests, error handling and notification workflows.</w:t>
            </w:r>
          </w:p>
        </w:tc>
      </w:tr>
    </w:tbl>
    <w:p>
      <w:pPr>
        <w:spacing w:after="40"/>
      </w:pPr>
    </w:p>
    <w:p>
      <w:pPr>
        <w:pStyle w:val="Heading1"/>
        <w:keepNext/>
      </w:pPr>
      <w:r>
        <w:rPr>
          <w:rFonts w:ascii="Calibri" w:hAnsi="Calibri"/>
          <w:b/>
          <w:color w:val="2E74B5"/>
          <w:sz w:val="32"/>
        </w:rPr>
        <w:t>8. Conclusion</w:t>
      </w:r>
    </w:p>
    <w:p>
      <w:pPr>
        <w:spacing w:after="120" w:line="264" w:lineRule="auto"/>
      </w:pPr>
      <w:r>
        <w:rPr>
          <w:rFonts w:ascii="Calibri" w:hAnsi="Calibri"/>
          <w:color w:val="000000"/>
          <w:sz w:val="22"/>
        </w:rPr>
        <w:t>The three modules provide a well-defined frontend foundation for a travel-focused CRM. Inquiry Engine supports lead capture and qualification, Sales Engine creates a conversion-oriented workflow around live inquiry leads, and Itinerary Builder enables detailed trip planning and customer presentation. The user experience is already structured for operational use and demonstration. The critical next milestone is replacing mock/context-only persistence with authenticated backend APIs, then extending the implemented handoffs into a complete enquiry-to-confirmation-to-itinerary workflow.</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7"/>
      </w:rPr>
      <w:t>Internal project documentation | Current frontend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VOYAGE TRAVEL CRM | DETAILED MODULE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CRM Detailed Three Module Report</dc:title>
  <dc:subject>Detailed Inquiry, Sales and Itinerary module report</dc:subject>
  <dc:creator>Travel CRM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