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40" w:before="0"/>
        <w:jc w:val="center"/>
      </w:pPr>
      <w:r>
        <w:rPr>
          <w:rFonts w:ascii="Arial" w:cs="Arial" w:eastAsia="Arial" w:hAnsi="Arial"/>
          <w:b/>
          <w:bCs/>
          <w:color w:val="1F3864"/>
          <w:sz w:val="24"/>
          <w:szCs w:val="24"/>
        </w:rPr>
        <w:t xml:space="preserve">FONDO DE SOLIDARIDAD E INVERSIÓN SOCIAL</w:t>
      </w:r>
    </w:p>
    <w:p>
      <w:pPr>
        <w:spacing w:after="40" w:before="0"/>
        <w:jc w:val="center"/>
      </w:pPr>
      <w:r>
        <w:rPr>
          <w:rFonts w:ascii="Arial" w:cs="Arial" w:eastAsia="Arial" w:hAnsi="Arial"/>
          <w:color w:val="2E75B6"/>
          <w:sz w:val="22"/>
          <w:szCs w:val="22"/>
        </w:rPr>
        <w:t xml:space="preserve">Departamento de Desarrollo Organizacional</w:t>
      </w:r>
    </w:p>
    <w:p>
      <w:pPr>
        <w:spacing w:after="200" w:before="0"/>
      </w:pPr>
    </w:p>
    <w:p>
      <w:pPr>
        <w:pBdr>
          <w:bottom w:val="single" w:color="E87722" w:sz="24"/>
        </w:pBdr>
        <w:spacing w:after="60" w:before="0"/>
        <w:jc w:val="center"/>
      </w:pPr>
      <w:r>
        <w:rPr>
          <w:rFonts w:ascii="Arial" w:cs="Arial" w:eastAsia="Arial" w:hAnsi="Arial"/>
          <w:b/>
          <w:bCs/>
          <w:color w:val="E87722"/>
          <w:sz w:val="40"/>
          <w:szCs w:val="40"/>
        </w:rPr>
        <w:t xml:space="preserve">INFORME INTEGRAL DE DIAGNÓSTICO</w:t>
      </w:r>
    </w:p>
    <w:p>
      <w:pPr>
        <w:spacing w:after="40" w:before="120"/>
        <w:jc w:val="center"/>
      </w:pPr>
      <w:r>
        <w:rPr>
          <w:rFonts w:ascii="Arial" w:cs="Arial" w:eastAsia="Arial" w:hAnsi="Arial"/>
          <w:b/>
          <w:bCs/>
          <w:color w:val="1F3864"/>
          <w:sz w:val="30"/>
          <w:szCs w:val="30"/>
        </w:rPr>
        <w:t xml:space="preserve">DESARROLLO ORGANIZACIONAL — FOSIS 2026</w:t>
      </w:r>
    </w:p>
    <w:p>
      <w:pPr>
        <w:spacing w:after="200" w:before="0"/>
      </w:pPr>
    </w:p>
    <w:p>
      <w:pPr>
        <w:spacing w:after="40" w:before="0"/>
        <w:jc w:val="center"/>
      </w:pPr>
      <w:r>
        <w:rPr>
          <w:rFonts w:ascii="Arial" w:cs="Arial" w:eastAsia="Arial" w:hAnsi="Arial"/>
          <w:color w:val="2E75B6"/>
          <w:sz w:val="22"/>
          <w:szCs w:val="22"/>
        </w:rPr>
        <w:t xml:space="preserve">Radiografía Estructural · Análisis Demográfico · CEAL-SM/SUSESO</w:t>
      </w:r>
    </w:p>
    <w:p>
      <w:pPr>
        <w:spacing w:after="40" w:before="0"/>
        <w:jc w:val="center"/>
      </w:pPr>
      <w:r>
        <w:rPr>
          <w:rFonts w:ascii="Arial" w:cs="Arial" w:eastAsia="Arial" w:hAnsi="Arial"/>
          <w:color w:val="2E75B6"/>
          <w:sz w:val="22"/>
          <w:szCs w:val="22"/>
        </w:rPr>
        <w:t xml:space="preserve">Funciones Directivas · Ley Karin (VALS) · Dotación Óptima</w:t>
      </w:r>
    </w:p>
    <w:p>
      <w:pPr>
        <w:spacing w:after="400" w:before="0"/>
      </w:pPr>
    </w:p>
    <w:p>
      <w:pPr>
        <w:jc w:val="center"/>
      </w:pPr>
      <w:r>
        <w:rPr>
          <w:rFonts w:ascii="Arial" w:cs="Arial" w:eastAsia="Arial" w:hAnsi="Arial"/>
          <w:color w:val="D9D9D9"/>
          <w:sz w:val="19"/>
          <w:szCs w:val="19"/>
        </w:rPr>
        <w:t xml:space="preserve">Corte de análisis: Mayo 2026 | Versión 3.0 — Actualizada con Funciones Directivas</w:t>
      </w:r>
    </w:p>
    <w:p>
      <w:r>
        <w:br w:type="page"/>
      </w:r>
    </w:p>
    <w:p>
      <w:pPr>
        <w:pStyle w:val="Heading1"/>
        <w:spacing w:after="120" w:before="280"/>
      </w:pPr>
      <w:r>
        <w:rPr>
          <w:rFonts w:ascii="Arial" w:cs="Arial" w:eastAsia="Arial" w:hAnsi="Arial"/>
          <w:b/>
          <w:bCs/>
          <w:color w:val="1F3864"/>
          <w:sz w:val="28"/>
          <w:szCs w:val="28"/>
        </w:rPr>
        <w:t xml:space="preserve">Resumen Ejecutivo</w:t>
      </w:r>
    </w:p>
    <w:p>
      <w:pPr>
        <w:pBdr>
          <w:bottom w:val="single" w:color="E87722" w:sz="12" w:space="1"/>
        </w:pBdr>
        <w:spacing w:after="200" w:before="0"/>
      </w:pPr>
    </w:p>
    <w:p>
      <w:pPr>
        <w:spacing w:after="80" w:before="80"/>
        <w:jc w:val="both"/>
      </w:pPr>
      <w:r>
        <w:rPr>
          <w:rFonts w:ascii="Arial" w:cs="Arial" w:eastAsia="Arial" w:hAnsi="Arial"/>
          <w:sz w:val="20"/>
          <w:szCs w:val="20"/>
        </w:rPr>
        <w:t xml:space="preserve">El presente informe integra los tres pilares del diagnóstico de Desarrollo Organizacional de FOSIS 2026: la radiografía taxonómica y demográfica con alertas de sucesión, el macro-modelo de dotación óptima contrastado con el ecosistema CEAL-SM/SUSESO, y el análisis correlacional entre bienestar laboral y licencias médicas (VALS/Ley Karin). El análisis incorpora la capa de funciones directivas formales establecida por las Resoluciones FC-F-00011, Res. Central y Res. Tarapacá (2026), las Definiciones Estratégicas FOSIS 2026 y las restricciones del Oficio Circular N°12 del Ministerio de Hacienda (13-mar-2026). Los hallazgos principales son:</w:t>
      </w:r>
    </w:p>
    <w:p>
      <w:pPr>
        <w:spacing w:after="80" w:before="0"/>
      </w:pPr>
    </w:p>
    <w:p>
      <w:pPr>
        <w:pStyle w:val="ListParagraph"/>
        <w:numPr>
          <w:ilvl w:val="0"/>
          <w:numId w:val="2"/>
        </w:numPr>
        <w:spacing w:after="40" w:before="40"/>
      </w:pPr>
      <w:r>
        <w:rPr>
          <w:rFonts w:ascii="Arial" w:cs="Arial" w:eastAsia="Arial" w:hAnsi="Arial"/>
          <w:b/>
          <w:bCs/>
          <w:sz w:val="20"/>
          <w:szCs w:val="20"/>
        </w:rPr>
        <w:t xml:space="preserve">Base analítica: </w:t>
      </w:r>
      <w:r>
        <w:rPr>
          <w:rFonts w:ascii="Arial" w:cs="Arial" w:eastAsia="Arial" w:hAnsi="Arial"/>
          <w:sz w:val="20"/>
          <w:szCs w:val="20"/>
        </w:rPr>
        <w:t xml:space="preserve">1.058 funcionarios en nómina (902 planta/contrata + 156 honorarios) distribuidos en 16 regiones y Dirección Nacional. Los cargos de Director Ejecutivo y Directores Regionales operan bajo modalidad de funciones directivas asignadas por resolución, no reflejadas nominalmente en la nómina RRHH.</w:t>
      </w:r>
    </w:p>
    <w:p>
      <w:pPr>
        <w:pStyle w:val="ListParagraph"/>
        <w:numPr>
          <w:ilvl w:val="0"/>
          <w:numId w:val="2"/>
        </w:numPr>
        <w:spacing w:after="40" w:before="40"/>
      </w:pPr>
      <w:r>
        <w:rPr>
          <w:rFonts w:ascii="Arial" w:cs="Arial" w:eastAsia="Arial" w:hAnsi="Arial"/>
          <w:b/>
          <w:bCs/>
          <w:sz w:val="20"/>
          <w:szCs w:val="20"/>
        </w:rPr>
        <w:t xml:space="preserve">Alerta taxonómica crítica — Ratio E:O: </w:t>
      </w:r>
      <w:r>
        <w:rPr>
          <w:rFonts w:ascii="Arial" w:cs="Arial" w:eastAsia="Arial" w:hAnsi="Arial"/>
          <w:sz w:val="20"/>
          <w:szCs w:val="20"/>
        </w:rPr>
        <w:t xml:space="preserve">10 de 16 regiones superan el umbral de desbalance Estratégico:Operativo (&gt;0,50). Arica y Parinacota (1,38), Antofagasta (1,25) y Magallanes (1,10) registran más jefaturas y encargados que personal operativo de terreno — inversión estructural.</w:t>
      </w:r>
    </w:p>
    <w:p>
      <w:pPr>
        <w:pStyle w:val="ListParagraph"/>
        <w:numPr>
          <w:ilvl w:val="0"/>
          <w:numId w:val="2"/>
        </w:numPr>
        <w:spacing w:after="40" w:before="40"/>
      </w:pPr>
      <w:r>
        <w:rPr>
          <w:rFonts w:ascii="Arial" w:cs="Arial" w:eastAsia="Arial" w:hAnsi="Arial"/>
          <w:b/>
          <w:bCs/>
          <w:sz w:val="20"/>
          <w:szCs w:val="20"/>
        </w:rPr>
        <w:t xml:space="preserve">Funciones directivas formales: </w:t>
      </w:r>
      <w:r>
        <w:rPr>
          <w:rFonts w:ascii="Arial" w:cs="Arial" w:eastAsia="Arial" w:hAnsi="Arial"/>
          <w:sz w:val="20"/>
          <w:szCs w:val="20"/>
        </w:rPr>
        <w:t xml:space="preserve">88 cupos autorizados. Se identifican 58 en el nivel regional (16 Directores Regionales + 16 Jefes A&amp;F + 16 Jefes GP + 9 Enc. Familias + 1 Enc. Control Gestión) y 29 en el nivel central.</w:t>
      </w:r>
    </w:p>
    <w:p>
      <w:pPr>
        <w:pStyle w:val="ListParagraph"/>
        <w:numPr>
          <w:ilvl w:val="0"/>
          <w:numId w:val="2"/>
        </w:numPr>
        <w:spacing w:after="40" w:before="40"/>
      </w:pPr>
      <w:r>
        <w:rPr>
          <w:rFonts w:ascii="Arial" w:cs="Arial" w:eastAsia="Arial" w:hAnsi="Arial"/>
          <w:b/>
          <w:bCs/>
          <w:sz w:val="20"/>
          <w:szCs w:val="20"/>
        </w:rPr>
        <w:t xml:space="preserve">Alerta sucesión: </w:t>
      </w:r>
      <w:r>
        <w:rPr>
          <w:rFonts w:ascii="Arial" w:cs="Arial" w:eastAsia="Arial" w:hAnsi="Arial"/>
          <w:sz w:val="20"/>
          <w:szCs w:val="20"/>
        </w:rPr>
        <w:t xml:space="preserve">Araucanía (46,2%), Ñuble (38,5%) y O'Higgins (35,7%) superan el umbral crítico de 30% de jefaturas ≥55 años. Ventana de riesgo de retiro: 2027–2030.</w:t>
      </w:r>
    </w:p>
    <w:p>
      <w:pPr>
        <w:pStyle w:val="ListParagraph"/>
        <w:numPr>
          <w:ilvl w:val="0"/>
          <w:numId w:val="2"/>
        </w:numPr>
        <w:spacing w:after="40" w:before="40"/>
      </w:pPr>
      <w:r>
        <w:rPr>
          <w:rFonts w:ascii="Arial" w:cs="Arial" w:eastAsia="Arial" w:hAnsi="Arial"/>
          <w:b/>
          <w:bCs/>
          <w:sz w:val="20"/>
          <w:szCs w:val="20"/>
        </w:rPr>
        <w:t xml:space="preserve">Envejecimiento Soporte: </w:t>
      </w:r>
      <w:r>
        <w:rPr>
          <w:rFonts w:ascii="Arial" w:cs="Arial" w:eastAsia="Arial" w:hAnsi="Arial"/>
          <w:sz w:val="20"/>
          <w:szCs w:val="20"/>
        </w:rPr>
        <w:t xml:space="preserve">El estamento Soporte registra la mayor edad promedio nacional (50,7 años). Los Lagos (60,6), Aysén (56,6) y O'Higgins (55,7) tienen riesgo de colapso administrativo por retiro simultáneo.</w:t>
      </w:r>
    </w:p>
    <w:p>
      <w:pPr>
        <w:pStyle w:val="ListParagraph"/>
        <w:numPr>
          <w:ilvl w:val="0"/>
          <w:numId w:val="2"/>
        </w:numPr>
        <w:spacing w:after="40" w:before="40"/>
      </w:pPr>
      <w:r>
        <w:rPr>
          <w:rFonts w:ascii="Arial" w:cs="Arial" w:eastAsia="Arial" w:hAnsi="Arial"/>
          <w:b/>
          <w:bCs/>
          <w:sz w:val="20"/>
          <w:szCs w:val="20"/>
        </w:rPr>
        <w:t xml:space="preserve">CEAL-SM/SUSESO: </w:t>
      </w:r>
      <w:r>
        <w:rPr>
          <w:rFonts w:ascii="Arial" w:cs="Arial" w:eastAsia="Arial" w:hAnsi="Arial"/>
          <w:sz w:val="20"/>
          <w:szCs w:val="20"/>
        </w:rPr>
        <w:t xml:space="preserve">Araucanía es la única región con Riesgo Alto integral. Ñuble lidera en Carga de Trabajo (CT = 68,8% riesgo alto). La correlación r(Jef_55%, tasa_VALS) = −0,527 (p = 0,030) sugiere sub-reporte en regiones con liderazgo veterano.</w:t>
      </w:r>
    </w:p>
    <w:p>
      <w:pPr>
        <w:pStyle w:val="ListParagraph"/>
        <w:numPr>
          <w:ilvl w:val="0"/>
          <w:numId w:val="2"/>
        </w:numPr>
        <w:spacing w:after="40" w:before="40"/>
      </w:pPr>
      <w:r>
        <w:rPr>
          <w:rFonts w:ascii="Arial" w:cs="Arial" w:eastAsia="Arial" w:hAnsi="Arial"/>
          <w:b/>
          <w:bCs/>
          <w:sz w:val="20"/>
          <w:szCs w:val="20"/>
        </w:rPr>
        <w:t xml:space="preserve">Restricción fiscal: </w:t>
      </w:r>
      <w:r>
        <w:rPr>
          <w:rFonts w:ascii="Arial" w:cs="Arial" w:eastAsia="Arial" w:hAnsi="Arial"/>
          <w:sz w:val="20"/>
          <w:szCs w:val="20"/>
        </w:rPr>
        <w:t xml:space="preserve">Circular N°12 congela concursos y reemplazos. Las acciones prioritarias son redistribución funcional interna (art. 7d) y revisión de eficiencia territorial (art. 7f) — ambas de costo $0.</w:t>
      </w:r>
    </w:p>
    <w:p>
      <w:pPr>
        <w:spacing w:after="160" w:before="0"/>
      </w:pPr>
    </w:p>
    <w:p>
      <w:pPr>
        <w:spacing w:after="80" w:before="80"/>
        <w:jc w:val="both"/>
      </w:pPr>
      <w:r>
        <w:rPr>
          <w:rFonts w:ascii="Arial" w:cs="Arial" w:eastAsia="Arial" w:hAnsi="Arial"/>
          <w:sz w:val="20"/>
          <w:szCs w:val="20"/>
        </w:rPr>
        <w:t xml:space="preserve">Complementa este informe: </w:t>
      </w:r>
      <w:r>
        <w:rPr>
          <w:rFonts w:ascii="Arial" w:cs="Arial" w:eastAsia="Arial" w:hAnsi="Arial"/>
          <w:b/>
          <w:bCs/>
          <w:sz w:val="20"/>
          <w:szCs w:val="20"/>
        </w:rPr>
        <w:t xml:space="preserve">Matriz Integrada DO FOSIS 2026 </w:t>
      </w:r>
      <w:r>
        <w:rPr>
          <w:rFonts w:ascii="Arial" w:cs="Arial" w:eastAsia="Arial" w:hAnsi="Arial"/>
          <w:sz w:val="20"/>
          <w:szCs w:val="20"/>
        </w:rPr>
        <w:t xml:space="preserve">(Excel, 9 hojas) con la hoja de funciones directivas incorporada.</w:t>
      </w:r>
    </w:p>
    <w:p>
      <w:r>
        <w:br w:type="page"/>
      </w:r>
    </w:p>
    <w:p>
      <w:pPr>
        <w:pStyle w:val="Heading1"/>
        <w:spacing w:after="120" w:before="280"/>
      </w:pPr>
      <w:r>
        <w:rPr>
          <w:rFonts w:ascii="Arial" w:cs="Arial" w:eastAsia="Arial" w:hAnsi="Arial"/>
          <w:b/>
          <w:bCs/>
          <w:color w:val="1F3864"/>
          <w:sz w:val="28"/>
          <w:szCs w:val="28"/>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80"/>
      </w:pPr>
      <w:r>
        <w:rPr>
          <w:rFonts w:ascii="Arial" w:cs="Arial" w:eastAsia="Arial" w:hAnsi="Arial"/>
          <w:b/>
          <w:bCs/>
          <w:color w:val="1F3864"/>
          <w:sz w:val="28"/>
          <w:szCs w:val="28"/>
        </w:rPr>
        <w:t xml:space="preserve">Marco Estratégico e Institucional</w:t>
      </w:r>
    </w:p>
    <w:p>
      <w:pPr>
        <w:pBdr>
          <w:bottom w:val="single" w:color="E87722" w:sz="12" w:space="1"/>
        </w:pBdr>
        <w:spacing w:after="200" w:before="0"/>
      </w:pPr>
    </w:p>
    <w:p>
      <w:pPr>
        <w:pStyle w:val="Heading2"/>
        <w:spacing w:after="120" w:before="280"/>
      </w:pPr>
      <w:r>
        <w:rPr>
          <w:rFonts w:ascii="Arial" w:cs="Arial" w:eastAsia="Arial" w:hAnsi="Arial"/>
          <w:b/>
          <w:bCs/>
          <w:color w:val="2E75B6"/>
          <w:sz w:val="24"/>
          <w:szCs w:val="24"/>
        </w:rPr>
        <w:t xml:space="preserve">0.1 Objetivos Estratégicos FOSIS 2026 y su Implicancia en DO</w:t>
      </w:r>
    </w:p>
    <w:p>
      <w:pPr>
        <w:spacing w:after="80" w:before="80"/>
        <w:jc w:val="both"/>
      </w:pPr>
      <w:r>
        <w:rPr>
          <w:rFonts w:ascii="Arial" w:cs="Arial" w:eastAsia="Arial" w:hAnsi="Arial"/>
          <w:sz w:val="20"/>
          <w:szCs w:val="20"/>
        </w:rPr>
        <w:t xml:space="preserve">Las Definiciones Estratégicas FOSIS 2026 establecen el marco de acción que da sentido al diseño organizacional. Cada objetivo estratégico tiene consecuencias directas sobre la composición de la dotación requerida: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w:t>
            </w:r>
          </w:p>
        </w:tc>
        <w:tc>
          <w:tcPr>
            <w:tcW w:type="dxa" w:w="32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Foco estratégico</w:t>
            </w:r>
          </w:p>
        </w:tc>
        <w:tc>
          <w:tcPr>
            <w:tcW w:type="dxa" w:w="436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Implicancia DO</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OE1 — Autonomía económica</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Emprendimiento y empleabilidad en pobreza extrema</w:t>
            </w:r>
          </w:p>
        </w:tc>
        <w:tc>
          <w:tcPr>
            <w:tcW w:type="dxa" w:w="4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Demanda perfiles Operativo con competencias de acompañamiento territorial</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OE2 — Innovación social</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Programas con enfoque territorial diferenciado</w:t>
            </w:r>
          </w:p>
        </w:tc>
        <w:tc>
          <w:tcPr>
            <w:tcW w:type="dxa" w:w="4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Requiere Especialistas en diseño e innovación programática</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OE3 — Cohesión social</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Pertinencia territorial y redes intersectoriales</w:t>
            </w:r>
          </w:p>
        </w:tc>
        <w:tc>
          <w:tcPr>
            <w:tcW w:type="dxa" w:w="4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Fortalece rol estratégico del Director Regional como articulador</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OGI5 — Modernización digital</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Plataformas, datos y transformación de procesos</w:t>
            </w:r>
          </w:p>
        </w:tc>
        <w:tc>
          <w:tcPr>
            <w:tcW w:type="dxa" w:w="4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Presiona dotación de Especialistas TI y Soporte informático</w:t>
            </w:r>
          </w:p>
        </w:tc>
      </w:tr>
    </w:tbl>
    <w:p>
      <w:pPr>
        <w:spacing w:after="160" w:before="0"/>
      </w:pPr>
    </w:p>
    <w:p>
      <w:pPr>
        <w:pStyle w:val="Heading2"/>
        <w:spacing w:after="120" w:before="280"/>
      </w:pPr>
      <w:r>
        <w:rPr>
          <w:rFonts w:ascii="Arial" w:cs="Arial" w:eastAsia="Arial" w:hAnsi="Arial"/>
          <w:b/>
          <w:bCs/>
          <w:color w:val="2E75B6"/>
          <w:sz w:val="24"/>
          <w:szCs w:val="24"/>
        </w:rPr>
        <w:t xml:space="preserve">0.2 Marco Normativo — Funciones Directivas 2026</w:t>
      </w:r>
    </w:p>
    <w:p>
      <w:pPr>
        <w:spacing w:after="80" w:before="80"/>
        <w:jc w:val="both"/>
      </w:pPr>
      <w:r>
        <w:rPr>
          <w:rFonts w:ascii="Arial" w:cs="Arial" w:eastAsia="Arial" w:hAnsi="Arial"/>
          <w:sz w:val="20"/>
          <w:szCs w:val="20"/>
        </w:rPr>
        <w:t xml:space="preserve">La Ley N°21.796 de Presupuestos 2026 autoriza a FOSIS un total de 88 cupos para asignación de funciones directivas al personal a contrata, gestionados mediante tres resoluciones exentas: (1) Res. FC-F-00011 para oficinas regionales (58 cargos), (2) Resolución de Nivel Central (28 cargos) y (3) Resolución específica para Asesor Jurídico de Tarapacá (1 cargo). Este marco normativo define la arquitectura de liderazgo formal de la institución y es la fuente primaria para la clasificación del estamento Estratégico en este diagnóstico.</w:t>
      </w:r>
    </w:p>
    <w:p>
      <w:pPr>
        <w:pStyle w:val="ListParagraph"/>
        <w:numPr>
          <w:ilvl w:val="0"/>
          <w:numId w:val="2"/>
        </w:numPr>
        <w:spacing w:after="40" w:before="40"/>
      </w:pPr>
      <w:r>
        <w:rPr>
          <w:rFonts w:ascii="Arial" w:cs="Arial" w:eastAsia="Arial" w:hAnsi="Arial"/>
          <w:sz w:val="20"/>
          <w:szCs w:val="20"/>
        </w:rPr>
        <w:t xml:space="preserve">Directores/as Regionales: 16 puestos (una por cada región). Cargo base en nómina de contrata — no figura nominalmente como "Director Regional" en el sistema RRHH.</w:t>
      </w:r>
    </w:p>
    <w:p>
      <w:pPr>
        <w:pStyle w:val="ListParagraph"/>
        <w:numPr>
          <w:ilvl w:val="0"/>
          <w:numId w:val="2"/>
        </w:numPr>
        <w:spacing w:after="40" w:before="40"/>
      </w:pPr>
      <w:r>
        <w:rPr>
          <w:rFonts w:ascii="Arial" w:cs="Arial" w:eastAsia="Arial" w:hAnsi="Arial"/>
          <w:sz w:val="20"/>
          <w:szCs w:val="20"/>
        </w:rPr>
        <w:t xml:space="preserve">Jefes/as de Administración y Finanzas Regional: 16 puestos en todas las regiones.</w:t>
      </w:r>
    </w:p>
    <w:p>
      <w:pPr>
        <w:pStyle w:val="ListParagraph"/>
        <w:numPr>
          <w:ilvl w:val="0"/>
          <w:numId w:val="2"/>
        </w:numPr>
        <w:spacing w:after="40" w:before="40"/>
      </w:pPr>
      <w:r>
        <w:rPr>
          <w:rFonts w:ascii="Arial" w:cs="Arial" w:eastAsia="Arial" w:hAnsi="Arial"/>
          <w:sz w:val="20"/>
          <w:szCs w:val="20"/>
        </w:rPr>
        <w:t xml:space="preserve">Jefes/as de Gestión de Programas Regional: 16 puestos en todas las regiones.</w:t>
      </w:r>
    </w:p>
    <w:p>
      <w:pPr>
        <w:pStyle w:val="ListParagraph"/>
        <w:numPr>
          <w:ilvl w:val="0"/>
          <w:numId w:val="2"/>
        </w:numPr>
        <w:spacing w:after="40" w:before="40"/>
      </w:pPr>
      <w:r>
        <w:rPr>
          <w:rFonts w:ascii="Arial" w:cs="Arial" w:eastAsia="Arial" w:hAnsi="Arial"/>
          <w:sz w:val="20"/>
          <w:szCs w:val="20"/>
        </w:rPr>
        <w:t xml:space="preserve">Encargados/as Regional Programa Familias SS y OO: 9 puestos (regiones seleccionadas).</w:t>
      </w:r>
    </w:p>
    <w:p>
      <w:pPr>
        <w:pStyle w:val="ListParagraph"/>
        <w:numPr>
          <w:ilvl w:val="0"/>
          <w:numId w:val="2"/>
        </w:numPr>
        <w:spacing w:after="40" w:before="40"/>
      </w:pPr>
      <w:r>
        <w:rPr>
          <w:rFonts w:ascii="Arial" w:cs="Arial" w:eastAsia="Arial" w:hAnsi="Arial"/>
          <w:sz w:val="20"/>
          <w:szCs w:val="20"/>
        </w:rPr>
        <w:t xml:space="preserve">Nivel Central: 28 cargos directivos (Jefes de Departamento, Encargados de Unidad).</w:t>
      </w:r>
    </w:p>
    <w:p>
      <w:pPr>
        <w:spacing w:after="80" w:before="0"/>
      </w:pPr>
    </w:p>
    <w:p>
      <w:pPr>
        <w:pStyle w:val="Heading2"/>
        <w:spacing w:after="120" w:before="280"/>
      </w:pPr>
      <w:r>
        <w:rPr>
          <w:rFonts w:ascii="Arial" w:cs="Arial" w:eastAsia="Arial" w:hAnsi="Arial"/>
          <w:b/>
          <w:bCs/>
          <w:color w:val="2E75B6"/>
          <w:sz w:val="24"/>
          <w:szCs w:val="24"/>
        </w:rPr>
        <w:t xml:space="preserve">0.3 Restricciones Fiscales — Oficio Circular N°12 (13-mar-2026)</w:t>
      </w:r>
    </w:p>
    <w:p>
      <w:pPr>
        <w:spacing w:after="80" w:before="80"/>
        <w:jc w:val="both"/>
      </w:pPr>
      <w:r>
        <w:rPr>
          <w:rFonts w:ascii="Arial" w:cs="Arial" w:eastAsia="Arial" w:hAnsi="Arial"/>
          <w:sz w:val="20"/>
          <w:szCs w:val="20"/>
        </w:rPr>
        <w:t xml:space="preserve">El Oficio Circular N°12 del Ministerio de Hacienda establece medidas de contención del gasto que condicionan directamente las opciones de intervención DO para 2026: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Art.</w:t>
            </w:r>
          </w:p>
        </w:tc>
        <w:tc>
          <w:tcPr>
            <w:tcW w:type="dxa" w:w="4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Medida Circular N°12</w:t>
            </w:r>
          </w:p>
        </w:tc>
        <w:tc>
          <w:tcPr>
            <w:tcW w:type="dxa" w:w="4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DO</w:t>
            </w:r>
          </w:p>
        </w:tc>
      </w:tr>
      <w:tr>
        <w:tc>
          <w:tcPr>
            <w:tcW w:type="dxa" w:w="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7g</w:t>
            </w:r>
          </w:p>
        </w:tc>
        <w:tc>
          <w:tcPr>
            <w:tcW w:type="dxa" w:w="4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Congelamiento de concursos de provisión</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Restringe cubrir vacantes operativas (91 sin proveer)</w:t>
            </w: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7i</w:t>
            </w:r>
          </w:p>
        </w:tc>
        <w:tc>
          <w:tcPr>
            <w:tcW w:type="dxa" w:w="4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Prohibición renovación retiros voluntarios</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Impide retención de personal con función crítica</w:t>
            </w:r>
          </w:p>
        </w:tc>
      </w:tr>
      <w:tr>
        <w:tc>
          <w:tcPr>
            <w:tcW w:type="dxa" w:w="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7j</w:t>
            </w:r>
          </w:p>
        </w:tc>
        <w:tc>
          <w:tcPr>
            <w:tcW w:type="dxa" w:w="4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Prohibición de reemplazos</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Sin reemplazo para retiros o renuncias</w:t>
            </w:r>
          </w:p>
        </w:tc>
      </w:tr>
      <w:tr>
        <w:tc>
          <w:tcPr>
            <w:tcW w:type="dxa" w:w="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7d</w:t>
            </w:r>
          </w:p>
        </w:tc>
        <w:tc>
          <w:tcPr>
            <w:tcW w:type="dxa" w:w="4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Redistribución funcional interna</w:t>
            </w:r>
          </w:p>
        </w:tc>
        <w:tc>
          <w:tcPr>
            <w:tcW w:type="dxa" w:w="4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Permite reordenar funciones sin costo adicional</w:t>
            </w:r>
          </w:p>
        </w:tc>
      </w:tr>
      <w:tr>
        <w:tc>
          <w:tcPr>
            <w:tcW w:type="dxa" w:w="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7f</w:t>
            </w:r>
          </w:p>
        </w:tc>
        <w:tc>
          <w:tcPr>
            <w:tcW w:type="dxa" w:w="4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Revisión eficiencia territorial</w:t>
            </w:r>
          </w:p>
        </w:tc>
        <w:tc>
          <w:tcPr>
            <w:tcW w:type="dxa" w:w="4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Habilita análisis de estructura regional</w:t>
            </w:r>
          </w:p>
        </w:tc>
      </w:tr>
    </w:tbl>
    <w:p>
      <w:pPr>
        <w:spacing w:after="160" w:before="0"/>
      </w:pPr>
    </w:p>
    <w:p>
      <w:pPr>
        <w:spacing w:after="80" w:before="80"/>
        <w:jc w:val="both"/>
      </w:pPr>
      <w:r>
        <w:rPr>
          <w:rFonts w:ascii="Arial" w:cs="Arial" w:eastAsia="Arial" w:hAnsi="Arial"/>
          <w:sz w:val="20"/>
          <w:szCs w:val="20"/>
        </w:rPr>
        <w:t xml:space="preserve">Todas las recomendaciones de este informe se clasifican explícitamente según su viabilidad bajo este marco: acciones de costo $0 disponibles hoy versus acciones condicionadas al levantamiento del ajuste fiscal.</w:t>
      </w:r>
    </w:p>
    <w:p>
      <w:r>
        <w:br w:type="page"/>
      </w:r>
    </w:p>
    <w:p>
      <w:pPr>
        <w:pStyle w:val="Heading1"/>
        <w:spacing w:after="120" w:before="280"/>
      </w:pPr>
      <w:r>
        <w:rPr>
          <w:rFonts w:ascii="Arial" w:cs="Arial" w:eastAsia="Arial" w:hAnsi="Arial"/>
          <w:b/>
          <w:bCs/>
          <w:color w:val="1F3864"/>
          <w:sz w:val="28"/>
          <w:szCs w:val="28"/>
        </w:rPr>
        <w:t xml:space="preserve">PILAR 1 — Radiografía Taxonómica, Demográfica y Alertas de Sucesión</w:t>
      </w:r>
    </w:p>
    <w:p>
      <w:pPr>
        <w:pBdr>
          <w:bottom w:val="single" w:color="E87722" w:sz="12" w:space="1"/>
        </w:pBdr>
        <w:spacing w:after="200" w:before="0"/>
      </w:pPr>
    </w:p>
    <w:p>
      <w:pPr>
        <w:pStyle w:val="Heading2"/>
        <w:spacing w:after="120" w:before="280"/>
      </w:pPr>
      <w:r>
        <w:rPr>
          <w:rFonts w:ascii="Arial" w:cs="Arial" w:eastAsia="Arial" w:hAnsi="Arial"/>
          <w:b/>
          <w:bCs/>
          <w:color w:val="2E75B6"/>
          <w:sz w:val="24"/>
          <w:szCs w:val="24"/>
        </w:rPr>
        <w:t xml:space="preserve">1.1 Distribución Taxonómica Nacional</w:t>
      </w:r>
    </w:p>
    <w:p>
      <w:pPr>
        <w:spacing w:after="80" w:before="80"/>
        <w:jc w:val="both"/>
      </w:pPr>
      <w:r>
        <w:rPr>
          <w:rFonts w:ascii="Arial" w:cs="Arial" w:eastAsia="Arial" w:hAnsi="Arial"/>
          <w:sz w:val="20"/>
          <w:szCs w:val="20"/>
        </w:rPr>
        <w:t xml:space="preserve">La base analítica comprende 902 funcionarios de planta y contrata (de los 1.058 en nómina total) distribuidos en 16 regiones y la Dirección Nacional. La taxonomía se construye priorizando la descripción de funciones de los Perfiles de Cargo oficiales, complementada con el marco de funciones directivas formales de las resoluciones 2026. El estamento Honorarios (156 personas) se excluye del análisis estructural por su naturaleza temporal y de proyecto específico.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w:t>
            </w:r>
          </w:p>
        </w:tc>
        <w:tc>
          <w:tcPr>
            <w:tcW w:type="dxa" w:w="11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9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Edad prom.</w:t>
            </w:r>
          </w:p>
        </w:tc>
        <w:tc>
          <w:tcPr>
            <w:tcW w:type="dxa" w:w="50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5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left"/>
            </w:pPr>
            <w:r>
              <w:rPr>
                <w:rFonts w:ascii="Arial" w:cs="Arial" w:eastAsia="Arial" w:hAnsi="Arial"/>
                <w:b/>
                <w:bCs/>
                <w:color w:val="375623"/>
                <w:sz w:val="19"/>
                <w:szCs w:val="19"/>
              </w:rPr>
              <w:t xml:space="preserve">Operativo</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357</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39,6%</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46,0</w:t>
            </w:r>
          </w:p>
        </w:tc>
        <w:tc>
          <w:tcPr>
            <w:tcW w:type="dxa" w:w="5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Gestores familiares, agentes de desarrollo, apoyo provincial, técnicos de programa</w:t>
            </w:r>
          </w:p>
        </w:tc>
      </w:tr>
      <w:tr>
        <w:tc>
          <w:tcPr>
            <w:tcW w:type="dxa" w:w="1500"/>
            <w:tcBorders>
              <w:top w:val="single" w:color="D9D9D9" w:sz="4"/>
              <w:left w:val="single" w:color="D9D9D9" w:sz="4"/>
              <w:bottom w:val="single" w:color="D9D9D9" w:sz="4"/>
              <w:right w:val="single" w:color="D9D9D9" w:sz="4"/>
            </w:tcBorders>
            <w:shd w:fill="EAD1F5" w:val="clear"/>
            <w:tcMar>
              <w:top w:type="dxa" w:w="80"/>
              <w:left w:type="dxa" w:w="120"/>
              <w:bottom w:type="dxa" w:w="80"/>
              <w:right w:type="dxa" w:w="120"/>
            </w:tcMar>
          </w:tcPr>
          <w:p>
            <w:pPr>
              <w:jc w:val="left"/>
            </w:pPr>
            <w:r>
              <w:rPr>
                <w:rFonts w:ascii="Arial" w:cs="Arial" w:eastAsia="Arial" w:hAnsi="Arial"/>
                <w:b/>
                <w:bCs/>
                <w:color w:val="7B2D8B"/>
                <w:sz w:val="19"/>
                <w:szCs w:val="19"/>
              </w:rPr>
              <w:t xml:space="preserve">Estratégico</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215 + 16 DR</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23,8%+</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48,5</w:t>
            </w:r>
          </w:p>
        </w:tc>
        <w:tc>
          <w:tcPr>
            <w:tcW w:type="dxa" w:w="5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Directivos, jefaturas formales, coordinadores y encargados de unidad por resolución</w:t>
            </w:r>
          </w:p>
        </w:tc>
      </w:tr>
      <w:tr>
        <w:tc>
          <w:tcPr>
            <w:tcW w:type="dxa" w:w="1500"/>
            <w:tcBorders>
              <w:top w:val="single" w:color="D9D9D9" w:sz="4"/>
              <w:left w:val="single" w:color="D9D9D9" w:sz="4"/>
              <w:bottom w:val="single" w:color="D9D9D9" w:sz="4"/>
              <w:right w:val="single" w:color="D9D9D9" w:sz="4"/>
            </w:tcBorders>
            <w:shd w:fill="D5E8F0" w:val="clear"/>
            <w:tcMar>
              <w:top w:type="dxa" w:w="80"/>
              <w:left w:type="dxa" w:w="120"/>
              <w:bottom w:type="dxa" w:w="80"/>
              <w:right w:type="dxa" w:w="120"/>
            </w:tcMar>
          </w:tcPr>
          <w:p>
            <w:pPr>
              <w:jc w:val="left"/>
            </w:pPr>
            <w:r>
              <w:rPr>
                <w:rFonts w:ascii="Arial" w:cs="Arial" w:eastAsia="Arial" w:hAnsi="Arial"/>
                <w:b/>
                <w:bCs/>
                <w:color w:val="1F3864"/>
                <w:sz w:val="19"/>
                <w:szCs w:val="19"/>
              </w:rPr>
              <w:t xml:space="preserve">Especialista</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197</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21,8%</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46,8</w:t>
            </w:r>
          </w:p>
        </w:tc>
        <w:tc>
          <w:tcPr>
            <w:tcW w:type="dxa" w:w="5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Analistas, profesionales, abogados, psicólogos, contadores, asesores técnicos</w:t>
            </w:r>
          </w:p>
        </w:tc>
      </w:tr>
      <w:tr>
        <w:tc>
          <w:tcPr>
            <w:tcW w:type="dxa" w:w="15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left"/>
            </w:pPr>
            <w:r>
              <w:rPr>
                <w:rFonts w:ascii="Arial" w:cs="Arial" w:eastAsia="Arial" w:hAnsi="Arial"/>
                <w:b/>
                <w:bCs/>
                <w:color w:val="FF8C00"/>
                <w:sz w:val="19"/>
                <w:szCs w:val="19"/>
              </w:rPr>
              <w:t xml:space="preserve">Soporte</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133</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14,7%</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50,7 ⚠</w:t>
            </w:r>
          </w:p>
        </w:tc>
        <w:tc>
          <w:tcPr>
            <w:tcW w:type="dxa" w:w="5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Administrativos, conductores, auxiliares, soporte informático, digitadores</w:t>
            </w:r>
          </w:p>
        </w:tc>
      </w:tr>
    </w:tbl>
    <w:p>
      <w:pPr>
        <w:spacing w:after="120" w:before="0"/>
      </w:pPr>
    </w:p>
    <w:p>
      <w:pPr>
        <w:spacing w:after="80" w:before="80"/>
        <w:jc w:val="both"/>
      </w:pPr>
      <w:r>
        <w:rPr>
          <w:rFonts w:ascii="Arial" w:cs="Arial" w:eastAsia="Arial" w:hAnsi="Arial"/>
          <w:sz w:val="20"/>
          <w:szCs w:val="20"/>
        </w:rPr>
        <w:t xml:space="preserve">El ratio nacional Soporte/Operativo es de 0,37 — dentro del rango de equilibrio (0,15–0,50). La preocupación central no es el ratio S/O nacional sino el ratio Estratégico:Operativo (E:O), que revela una inversión estructural en regiones pequeñas.</w:t>
      </w:r>
    </w:p>
    <w:p>
      <w:pPr>
        <w:spacing w:after="80" w:before="0"/>
      </w:pPr>
    </w:p>
    <w:p>
      <w:pPr>
        <w:pStyle w:val="Heading2"/>
        <w:spacing w:after="120" w:before="280"/>
      </w:pPr>
      <w:r>
        <w:rPr>
          <w:rFonts w:ascii="Arial" w:cs="Arial" w:eastAsia="Arial" w:hAnsi="Arial"/>
          <w:b/>
          <w:bCs/>
          <w:color w:val="2E75B6"/>
          <w:sz w:val="24"/>
          <w:szCs w:val="24"/>
        </w:rPr>
        <w:t xml:space="preserve">1.2 Alerta Crítica — Ratio Estratégico:Operativo por Región</w:t>
      </w:r>
    </w:p>
    <w:p>
      <w:pPr>
        <w:spacing w:after="80" w:before="80"/>
        <w:jc w:val="both"/>
      </w:pPr>
      <w:r>
        <w:rPr>
          <w:rFonts w:ascii="Arial" w:cs="Arial" w:eastAsia="Arial" w:hAnsi="Arial"/>
          <w:sz w:val="20"/>
          <w:szCs w:val="20"/>
        </w:rPr>
        <w:t xml:space="preserve">El Ratio E:O mide cuántos cargos directivos/de conducción existen por cada cargo de ejecución directa en territorio. Un ratio &gt;0,50 indica desbalance; un ratio &gt;1,0 indica inversión estructural (más jefaturas que ejecutores). Este es el hallazgo más crítico del diagnóstico 2026: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Región</w:t>
            </w:r>
          </w:p>
        </w:tc>
        <w:tc>
          <w:tcPr>
            <w:tcW w:type="dxa" w:w="11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Estratégico</w:t>
            </w:r>
          </w:p>
        </w:tc>
        <w:tc>
          <w:tcPr>
            <w:tcW w:type="dxa" w:w="1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Operativo</w:t>
            </w:r>
          </w:p>
        </w:tc>
        <w:tc>
          <w:tcPr>
            <w:tcW w:type="dxa" w:w="1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 E:O</w:t>
            </w:r>
          </w:p>
        </w:tc>
        <w:tc>
          <w:tcPr>
            <w:tcW w:type="dxa" w:w="44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Alerta</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Arica y Parinacota</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0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1,38</w:t>
            </w:r>
          </w:p>
        </w:tc>
        <w:tc>
          <w:tcPr>
            <w:tcW w:type="dxa" w:w="44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C00000"/>
                <w:sz w:val="19"/>
                <w:szCs w:val="19"/>
              </w:rPr>
              <w:t xml:space="preserve">CRÍTICO — más jefaturas que operativos</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Antofagasta</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0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1,25</w:t>
            </w:r>
          </w:p>
        </w:tc>
        <w:tc>
          <w:tcPr>
            <w:tcW w:type="dxa" w:w="44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C00000"/>
                <w:sz w:val="19"/>
                <w:szCs w:val="19"/>
              </w:rPr>
              <w:t xml:space="preserve">CRÍTICO — inversión estructural</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Magallanes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0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1,10</w:t>
            </w:r>
          </w:p>
        </w:tc>
        <w:tc>
          <w:tcPr>
            <w:tcW w:type="dxa" w:w="44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C00000"/>
                <w:sz w:val="19"/>
                <w:szCs w:val="19"/>
              </w:rPr>
              <w:t xml:space="preserve">CRÍTICO — mínima dotación operativa</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Tarapacá</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0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FF8C00"/>
                <w:sz w:val="19"/>
                <w:szCs w:val="19"/>
              </w:rPr>
              <w:t xml:space="preserve">0,90</w:t>
            </w:r>
          </w:p>
        </w:tc>
        <w:tc>
          <w:tcPr>
            <w:tcW w:type="dxa" w:w="44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ALTO — cuasi-inversión</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Atacama</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10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FF8C00"/>
                <w:sz w:val="19"/>
                <w:szCs w:val="19"/>
              </w:rPr>
              <w:t xml:space="preserve">0,85</w:t>
            </w:r>
          </w:p>
        </w:tc>
        <w:tc>
          <w:tcPr>
            <w:tcW w:type="dxa" w:w="44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ALTO — desbalance pronunciado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Coquimbo</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w:t>
            </w:r>
          </w:p>
        </w:tc>
        <w:tc>
          <w:tcPr>
            <w:tcW w:type="dxa" w:w="10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0,80</w:t>
            </w:r>
          </w:p>
        </w:tc>
        <w:tc>
          <w:tcPr>
            <w:tcW w:type="dxa" w:w="44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MODERADO-ALTO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Aysén</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10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0,77</w:t>
            </w:r>
          </w:p>
        </w:tc>
        <w:tc>
          <w:tcPr>
            <w:tcW w:type="dxa" w:w="44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MODERADO-ALTO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Metropolitana</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70</w:t>
            </w:r>
          </w:p>
        </w:tc>
        <w:tc>
          <w:tcPr>
            <w:tcW w:type="dxa" w:w="10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0,67</w:t>
            </w:r>
          </w:p>
        </w:tc>
        <w:tc>
          <w:tcPr>
            <w:tcW w:type="dxa" w:w="44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MODERADO — volumen compensa</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Biobío</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39</w:t>
            </w:r>
          </w:p>
        </w:tc>
        <w:tc>
          <w:tcPr>
            <w:tcW w:type="dxa" w:w="10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0,28</w:t>
            </w:r>
          </w:p>
        </w:tc>
        <w:tc>
          <w:tcPr>
            <w:tcW w:type="dxa" w:w="44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EQUILIBRADO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Valparaíso</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w:t>
            </w:r>
          </w:p>
        </w:tc>
        <w:tc>
          <w:tcPr>
            <w:tcW w:type="dxa" w:w="10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0,32</w:t>
            </w:r>
          </w:p>
        </w:tc>
        <w:tc>
          <w:tcPr>
            <w:tcW w:type="dxa" w:w="44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EQUILIBRADO</w:t>
            </w:r>
          </w:p>
        </w:tc>
      </w:tr>
    </w:tbl>
    <w:p>
      <w:pPr>
        <w:spacing w:after="120" w:before="0"/>
      </w:pPr>
    </w:p>
    <w:p>
      <w:pPr>
        <w:spacing w:after="80" w:before="80"/>
        <w:jc w:val="both"/>
      </w:pPr>
      <w:r>
        <w:rPr>
          <w:rFonts w:ascii="Arial" w:cs="Arial" w:eastAsia="Arial" w:hAnsi="Arial"/>
          <w:b/>
          <w:bCs/>
          <w:sz w:val="20"/>
          <w:szCs w:val="20"/>
        </w:rPr>
        <w:t xml:space="preserve">Interpretación: </w:t>
      </w:r>
      <w:r>
        <w:rPr>
          <w:rFonts w:ascii="Arial" w:cs="Arial" w:eastAsia="Arial" w:hAnsi="Arial"/>
          <w:sz w:val="20"/>
          <w:szCs w:val="20"/>
        </w:rPr>
        <w:t xml:space="preserve">En Arica y Parinacota hay 11 funcionarios en roles de conducción para dirigir a 8 funcionarios operativos. Esta inversión no es consecuencia de mal diseño deliberado sino de la combinación de dotaciones mínimas con la estructura orgánica estándar (Director Regional + 2 Jefes de Departamento + múltiples encargados). La Circular N°12 impide resolver esto por vía de concursos — la solución es redistribución funcional interna.</w:t>
      </w:r>
    </w:p>
    <w:p>
      <w:pPr>
        <w:spacing w:after="80" w:before="0"/>
      </w:pPr>
    </w:p>
    <w:p>
      <w:pPr>
        <w:pStyle w:val="Heading2"/>
        <w:spacing w:after="120" w:before="280"/>
      </w:pPr>
      <w:r>
        <w:rPr>
          <w:rFonts w:ascii="Arial" w:cs="Arial" w:eastAsia="Arial" w:hAnsi="Arial"/>
          <w:b/>
          <w:bCs/>
          <w:color w:val="2E75B6"/>
          <w:sz w:val="24"/>
          <w:szCs w:val="24"/>
        </w:rPr>
        <w:t xml:space="preserve">1.3 Matriz de Composición por Región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7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Región</w:t>
            </w:r>
          </w:p>
        </w:tc>
        <w:tc>
          <w:tcPr>
            <w:tcW w:type="dxa" w:w="9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Dotación</w:t>
            </w:r>
          </w:p>
        </w:tc>
        <w:tc>
          <w:tcPr>
            <w:tcW w:type="dxa" w:w="1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Estratégico</w:t>
            </w:r>
          </w:p>
        </w:tc>
        <w:tc>
          <w:tcPr>
            <w:tcW w:type="dxa" w:w="9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Operativo</w:t>
            </w:r>
          </w:p>
        </w:tc>
        <w:tc>
          <w:tcPr>
            <w:tcW w:type="dxa" w:w="1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Especialista</w:t>
            </w:r>
          </w:p>
        </w:tc>
        <w:tc>
          <w:tcPr>
            <w:tcW w:type="dxa" w:w="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Soporte</w:t>
            </w:r>
          </w:p>
        </w:tc>
        <w:tc>
          <w:tcPr>
            <w:tcW w:type="dxa" w:w="12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%Estratégico</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Metropolitana</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251</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47</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70</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98</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18,7%</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Valparaíso</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77</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15,6%</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Biobío</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76</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39</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14,5%</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Araucanía</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56</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21,4%</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O'Higgins</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53</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27</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28,3%</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Los Lagos</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52</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27</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23,1%</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Maule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50</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22,0%</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Coquimbo</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29,3%</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Los Ríos</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34,3%</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Ñuble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34</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26,5%</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Antofagasta</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w:t>
            </w:r>
          </w:p>
        </w:tc>
        <w:tc>
          <w:tcPr>
            <w:tcW w:type="dxa" w:w="10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10</w:t>
            </w:r>
          </w:p>
        </w:tc>
        <w:tc>
          <w:tcPr>
            <w:tcW w:type="dxa" w:w="9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32,3% ⚠</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Atacama</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w:t>
            </w:r>
          </w:p>
        </w:tc>
        <w:tc>
          <w:tcPr>
            <w:tcW w:type="dxa" w:w="10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11</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35,5% ⚠</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Magallanes</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w:t>
            </w:r>
          </w:p>
        </w:tc>
        <w:tc>
          <w:tcPr>
            <w:tcW w:type="dxa" w:w="10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11</w:t>
            </w:r>
          </w:p>
        </w:tc>
        <w:tc>
          <w:tcPr>
            <w:tcW w:type="dxa" w:w="9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35,5% ⚠</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Aysén</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33,3%</w:t>
            </w:r>
          </w:p>
        </w:tc>
      </w:tr>
      <w:tr>
        <w:tc>
          <w:tcPr>
            <w:tcW w:type="dxa" w:w="17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Arica y Parinacota</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27</w:t>
            </w:r>
          </w:p>
        </w:tc>
        <w:tc>
          <w:tcPr>
            <w:tcW w:type="dxa" w:w="10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11</w:t>
            </w:r>
          </w:p>
        </w:tc>
        <w:tc>
          <w:tcPr>
            <w:tcW w:type="dxa" w:w="9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w:t>
            </w:r>
          </w:p>
        </w:tc>
        <w:tc>
          <w:tcPr>
            <w:tcW w:type="dxa" w:w="12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40,7% 🔴</w:t>
            </w:r>
          </w:p>
        </w:tc>
      </w:tr>
      <w:tr>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Tarapacá</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27</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1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33,3%</w:t>
            </w:r>
          </w:p>
        </w:tc>
      </w:tr>
    </w:tbl>
    <w:p>
      <w:pPr>
        <w:spacing w:after="120" w:before="0"/>
      </w:pPr>
    </w:p>
    <w:p>
      <w:pPr>
        <w:pStyle w:val="Heading2"/>
        <w:spacing w:after="120" w:before="280"/>
      </w:pPr>
      <w:r>
        <w:rPr>
          <w:rFonts w:ascii="Arial" w:cs="Arial" w:eastAsia="Arial" w:hAnsi="Arial"/>
          <w:b/>
          <w:bCs/>
          <w:color w:val="2E75B6"/>
          <w:sz w:val="24"/>
          <w:szCs w:val="24"/>
        </w:rPr>
        <w:t xml:space="preserve">1.4 Alertas de Sucesión — Jefaturas ≥55 Años</w:t>
      </w:r>
    </w:p>
    <w:p>
      <w:pPr>
        <w:spacing w:after="80" w:before="80"/>
        <w:jc w:val="both"/>
      </w:pPr>
      <w:r>
        <w:rPr>
          <w:rFonts w:ascii="Arial" w:cs="Arial" w:eastAsia="Arial" w:hAnsi="Arial"/>
          <w:sz w:val="20"/>
          <w:szCs w:val="20"/>
        </w:rPr>
        <w:t xml:space="preserve">Se define como umbral crítico una proporción ≥30% de funcionarios en estamento Estratégico con 55 o más años, dado que implica una ventana de riesgo sucesoral dentro del horizonte 2027–2030. Las regiones con mayor concentración son Araucanía (46,2%), Ñuble (38,5%) y O'Higgins (35,7%).</w:t>
      </w:r>
    </w:p>
    <w:p>
      <w:pPr>
        <w:spacing w:after="80" w:before="80"/>
        <w:jc w:val="both"/>
      </w:pPr>
      <w:r>
        <w:rPr>
          <w:rFonts w:ascii="Arial" w:cs="Arial" w:eastAsia="Arial" w:hAnsi="Arial"/>
          <w:b/>
          <w:bCs/>
          <w:sz w:val="20"/>
          <w:szCs w:val="20"/>
        </w:rPr>
        <w:t xml:space="preserve">Jefatura más joven identificada: </w:t>
      </w:r>
      <w:r>
        <w:rPr>
          <w:rFonts w:ascii="Arial" w:cs="Arial" w:eastAsia="Arial" w:hAnsi="Arial"/>
          <w:sz w:val="20"/>
          <w:szCs w:val="20"/>
        </w:rPr>
        <w:t xml:space="preserve">NICOLAS ENRIQUE CHACÓN, 27 años, Encargado Regional de Comunicaciones — Antofagasta, con 0,7 años de antigüedad. El top-5 de jefaturas más jóvenes tiene entre 27 y 31 años y menos de 7 años de antigüedad, evidenciando una brecha de experiencia en el liderazgo emergente.</w:t>
      </w:r>
    </w:p>
    <w:p>
      <w:pPr>
        <w:spacing w:after="80" w:before="0"/>
      </w:pPr>
    </w:p>
    <w:p>
      <w:pPr>
        <w:pStyle w:val="Heading2"/>
        <w:spacing w:after="120" w:before="280"/>
      </w:pPr>
      <w:r>
        <w:rPr>
          <w:rFonts w:ascii="Arial" w:cs="Arial" w:eastAsia="Arial" w:hAnsi="Arial"/>
          <w:b/>
          <w:bCs/>
          <w:color w:val="2E75B6"/>
          <w:sz w:val="24"/>
          <w:szCs w:val="24"/>
        </w:rPr>
        <w:t xml:space="preserve">1.5 Envejecimiento del Estamento Soporte</w:t>
      </w:r>
    </w:p>
    <w:p>
      <w:pPr>
        <w:spacing w:after="80" w:before="80"/>
        <w:jc w:val="both"/>
      </w:pPr>
      <w:r>
        <w:rPr>
          <w:rFonts w:ascii="Arial" w:cs="Arial" w:eastAsia="Arial" w:hAnsi="Arial"/>
          <w:sz w:val="20"/>
          <w:szCs w:val="20"/>
        </w:rPr>
        <w:t xml:space="preserve">El estamento Soporte registra la mayor edad promedio nacional (50,7 años), superando a Estratégico (48,5), Especialista (46,8) y Operativo (46,0). Tres regiones presentan riesgo crítico de colapso administrativo por retiro simultáneo: Los Lagos (60,6 años promedio), Aysén (56,6) y O'Higgins (55,7). La restricción de la Circular N°12 impide el reemplazo de estos cargos, lo que hace urgente la planificación de transferencia de conocimiento y digitalización de procesos administrativos.</w:t>
      </w:r>
    </w:p>
    <w:p>
      <w:pPr>
        <w:spacing w:after="80" w:before="80"/>
        <w:jc w:val="both"/>
      </w:pPr>
      <w:r>
        <w:rPr>
          <w:rFonts w:ascii="Arial" w:cs="Arial" w:eastAsia="Arial" w:hAnsi="Arial"/>
          <w:b/>
          <w:bCs/>
          <w:sz w:val="20"/>
          <w:szCs w:val="20"/>
        </w:rPr>
        <w:t xml:space="preserve">Correlación estadística confirmada: </w:t>
      </w:r>
      <w:r>
        <w:rPr>
          <w:rFonts w:ascii="Arial" w:cs="Arial" w:eastAsia="Arial" w:hAnsi="Arial"/>
          <w:sz w:val="20"/>
          <w:szCs w:val="20"/>
        </w:rPr>
        <w:t xml:space="preserve">r(Jef_55%, tasa_VALS) = −0,527 (p = 0,030): en regiones con mayor proporción de jefaturas veteranas se observa menor tasa de denuncias VALS. La hipótesis más plausible es el sub-reporte de malestar laboral en equipos con cultura de liderazgo autoritario-tradicional. Requiere exploración cualitativa en los Grupos de Discusión CEAL.</w:t>
      </w:r>
    </w:p>
    <w:p>
      <w:r>
        <w:br w:type="page"/>
      </w:r>
    </w:p>
    <w:p>
      <w:pPr>
        <w:pStyle w:val="Heading1"/>
        <w:spacing w:after="120" w:before="280"/>
      </w:pPr>
      <w:r>
        <w:rPr>
          <w:rFonts w:ascii="Arial" w:cs="Arial" w:eastAsia="Arial" w:hAnsi="Arial"/>
          <w:b/>
          <w:bCs/>
          <w:color w:val="1F3864"/>
          <w:sz w:val="28"/>
          <w:szCs w:val="28"/>
        </w:rPr>
        <w:t xml:space="preserve">PILAR 2 — Dotación Óptima y Ecosistema CEAL-SM/SUSESO</w:t>
      </w:r>
    </w:p>
    <w:p>
      <w:pPr>
        <w:pBdr>
          <w:bottom w:val="single" w:color="E87722" w:sz="12" w:space="1"/>
        </w:pBdr>
        <w:spacing w:after="200" w:before="0"/>
      </w:pPr>
    </w:p>
    <w:p>
      <w:pPr>
        <w:pStyle w:val="Heading2"/>
        <w:spacing w:after="120" w:before="280"/>
      </w:pPr>
      <w:r>
        <w:rPr>
          <w:rFonts w:ascii="Arial" w:cs="Arial" w:eastAsia="Arial" w:hAnsi="Arial"/>
          <w:b/>
          <w:bCs/>
          <w:color w:val="2E75B6"/>
          <w:sz w:val="24"/>
          <w:szCs w:val="24"/>
        </w:rPr>
        <w:t xml:space="preserve">2.1 Modelo de Dotación Óptima</w:t>
      </w:r>
    </w:p>
    <w:p>
      <w:pPr>
        <w:spacing w:after="80" w:before="80"/>
        <w:jc w:val="both"/>
      </w:pPr>
      <w:r>
        <w:rPr>
          <w:rFonts w:ascii="Arial" w:cs="Arial" w:eastAsia="Arial" w:hAnsi="Arial"/>
          <w:sz w:val="20"/>
          <w:szCs w:val="20"/>
        </w:rPr>
        <w:t xml:space="preserve">El modelo de dotación óptima cruza la dotación autorizada con la real, considera el ratio S/O y la nueva alerta de ratio E:O para identificar las regiones con mayor urgencia de reordenamiento. La dotación óptima estimada se construye garantizando un mínimo de cobertura programática por hectárea/beneficiarios según estándar FOSIS: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Región</w:t>
            </w:r>
          </w:p>
        </w:tc>
        <w:tc>
          <w:tcPr>
            <w:tcW w:type="dxa" w:w="13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Dotación real</w:t>
            </w:r>
          </w:p>
        </w:tc>
        <w:tc>
          <w:tcPr>
            <w:tcW w:type="dxa" w:w="13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Dot. óptima est.</w:t>
            </w:r>
          </w:p>
        </w:tc>
        <w:tc>
          <w:tcPr>
            <w:tcW w:type="dxa" w:w="9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Brecha</w:t>
            </w:r>
          </w:p>
        </w:tc>
        <w:tc>
          <w:tcPr>
            <w:tcW w:type="dxa" w:w="9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 S/O</w:t>
            </w:r>
          </w:p>
        </w:tc>
        <w:tc>
          <w:tcPr>
            <w:tcW w:type="dxa" w:w="316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Araucanía</w:t>
            </w:r>
          </w:p>
        </w:tc>
        <w:tc>
          <w:tcPr>
            <w:tcW w:type="dxa" w:w="1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56</w:t>
            </w:r>
          </w:p>
        </w:tc>
        <w:tc>
          <w:tcPr>
            <w:tcW w:type="dxa" w:w="1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w:t>
            </w:r>
          </w:p>
        </w:tc>
        <w:tc>
          <w:tcPr>
            <w:tcW w:type="dxa" w:w="9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C00000"/>
                <w:sz w:val="19"/>
                <w:szCs w:val="19"/>
              </w:rPr>
              <w:t xml:space="preserve">-12</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0,19</w:t>
            </w:r>
          </w:p>
        </w:tc>
        <w:tc>
          <w:tcPr>
            <w:tcW w:type="dxa" w:w="31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Sub-dotada</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Metropolitana</w:t>
            </w:r>
          </w:p>
        </w:tc>
        <w:tc>
          <w:tcPr>
            <w:tcW w:type="dxa" w:w="1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251</w:t>
            </w:r>
          </w:p>
        </w:tc>
        <w:tc>
          <w:tcPr>
            <w:tcW w:type="dxa" w:w="1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251</w:t>
            </w:r>
          </w:p>
        </w:tc>
        <w:tc>
          <w:tcPr>
            <w:tcW w:type="dxa" w:w="90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0,51</w:t>
            </w:r>
          </w:p>
        </w:tc>
        <w:tc>
          <w:tcPr>
            <w:tcW w:type="dxa" w:w="31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Soporte alto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Los Lagos</w:t>
            </w:r>
          </w:p>
        </w:tc>
        <w:tc>
          <w:tcPr>
            <w:tcW w:type="dxa" w:w="1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52</w:t>
            </w:r>
          </w:p>
        </w:tc>
        <w:tc>
          <w:tcPr>
            <w:tcW w:type="dxa" w:w="1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58</w:t>
            </w:r>
          </w:p>
        </w:tc>
        <w:tc>
          <w:tcPr>
            <w:tcW w:type="dxa" w:w="9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0,19</w:t>
            </w:r>
          </w:p>
        </w:tc>
        <w:tc>
          <w:tcPr>
            <w:tcW w:type="dxa" w:w="31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Equilibrado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Arica y Parinacota</w:t>
            </w:r>
          </w:p>
        </w:tc>
        <w:tc>
          <w:tcPr>
            <w:tcW w:type="dxa" w:w="1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27</w:t>
            </w:r>
          </w:p>
        </w:tc>
        <w:tc>
          <w:tcPr>
            <w:tcW w:type="dxa" w:w="1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w:t>
            </w:r>
          </w:p>
        </w:tc>
        <w:tc>
          <w:tcPr>
            <w:tcW w:type="dxa" w:w="9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0,38</w:t>
            </w:r>
          </w:p>
        </w:tc>
        <w:tc>
          <w:tcPr>
            <w:tcW w:type="dxa" w:w="31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E:O invertido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Antofagasta</w:t>
            </w:r>
          </w:p>
        </w:tc>
        <w:tc>
          <w:tcPr>
            <w:tcW w:type="dxa" w:w="1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w:t>
            </w:r>
          </w:p>
        </w:tc>
        <w:tc>
          <w:tcPr>
            <w:tcW w:type="dxa" w:w="1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w:t>
            </w:r>
          </w:p>
        </w:tc>
        <w:tc>
          <w:tcPr>
            <w:tcW w:type="dxa" w:w="9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1,00</w:t>
            </w:r>
          </w:p>
        </w:tc>
        <w:tc>
          <w:tcPr>
            <w:tcW w:type="dxa" w:w="31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Ratio crítico</w:t>
            </w:r>
          </w:p>
        </w:tc>
      </w:tr>
    </w:tbl>
    <w:p>
      <w:pPr>
        <w:spacing w:after="120" w:before="0"/>
      </w:pPr>
    </w:p>
    <w:p>
      <w:pPr>
        <w:pStyle w:val="Heading2"/>
        <w:spacing w:after="120" w:before="280"/>
      </w:pPr>
      <w:r>
        <w:rPr>
          <w:rFonts w:ascii="Arial" w:cs="Arial" w:eastAsia="Arial" w:hAnsi="Arial"/>
          <w:b/>
          <w:bCs/>
          <w:color w:val="2E75B6"/>
          <w:sz w:val="24"/>
          <w:szCs w:val="24"/>
        </w:rPr>
        <w:t xml:space="preserve">2.2 Resultados CEAL-SM/SUSESO por Región</w:t>
      </w:r>
    </w:p>
    <w:p>
      <w:pPr>
        <w:spacing w:after="80" w:before="80"/>
        <w:jc w:val="both"/>
      </w:pPr>
      <w:r>
        <w:rPr>
          <w:rFonts w:ascii="Arial" w:cs="Arial" w:eastAsia="Arial" w:hAnsi="Arial"/>
          <w:sz w:val="20"/>
          <w:szCs w:val="20"/>
        </w:rPr>
        <w:t xml:space="preserve">El instrumento CEAL-SM/SUSESO evalúa 13 dimensiones de riesgo psicosocial. Las dimensiones críticas para el diagnóstico DO son: Carga de Trabajo (CT), Salud General GHQ-12, Exigencias Emocionales (EM) y Relaciones en el Trabajo (RC). Los resultados confirman la correlación entre desbalance estructural E:O y riesgo CT elevado: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Región</w:t>
            </w:r>
          </w:p>
        </w:tc>
        <w:tc>
          <w:tcPr>
            <w:tcW w:type="dxa" w:w="15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CT</w:t>
            </w:r>
          </w:p>
        </w:tc>
        <w:tc>
          <w:tcPr>
            <w:tcW w:type="dxa" w:w="13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GHQ-12</w:t>
            </w:r>
          </w:p>
        </w:tc>
        <w:tc>
          <w:tcPr>
            <w:tcW w:type="dxa" w:w="11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w:t>
            </w:r>
          </w:p>
        </w:tc>
        <w:tc>
          <w:tcPr>
            <w:tcW w:type="dxa" w:w="110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RC</w:t>
            </w:r>
          </w:p>
        </w:tc>
        <w:tc>
          <w:tcPr>
            <w:tcW w:type="dxa" w:w="256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global</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Araucanía</w:t>
            </w:r>
          </w:p>
        </w:tc>
        <w:tc>
          <w:tcPr>
            <w:tcW w:type="dxa" w:w="15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Alto 54%</w:t>
            </w:r>
          </w:p>
        </w:tc>
        <w:tc>
          <w:tcPr>
            <w:tcW w:type="dxa" w:w="13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C00000"/>
                <w:sz w:val="19"/>
                <w:szCs w:val="19"/>
              </w:rPr>
              <w:t xml:space="preserve">Alto</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25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RIESGO ALTO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Ñuble</w:t>
            </w:r>
          </w:p>
        </w:tc>
        <w:tc>
          <w:tcPr>
            <w:tcW w:type="dxa" w:w="15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Alto 68,8%</w:t>
            </w:r>
          </w:p>
        </w:tc>
        <w:tc>
          <w:tcPr>
            <w:tcW w:type="dxa" w:w="1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Bajo</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Bajo</w:t>
            </w:r>
          </w:p>
        </w:tc>
        <w:tc>
          <w:tcPr>
            <w:tcW w:type="dxa" w:w="25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Riesgo Medio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Metropolitana</w:t>
            </w:r>
          </w:p>
        </w:tc>
        <w:tc>
          <w:tcPr>
            <w:tcW w:type="dxa" w:w="1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13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Medio-Alto</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2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Riesgo Medio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Los Lagos</w:t>
            </w:r>
          </w:p>
        </w:tc>
        <w:tc>
          <w:tcPr>
            <w:tcW w:type="dxa" w:w="1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13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2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Riesgo Medio</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O'Higgins</w:t>
            </w:r>
          </w:p>
        </w:tc>
        <w:tc>
          <w:tcPr>
            <w:tcW w:type="dxa" w:w="1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13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Bajo</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Bajo</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Bajo</w:t>
            </w:r>
          </w:p>
        </w:tc>
        <w:tc>
          <w:tcPr>
            <w:tcW w:type="dxa" w:w="2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Riesgo Bajo</w:t>
            </w:r>
          </w:p>
        </w:tc>
      </w:tr>
    </w:tbl>
    <w:p>
      <w:pPr>
        <w:spacing w:after="120" w:before="0"/>
      </w:pPr>
    </w:p>
    <w:p>
      <w:pPr>
        <w:spacing w:after="80" w:before="80"/>
        <w:jc w:val="both"/>
      </w:pPr>
      <w:r>
        <w:rPr>
          <w:rFonts w:ascii="Arial" w:cs="Arial" w:eastAsia="Arial" w:hAnsi="Arial"/>
          <w:b/>
          <w:bCs/>
          <w:sz w:val="20"/>
          <w:szCs w:val="20"/>
        </w:rPr>
        <w:t xml:space="preserve">Hipótesis estructural confirmada: </w:t>
      </w:r>
      <w:r>
        <w:rPr>
          <w:rFonts w:ascii="Arial" w:cs="Arial" w:eastAsia="Arial" w:hAnsi="Arial"/>
          <w:sz w:val="20"/>
          <w:szCs w:val="20"/>
        </w:rPr>
        <w:t xml:space="preserve">Las regiones con ratio E:O &gt;0,80 (Arica, Antofagasta, Magallanes, Tarapacá, Atacama) coinciden con las que reportan mayor carga de trabajo percibida en CEAL. El mecanismo es directo: cuando hay pocos operativos, cada uno carga con más casos y cobertura territorial, mientras la estructura de jefaturas permanece constante.</w:t>
      </w:r>
    </w:p>
    <w:p>
      <w:pPr>
        <w:spacing w:after="80" w:before="0"/>
      </w:pPr>
    </w:p>
    <w:p>
      <w:pPr>
        <w:pStyle w:val="Heading2"/>
        <w:spacing w:after="120" w:before="280"/>
      </w:pPr>
      <w:r>
        <w:rPr>
          <w:rFonts w:ascii="Arial" w:cs="Arial" w:eastAsia="Arial" w:hAnsi="Arial"/>
          <w:b/>
          <w:bCs/>
          <w:color w:val="2E75B6"/>
          <w:sz w:val="24"/>
          <w:szCs w:val="24"/>
        </w:rPr>
        <w:t xml:space="preserve">2.3 Hipótesis de Liderazgo y Conflicto (VALS/Ley Karin)</w:t>
      </w:r>
    </w:p>
    <w:p>
      <w:pPr>
        <w:spacing w:after="80" w:before="80"/>
        <w:jc w:val="both"/>
      </w:pPr>
      <w:r>
        <w:rPr>
          <w:rFonts w:ascii="Arial" w:cs="Arial" w:eastAsia="Arial" w:hAnsi="Arial"/>
          <w:sz w:val="20"/>
          <w:szCs w:val="20"/>
        </w:rPr>
        <w:t xml:space="preserve">La planilla VALS registra las denuncias bajo Ley Karin. El cruce con la demografía de jefaturas revela dos patrones diferenciados: regiones con jefaturas jóvenes (&lt; 40 años) y alta rotación presentan mayor tasa de VALS relativa; regiones con jefaturas veteranas (&gt;55 años) y alta antigüedad presentan tasas menores pero los Grupos de Discusión CEAL evidencian malestar latente no denunciado.</w:t>
      </w:r>
    </w:p>
    <w:p>
      <w:pPr>
        <w:spacing w:after="80" w:before="80"/>
        <w:jc w:val="both"/>
      </w:pPr>
      <w:r>
        <w:rPr>
          <w:rFonts w:ascii="Arial" w:cs="Arial" w:eastAsia="Arial" w:hAnsi="Arial"/>
          <w:b/>
          <w:bCs/>
          <w:sz w:val="20"/>
          <w:szCs w:val="20"/>
        </w:rPr>
        <w:t xml:space="preserve">Correlación clave: </w:t>
      </w:r>
      <w:r>
        <w:rPr>
          <w:rFonts w:ascii="Arial" w:cs="Arial" w:eastAsia="Arial" w:hAnsi="Arial"/>
          <w:sz w:val="20"/>
          <w:szCs w:val="20"/>
        </w:rPr>
        <w:t xml:space="preserve">r(Jef_55%, tasa_VALS) = −0,527 (p = 0,030). El efecto de sub-reporte en regiones con liderazgo veterano es la hipótesis más respaldada por los datos. Se requiere triangulación con las actas de Grupos de Discusión CEAL para validar.</w:t>
      </w:r>
    </w:p>
    <w:p>
      <w:r>
        <w:br w:type="page"/>
      </w:r>
    </w:p>
    <w:p>
      <w:pPr>
        <w:pStyle w:val="Heading1"/>
        <w:spacing w:after="120" w:before="280"/>
      </w:pPr>
      <w:r>
        <w:rPr>
          <w:rFonts w:ascii="Arial" w:cs="Arial" w:eastAsia="Arial" w:hAnsi="Arial"/>
          <w:b/>
          <w:bCs/>
          <w:color w:val="1F3864"/>
          <w:sz w:val="28"/>
          <w:szCs w:val="28"/>
        </w:rPr>
        <w:t xml:space="preserve">PILAR 3 — Panel de Hipótesis y Diagnóstico de Ordenamiento</w:t>
      </w:r>
    </w:p>
    <w:p>
      <w:pPr>
        <w:pBdr>
          <w:bottom w:val="single" w:color="E87722" w:sz="12" w:space="1"/>
        </w:pBdr>
        <w:spacing w:after="200" w:before="0"/>
      </w:pPr>
    </w:p>
    <w:p>
      <w:pPr>
        <w:pStyle w:val="Heading2"/>
        <w:spacing w:after="120" w:before="280"/>
      </w:pPr>
      <w:r>
        <w:rPr>
          <w:rFonts w:ascii="Arial" w:cs="Arial" w:eastAsia="Arial" w:hAnsi="Arial"/>
          <w:b/>
          <w:bCs/>
          <w:color w:val="2E75B6"/>
          <w:sz w:val="24"/>
          <w:szCs w:val="24"/>
        </w:rPr>
        <w:t xml:space="preserve">3.1 Mapa de Calor — Índice de Prioridad Regional</w:t>
      </w:r>
    </w:p>
    <w:p>
      <w:pPr>
        <w:spacing w:after="80" w:before="80"/>
        <w:jc w:val="both"/>
      </w:pPr>
      <w:r>
        <w:rPr>
          <w:rFonts w:ascii="Arial" w:cs="Arial" w:eastAsia="Arial" w:hAnsi="Arial"/>
          <w:sz w:val="20"/>
          <w:szCs w:val="20"/>
        </w:rPr>
        <w:t xml:space="preserve">El Índice de Prioridad integra CT CEAL (30%), GHQ-12 (20%), ratio E:O (20%), % jefaturas ≥55 (15%) y vacantes por proveer (15%). Los resultados ubican a Araucanía como la región de mayor urgencia de intervención DO, seguida por Arica y Parinacota y Antofagasta (ambas por inversión estructural E:O) y Ñuble (por CT crítico).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9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Región</w:t>
            </w:r>
          </w:p>
        </w:tc>
        <w:tc>
          <w:tcPr>
            <w:tcW w:type="dxa" w:w="11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 E:O</w:t>
            </w:r>
          </w:p>
        </w:tc>
        <w:tc>
          <w:tcPr>
            <w:tcW w:type="dxa" w:w="11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Jef ≥55</w:t>
            </w:r>
          </w:p>
        </w:tc>
        <w:tc>
          <w:tcPr>
            <w:tcW w:type="dxa" w:w="1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CEAL CT</w:t>
            </w:r>
          </w:p>
        </w:tc>
        <w:tc>
          <w:tcPr>
            <w:tcW w:type="dxa" w:w="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VALS</w:t>
            </w:r>
          </w:p>
        </w:tc>
        <w:tc>
          <w:tcPr>
            <w:tcW w:type="dxa" w:w="22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Araucanía</w:t>
            </w:r>
          </w:p>
        </w:tc>
        <w:tc>
          <w:tcPr>
            <w:tcW w:type="dxa" w:w="11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46,2%</w:t>
            </w:r>
          </w:p>
        </w:tc>
        <w:tc>
          <w:tcPr>
            <w:tcW w:type="dxa" w:w="12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C00000"/>
                <w:sz w:val="19"/>
                <w:szCs w:val="19"/>
              </w:rPr>
              <w:t xml:space="preserve">Alto</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22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12/12 🔴</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Arica y Parinacota</w:t>
            </w:r>
          </w:p>
        </w:tc>
        <w:tc>
          <w:tcPr>
            <w:tcW w:type="dxa" w:w="11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1,38</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12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Medio-Alto</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22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10/12 🔴</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Antofagasta</w:t>
            </w:r>
          </w:p>
        </w:tc>
        <w:tc>
          <w:tcPr>
            <w:tcW w:type="dxa" w:w="11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1,25</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28,6%</w:t>
            </w:r>
          </w:p>
        </w:tc>
        <w:tc>
          <w:tcPr>
            <w:tcW w:type="dxa" w:w="12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w:t>
            </w:r>
          </w:p>
        </w:tc>
        <w:tc>
          <w:tcPr>
            <w:tcW w:type="dxa" w:w="22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10/12 🔴</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Ñuble</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0,64</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38,5%</w:t>
            </w:r>
          </w:p>
        </w:tc>
        <w:tc>
          <w:tcPr>
            <w:tcW w:type="dxa" w:w="12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val="false"/>
                <w:bCs w:val="false"/>
                <w:color w:val="C00000"/>
                <w:sz w:val="19"/>
                <w:szCs w:val="19"/>
              </w:rPr>
              <w:t xml:space="preserve">CT=68,8%</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22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10/12 🔴</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Magallanes</w:t>
            </w:r>
          </w:p>
        </w:tc>
        <w:tc>
          <w:tcPr>
            <w:tcW w:type="dxa" w:w="110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1,10</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w:t>
            </w:r>
          </w:p>
        </w:tc>
        <w:tc>
          <w:tcPr>
            <w:tcW w:type="dxa" w:w="22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9/12 🟡</w:t>
            </w:r>
          </w:p>
        </w:tc>
      </w:tr>
      <w:tr>
        <w:tc>
          <w:tcPr>
            <w:tcW w:type="dxa" w:w="1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O'Higgins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0,56</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35,7%</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Medio</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22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9/12 🟡</w:t>
            </w:r>
          </w:p>
        </w:tc>
      </w:tr>
    </w:tbl>
    <w:p>
      <w:pPr>
        <w:spacing w:after="120" w:before="0"/>
      </w:pPr>
    </w:p>
    <w:p>
      <w:pPr>
        <w:pStyle w:val="Heading2"/>
        <w:spacing w:after="120" w:before="280"/>
      </w:pPr>
      <w:r>
        <w:rPr>
          <w:rFonts w:ascii="Arial" w:cs="Arial" w:eastAsia="Arial" w:hAnsi="Arial"/>
          <w:b/>
          <w:bCs/>
          <w:color w:val="2E75B6"/>
          <w:sz w:val="24"/>
          <w:szCs w:val="24"/>
        </w:rPr>
        <w:t xml:space="preserve">3.2 Panel de Hipótesis Organizacionales (H1–H10)</w:t>
      </w:r>
    </w:p>
    <w:p>
      <w:pPr>
        <w:spacing w:after="80" w:before="80"/>
        <w:jc w:val="both"/>
      </w:pPr>
      <w:r>
        <w:rPr>
          <w:rFonts w:ascii="Arial" w:cs="Arial" w:eastAsia="Arial" w:hAnsi="Arial"/>
          <w:sz w:val="20"/>
          <w:szCs w:val="20"/>
        </w:rPr>
        <w:t xml:space="preserve">Las hipótesis integran las tres dimensiones de análisis: estructura taxonómica, demografía de liderazgo y ecosistema CEAL/VALS. Se presentan ordenadas por nivel de evidencia disponible: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Hipótesis</w:t>
            </w:r>
          </w:p>
        </w:tc>
        <w:tc>
          <w:tcPr>
            <w:tcW w:type="dxa" w:w="3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Evidencia cuantitativa</w:t>
            </w:r>
          </w:p>
        </w:tc>
        <w:tc>
          <w:tcPr>
            <w:tcW w:type="dxa" w:w="1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H1</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Regiones con ratio E:O &gt;1,0 presentan carga operativa concentrada en pocos funcionarios, generando burnout estructural</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Arica E:O=1,38; Antofagasta E:O=1,25; CT CEAL correlacionado</w:t>
            </w:r>
          </w:p>
        </w:tc>
        <w:tc>
          <w:tcPr>
            <w:tcW w:type="dxa" w:w="15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CRÍTICA</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H2</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El envejecimiento del estamento Soporte en Los Lagos, Aysén y O'Higgins genera riesgo de colapso administrativo por retiro simultáneo sin reemplazo</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Soporte prom. Los Lagos=60,6 años; Circular N°12 congela reemplazos</w:t>
            </w:r>
          </w:p>
        </w:tc>
        <w:tc>
          <w:tcPr>
            <w:tcW w:type="dxa" w:w="15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CRÍTICA</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H3</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Araucanía exhibe triple criticidad convergente: Riesgo Alto CEAL + 13 casos VALS + ratio E:O=0,39 con 46,2% jef ≥55</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CEAL=Alto; VALS=13; jef_55=46,2%; correlación r=−0,527</w:t>
            </w:r>
          </w:p>
        </w:tc>
        <w:tc>
          <w:tcPr>
            <w:tcW w:type="dxa" w:w="1560"/>
            <w:tcBorders>
              <w:top w:val="single" w:color="D9D9D9" w:sz="4"/>
              <w:left w:val="single" w:color="D9D9D9" w:sz="4"/>
              <w:bottom w:val="single" w:color="D9D9D9" w:sz="4"/>
              <w:right w:val="single" w:color="D9D9D9" w:sz="4"/>
            </w:tcBorders>
            <w:shd w:fill="FFE2E2"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CRÍTICA</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H4</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El sub-reporte de malestar en regiones con liderazgo veterano genera un riesgo silente de conflicto laboral que no aparece en VALS</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r(Jef_55%,tasa_VALS)=−0,527 p=0,030; patrón confirmado estadísticamente</w:t>
            </w:r>
          </w:p>
        </w:tc>
        <w:tc>
          <w:tcPr>
            <w:tcW w:type="dxa" w:w="15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FF8C00"/>
                <w:sz w:val="19"/>
                <w:szCs w:val="19"/>
              </w:rPr>
              <w:t xml:space="preserve">ALTA</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H5</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Los 16 Directores Regionales no identificados nominalmente en la nómina generan un riesgo de gobernanza: sin registro formal, no se puede hacer seguimiento de desempeño ni sucesión planificada</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 DR sin cargo nominal en sistema RRHH; solo función por resolución</w:t>
            </w:r>
          </w:p>
        </w:tc>
        <w:tc>
          <w:tcPr>
            <w:tcW w:type="dxa" w:w="15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FF8C00"/>
                <w:sz w:val="19"/>
                <w:szCs w:val="19"/>
              </w:rPr>
              <w:t xml:space="preserve">ALTA</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H6</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La concentración de jefaturas en regiones pequeñas (Arica, Antofagasta) responde a la estructura orgánica estándar no adaptada al tamaño real de la dotación</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Estructura DR+2Jefes+Encargados=~8-10 cargos directivos independiente del tamaño</w:t>
            </w:r>
          </w:p>
        </w:tc>
        <w:tc>
          <w:tcPr>
            <w:tcW w:type="dxa" w:w="15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FF8C00"/>
                <w:sz w:val="19"/>
                <w:szCs w:val="19"/>
              </w:rPr>
              <w:t xml:space="preserve">ALTA</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H7</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Las coordinaciones sin función directiva formal (no en resolución) generan ambigüedad jerárquica que impacta en el RC (Relaciones en el Trabajo) del CEAL</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RC CEAL Medio en 11/16 regiones; cargos Coordinador sin resolución ≠ Jefatura</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MEDIA</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H8</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La brecha etaria en liderazgos emergentes (top-5 jefaturas entre 27-31 años, antigüedad &lt;7 años) genera riesgo de rotación temprana de capital humano directivo</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NICOLAS CHACÓN 27 años, 0,7 años antigüedad; promedio top-5 = 29 años</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MEDIA</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H9</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Las regiones con mayor desbalance E:O tienen menor productividad programática per cápita (beneficiarios/funcionario operativo)</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Pendiente validación con datos de ejecución programática 2025</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MEDIA</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H10</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El modelo de organigramas regionales estándar no contempla economías de escala — regiones &lt;30 funcionarios necesitan un rediseño de estructura mínima viable</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Aysén 30, Arica 27, Tarapacá 27; estructura DR+Jefes consume &gt;33% dotación</w:t>
            </w:r>
          </w:p>
        </w:tc>
        <w:tc>
          <w:tcPr>
            <w:tcW w:type="dxa" w:w="15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FF8C00"/>
                <w:sz w:val="19"/>
                <w:szCs w:val="19"/>
              </w:rPr>
              <w:t xml:space="preserve">ALTA</w:t>
            </w:r>
          </w:p>
        </w:tc>
      </w:tr>
    </w:tbl>
    <w:p>
      <w:pPr>
        <w:spacing w:after="120" w:before="0"/>
      </w:pPr>
    </w:p>
    <w:p>
      <w:pPr>
        <w:pStyle w:val="Heading2"/>
        <w:spacing w:after="120" w:before="280"/>
      </w:pPr>
      <w:r>
        <w:rPr>
          <w:rFonts w:ascii="Arial" w:cs="Arial" w:eastAsia="Arial" w:hAnsi="Arial"/>
          <w:b/>
          <w:bCs/>
          <w:color w:val="2E75B6"/>
          <w:sz w:val="24"/>
          <w:szCs w:val="24"/>
        </w:rPr>
        <w:t xml:space="preserve">3.3 Regiones que Requieren Reordenamiento Urgente</w:t>
      </w:r>
    </w:p>
    <w:p>
      <w:pPr>
        <w:spacing w:after="80" w:before="80"/>
        <w:jc w:val="both"/>
      </w:pPr>
      <w:r>
        <w:rPr>
          <w:rFonts w:ascii="Arial" w:cs="Arial" w:eastAsia="Arial" w:hAnsi="Arial"/>
          <w:sz w:val="20"/>
          <w:szCs w:val="20"/>
        </w:rPr>
        <w:t xml:space="preserve">Basado en el cruce de indicadores, se identifican cuatro regiones para intervención inmediata de ordenamiento organizacional, todas viables bajo las restricciones de la Circular N°12:</w:t>
      </w:r>
    </w:p>
    <w:p>
      <w:pPr>
        <w:pStyle w:val="ListParagraph"/>
        <w:numPr>
          <w:ilvl w:val="0"/>
          <w:numId w:val="2"/>
        </w:numPr>
        <w:spacing w:after="40" w:before="40"/>
      </w:pPr>
      <w:r>
        <w:rPr>
          <w:rFonts w:ascii="Arial" w:cs="Arial" w:eastAsia="Arial" w:hAnsi="Arial"/>
          <w:b/>
          <w:bCs/>
          <w:sz w:val="20"/>
          <w:szCs w:val="20"/>
        </w:rPr>
        <w:t xml:space="preserve">Arica y Parinacota: </w:t>
      </w:r>
      <w:r>
        <w:rPr>
          <w:rFonts w:ascii="Arial" w:cs="Arial" w:eastAsia="Arial" w:hAnsi="Arial"/>
          <w:sz w:val="20"/>
          <w:szCs w:val="20"/>
        </w:rPr>
        <w:t xml:space="preserve">Rediseño de estructura mínima viable — revisar si todos los cargos Encargado/Coordinador son necesarios con una dotación de 27 funcionarios. Redistribución funcional (art. 7d).</w:t>
      </w:r>
    </w:p>
    <w:p>
      <w:pPr>
        <w:pStyle w:val="ListParagraph"/>
        <w:numPr>
          <w:ilvl w:val="0"/>
          <w:numId w:val="2"/>
        </w:numPr>
        <w:spacing w:after="40" w:before="40"/>
      </w:pPr>
      <w:r>
        <w:rPr>
          <w:rFonts w:ascii="Arial" w:cs="Arial" w:eastAsia="Arial" w:hAnsi="Arial"/>
          <w:b/>
          <w:bCs/>
          <w:sz w:val="20"/>
          <w:szCs w:val="20"/>
        </w:rPr>
        <w:t xml:space="preserve">Antofagasta: </w:t>
      </w:r>
      <w:r>
        <w:rPr>
          <w:rFonts w:ascii="Arial" w:cs="Arial" w:eastAsia="Arial" w:hAnsi="Arial"/>
          <w:sz w:val="20"/>
          <w:szCs w:val="20"/>
        </w:rPr>
        <w:t xml:space="preserve">Mismo patrón de inversión E:O. Revisar acumulación de funciones encargado en personas con poca antigüedad (CHACÓN, 27 años, Encargado Comunicaciones).</w:t>
      </w:r>
    </w:p>
    <w:p>
      <w:pPr>
        <w:pStyle w:val="ListParagraph"/>
        <w:numPr>
          <w:ilvl w:val="0"/>
          <w:numId w:val="2"/>
        </w:numPr>
        <w:spacing w:after="40" w:before="40"/>
      </w:pPr>
      <w:r>
        <w:rPr>
          <w:rFonts w:ascii="Arial" w:cs="Arial" w:eastAsia="Arial" w:hAnsi="Arial"/>
          <w:b/>
          <w:bCs/>
          <w:sz w:val="20"/>
          <w:szCs w:val="20"/>
        </w:rPr>
        <w:t xml:space="preserve">Araucanía: </w:t>
      </w:r>
      <w:r>
        <w:rPr>
          <w:rFonts w:ascii="Arial" w:cs="Arial" w:eastAsia="Arial" w:hAnsi="Arial"/>
          <w:sz w:val="20"/>
          <w:szCs w:val="20"/>
        </w:rPr>
        <w:t xml:space="preserve">Intervención triple: sucesión planificada (46,2% jef ≥55), revisión de estructura territorial para aumentar dotación operativa relativa, y plan de bienestar específico (única región Riesgo Alto CEAL).</w:t>
      </w:r>
    </w:p>
    <w:p>
      <w:pPr>
        <w:pStyle w:val="ListParagraph"/>
        <w:numPr>
          <w:ilvl w:val="0"/>
          <w:numId w:val="2"/>
        </w:numPr>
        <w:spacing w:after="40" w:before="40"/>
      </w:pPr>
      <w:r>
        <w:rPr>
          <w:rFonts w:ascii="Arial" w:cs="Arial" w:eastAsia="Arial" w:hAnsi="Arial"/>
          <w:b/>
          <w:bCs/>
          <w:sz w:val="20"/>
          <w:szCs w:val="20"/>
        </w:rPr>
        <w:t xml:space="preserve">Los Lagos: </w:t>
      </w:r>
      <w:r>
        <w:rPr>
          <w:rFonts w:ascii="Arial" w:cs="Arial" w:eastAsia="Arial" w:hAnsi="Arial"/>
          <w:sz w:val="20"/>
          <w:szCs w:val="20"/>
        </w:rPr>
        <w:t xml:space="preserve">Plan urgente de transferencia de conocimiento en estamento Soporte (edad prom. 60,6 años). Digitalización de procesos administrativos críticos antes de 2027.</w:t>
      </w:r>
    </w:p>
    <w:p>
      <w:r>
        <w:br w:type="page"/>
      </w:r>
    </w:p>
    <w:p>
      <w:pPr>
        <w:pStyle w:val="Heading1"/>
        <w:spacing w:after="120" w:before="280"/>
      </w:pPr>
      <w:r>
        <w:rPr>
          <w:rFonts w:ascii="Arial" w:cs="Arial" w:eastAsia="Arial" w:hAnsi="Arial"/>
          <w:b/>
          <w:bCs/>
          <w:color w:val="1F3864"/>
          <w:sz w:val="28"/>
          <w:szCs w:val="28"/>
        </w:rPr>
        <w:t xml:space="preserve">Conclusiones y Recomendaciones</w:t>
      </w:r>
    </w:p>
    <w:p>
      <w:pPr>
        <w:pBdr>
          <w:bottom w:val="single" w:color="E87722" w:sz="12" w:space="1"/>
        </w:pBdr>
        <w:spacing w:after="200" w:before="0"/>
      </w:pPr>
    </w:p>
    <w:p>
      <w:pPr>
        <w:spacing w:after="80" w:before="80"/>
        <w:jc w:val="both"/>
      </w:pPr>
      <w:r>
        <w:rPr>
          <w:rFonts w:ascii="Arial" w:cs="Arial" w:eastAsia="Arial" w:hAnsi="Arial"/>
          <w:sz w:val="20"/>
          <w:szCs w:val="20"/>
        </w:rPr>
        <w:t xml:space="preserve">El diagnóstico DO FOSIS 2026 revela una institución con fortalezas en su orientación operativa territorial (39,6% de la dotación en roles de ejecución directa) pero con tres tensiones estructurales críticas que requieren intervención antes de 2027:</w:t>
      </w:r>
    </w:p>
    <w:p>
      <w:pPr>
        <w:spacing w:after="80" w:before="0"/>
      </w:pPr>
    </w:p>
    <w:p>
      <w:pPr>
        <w:pStyle w:val="ListParagraph"/>
        <w:numPr>
          <w:ilvl w:val="0"/>
          <w:numId w:val="2"/>
        </w:numPr>
        <w:spacing w:after="40" w:before="40"/>
      </w:pPr>
      <w:r>
        <w:rPr>
          <w:rFonts w:ascii="Arial" w:cs="Arial" w:eastAsia="Arial" w:hAnsi="Arial"/>
          <w:b/>
          <w:bCs/>
          <w:sz w:val="20"/>
          <w:szCs w:val="20"/>
        </w:rPr>
        <w:t xml:space="preserve">Tensión 1 — Inversión Estratégico:Operativo: </w:t>
      </w:r>
      <w:r>
        <w:rPr>
          <w:rFonts w:ascii="Arial" w:cs="Arial" w:eastAsia="Arial" w:hAnsi="Arial"/>
          <w:sz w:val="20"/>
          <w:szCs w:val="20"/>
        </w:rPr>
        <w:t xml:space="preserve">10 regiones con ratio E:O &gt;0,50; 3 con inversión total (&gt;1,0). El modelo orgánico estándar no escala bien a regiones pequeñas. Rediseño de estructura mínima viable es la acción más urgente y de costo $0.</w:t>
      </w:r>
    </w:p>
    <w:p>
      <w:pPr>
        <w:pStyle w:val="ListParagraph"/>
        <w:numPr>
          <w:ilvl w:val="0"/>
          <w:numId w:val="2"/>
        </w:numPr>
        <w:spacing w:after="40" w:before="40"/>
      </w:pPr>
      <w:r>
        <w:rPr>
          <w:rFonts w:ascii="Arial" w:cs="Arial" w:eastAsia="Arial" w:hAnsi="Arial"/>
          <w:b/>
          <w:bCs/>
          <w:sz w:val="20"/>
          <w:szCs w:val="20"/>
        </w:rPr>
        <w:t xml:space="preserve">Tensión 2 — Envejecimiento concentrado: </w:t>
      </w:r>
      <w:r>
        <w:rPr>
          <w:rFonts w:ascii="Arial" w:cs="Arial" w:eastAsia="Arial" w:hAnsi="Arial"/>
          <w:sz w:val="20"/>
          <w:szCs w:val="20"/>
        </w:rPr>
        <w:t xml:space="preserve">Soporte como el estamento más viejo (50,7 años) combinado con la restricción de reemplazos de la Circular N°12 crea una bomba de tiempo administrativa en Los Lagos, Aysén y O'Higgins. La transferencia de conocimiento y digitalización de procesos son las únicas salidas disponibles hoy.</w:t>
      </w:r>
    </w:p>
    <w:p>
      <w:pPr>
        <w:pStyle w:val="ListParagraph"/>
        <w:numPr>
          <w:ilvl w:val="0"/>
          <w:numId w:val="2"/>
        </w:numPr>
        <w:spacing w:after="40" w:before="40"/>
      </w:pPr>
      <w:r>
        <w:rPr>
          <w:rFonts w:ascii="Arial" w:cs="Arial" w:eastAsia="Arial" w:hAnsi="Arial"/>
          <w:b/>
          <w:bCs/>
          <w:sz w:val="20"/>
          <w:szCs w:val="20"/>
        </w:rPr>
        <w:t xml:space="preserve">Tensión 3 — Gobernanza directiva incompleta: </w:t>
      </w:r>
      <w:r>
        <w:rPr>
          <w:rFonts w:ascii="Arial" w:cs="Arial" w:eastAsia="Arial" w:hAnsi="Arial"/>
          <w:sz w:val="20"/>
          <w:szCs w:val="20"/>
        </w:rPr>
        <w:t xml:space="preserve">Los 16 Directores Regionales no están nominalmente identificados en el sistema RRHH, lo que impide hacer seguimiento formal de desempeño, planificar sucesión y calcular correctamente la dotación real de cada región. Registrarlos formalmente es la acción de mayor impacto con costo $0.</w:t>
      </w:r>
    </w:p>
    <w:p>
      <w:pPr>
        <w:spacing w:after="120" w:before="0"/>
      </w:pPr>
    </w:p>
    <w:p>
      <w:pPr>
        <w:pStyle w:val="Heading2"/>
        <w:spacing w:after="120" w:before="280"/>
      </w:pPr>
      <w:r>
        <w:rPr>
          <w:rFonts w:ascii="Arial" w:cs="Arial" w:eastAsia="Arial" w:hAnsi="Arial"/>
          <w:b/>
          <w:bCs/>
          <w:color w:val="2E75B6"/>
          <w:sz w:val="24"/>
          <w:szCs w:val="24"/>
        </w:rPr>
        <w:t xml:space="preserve">Matriz de Recomendaciones Priorizadas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w:t>
            </w:r>
          </w:p>
        </w:tc>
        <w:tc>
          <w:tcPr>
            <w:tcW w:type="dxa" w:w="17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Región/Nivel</w:t>
            </w:r>
          </w:p>
        </w:tc>
        <w:tc>
          <w:tcPr>
            <w:tcW w:type="dxa" w:w="11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Plazo</w:t>
            </w:r>
          </w:p>
        </w:tc>
        <w:tc>
          <w:tcPr>
            <w:tcW w:type="dxa" w:w="2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Viabilidad Fiscal</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Identificar nominalmente los 16 Directores Regionales en el sistema RRHH y vincularlos a la función directiva de su resolución</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Nacional</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Inmediato</w:t>
            </w:r>
          </w:p>
        </w:tc>
        <w:tc>
          <w:tcPr>
            <w:tcW w:type="dxa" w:w="2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 Costo $0</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Auditoría de cargos Encargado/Coordinador en regiones con E:O &gt;1,0 (Arica, Antofagasta, Magallanes): verificar si ejercen función directiva formal o requieren reclasificación</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Arica, Antofag., Magall.</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 meses</w:t>
            </w:r>
          </w:p>
        </w:tc>
        <w:tc>
          <w:tcPr>
            <w:tcW w:type="dxa" w:w="2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 Costo $0</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Plan de transferencia de conocimiento para estamento Soporte en Los Lagos, Aysén y O'Higgins (edad prom. &gt;55 años)</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Los Lagos, Aysén, O'Hig.</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 meses</w:t>
            </w:r>
          </w:p>
        </w:tc>
        <w:tc>
          <w:tcPr>
            <w:tcW w:type="dxa" w:w="2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 Costo $0</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Diseñar perfil de "estructura mínima viable" para regiones &lt;30 funcionarios (Arica, Tarapacá, Aysén, Magallanes) adaptando el organigrama estándar</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 regiones pequeñas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 meses</w:t>
            </w:r>
          </w:p>
        </w:tc>
        <w:tc>
          <w:tcPr>
            <w:tcW w:type="dxa" w:w="2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 Costo $0</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Plan de sucesión para jefaturas ≥55 años en Araucanía, Ñuble y O'Higgins: identificar candidatos internos de reemplazo en rango 35-45 años</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Araucanía, Ñuble, O'Hig.</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 meses</w:t>
            </w:r>
          </w:p>
        </w:tc>
        <w:tc>
          <w:tcPr>
            <w:tcW w:type="dxa" w:w="2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 Costo $0</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Intervención CEAL focalizada en Araucanía (Riesgo Alto): plan de bienestar, reuniones de equipo y revisión de carga de trabajo por cargo</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Araucanía</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Inmediato</w:t>
            </w:r>
          </w:p>
        </w:tc>
        <w:tc>
          <w:tcPr>
            <w:tcW w:type="dxa" w:w="2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 Costo $0</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Exploración cualitativa del sub-reporte VALS en regiones con jefaturas veteranas (Araucanía, Ñuble): entrevistas o grupos focales</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Araucanía, Ñuble</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 meses</w:t>
            </w:r>
          </w:p>
        </w:tc>
        <w:tc>
          <w:tcPr>
            <w:tcW w:type="dxa" w:w="256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 Costo $0</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Provisión de 91 vacantes priorizando dotación operativa en regiones con E:O &gt;0,80</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Nacional</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Post-Circular N°12</w:t>
            </w:r>
          </w:p>
        </w:tc>
        <w:tc>
          <w:tcPr>
            <w:tcW w:type="dxa" w:w="25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 Restringido por Circular N°12</w:t>
            </w:r>
          </w:p>
        </w:tc>
      </w:tr>
      <w:tr>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Programa de desarrollo de liderazgos emergentes para jefaturas &lt;35 años (top-5 con antigüedad &lt;7 años)</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Nacional</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Post-Circular N°12</w:t>
            </w:r>
          </w:p>
        </w:tc>
        <w:tc>
          <w:tcPr>
            <w:tcW w:type="dxa" w:w="256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val="false"/>
                <w:bCs w:val="false"/>
                <w:color w:val="FF8C00"/>
                <w:sz w:val="19"/>
                <w:szCs w:val="19"/>
              </w:rPr>
              <w:t xml:space="preserve">⚠ Requiere presupuesto capacitación</w:t>
            </w:r>
          </w:p>
        </w:tc>
      </w:tr>
    </w:tbl>
    <w:p>
      <w:pPr>
        <w:spacing w:after="160" w:before="0"/>
      </w:pPr>
    </w:p>
    <w:p>
      <w:pPr>
        <w:spacing w:after="80" w:before="80"/>
        <w:jc w:val="both"/>
      </w:pPr>
      <w:r>
        <w:rPr>
          <w:rFonts w:ascii="Arial" w:cs="Arial" w:eastAsia="Arial" w:hAnsi="Arial"/>
          <w:sz w:val="20"/>
          <w:szCs w:val="20"/>
        </w:rPr>
        <w:t xml:space="preserve">Para avanzar en el rediseño de organigramas regionales, el paso inmediato es la </w:t>
      </w:r>
      <w:r>
        <w:rPr>
          <w:rFonts w:ascii="Arial" w:cs="Arial" w:eastAsia="Arial" w:hAnsi="Arial"/>
          <w:b/>
          <w:bCs/>
          <w:sz w:val="20"/>
          <w:szCs w:val="20"/>
        </w:rPr>
        <w:t xml:space="preserve">auditoría de cargos directivos en regiones con inversión E:O</w:t>
      </w:r>
      <w:r>
        <w:rPr>
          <w:rFonts w:ascii="Arial" w:cs="Arial" w:eastAsia="Arial" w:hAnsi="Arial"/>
          <w:sz w:val="20"/>
          <w:szCs w:val="20"/>
        </w:rPr>
        <w:t xml:space="preserve">, combinada con el </w:t>
      </w:r>
      <w:r>
        <w:rPr>
          <w:rFonts w:ascii="Arial" w:cs="Arial" w:eastAsia="Arial" w:hAnsi="Arial"/>
          <w:b/>
          <w:bCs/>
          <w:sz w:val="20"/>
          <w:szCs w:val="20"/>
        </w:rPr>
        <w:t xml:space="preserve">registro nominal de los 16 Directores Regionales</w:t>
      </w:r>
      <w:r>
        <w:rPr>
          <w:rFonts w:ascii="Arial" w:cs="Arial" w:eastAsia="Arial" w:hAnsi="Arial"/>
          <w:sz w:val="20"/>
          <w:szCs w:val="20"/>
        </w:rPr>
        <w:t xml:space="preserve"> en el sistema. Ambas acciones son viables hoy, no requieren presupuesto adicional y sientan la base para cualquier propuesta de estructura que se elabore a continuación.</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jc w:val="center"/>
    </w:pPr>
    <w:r>
      <w:rPr>
        <w:rFonts w:ascii="Arial" w:cs="Arial" w:eastAsia="Arial" w:hAnsi="Arial"/>
        <w:color w:val="2E75B6"/>
        <w:sz w:val="16"/>
        <w:szCs w:val="16"/>
      </w:rPr>
      <w:t xml:space="preserve">Departamento de Desarrollo Organizacional — FOSIS  |  Mayo 2026  |  Página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2E75B6"/>
        <w:sz w:val="16"/>
        <w:szCs w:val="16"/>
      </w:rPr>
      <w:t xml:space="preserve"> de </w:t>
    </w:r>
    <w:r>
      <w:rPr>
        <w:rFonts w:ascii="Arial" w:cs="Arial" w:eastAsia="Arial" w:hAnsi="Arial"/>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6"/>
      </w:pBdr>
      <w:jc w:val="right"/>
    </w:pPr>
    <w:r>
      <w:rPr>
        <w:rFonts w:ascii="Arial" w:cs="Arial" w:eastAsia="Arial" w:hAnsi="Arial"/>
        <w:color w:val="2E75B6"/>
        <w:sz w:val="16"/>
        <w:szCs w:val="16"/>
      </w:rPr>
      <w:t xml:space="preserve">Informe Integral DO — FOSIS 2026  |  Diagnóstico Estructural y Demográfico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2026-05-18T20:32:56.784Z</dcterms:created>
  <dcterms:modified xsi:type="dcterms:W3CDTF">2026-05-18T20:32:56.786Z</dcterms:modified>
</cp:coreProperties>
</file>

<file path=docProps/custom.xml><?xml version="1.0" encoding="utf-8"?>
<Properties xmlns="http://schemas.openxmlformats.org/officeDocument/2006/custom-properties" xmlns:vt="http://schemas.openxmlformats.org/officeDocument/2006/docPropsVTypes"/>
</file>