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  <w:color w:val="0B5D5E"/>
          <w:sz w:val="52"/>
        </w:rPr>
        <w:t>Informe Regional de Salud</w:t>
      </w:r>
    </w:p>
    <w:p>
      <w:r>
        <w:rPr>
          <w:b/>
          <w:sz w:val="40"/>
        </w:rPr>
        <w:t>Manual de usuario</w:t>
      </w:r>
    </w:p>
    <w:p>
      <w:r>
        <w:rPr>
          <w:sz w:val="26"/>
        </w:rPr>
        <w:t>Tablero Informe Regional de Salud</w:t>
      </w:r>
    </w:p>
    <w:p>
      <w:r>
        <w:rPr>
          <w:i/>
        </w:rPr>
        <w:t>Supersalud — versión del 14/10/2026</w:t>
      </w:r>
    </w:p>
    <w:p>
      <w:r>
        <w:br w:type="page"/>
      </w:r>
    </w:p>
    <w:p>
      <w:r>
        <w:fldChar w:fldCharType="begin"/>
        <w:instrText xml:space="preserve">TOC \o "1-3" \h \z \u</w:instrText>
        <w:fldChar w:fldCharType="separate"/>
        <w:t>Tabla de contenido: pulse F9 (o "Actualizar campo") para generarla.</w:t>
        <w:fldChar w:fldCharType="end"/>
      </w:r>
    </w:p>
    <w:p>
      <w:r>
        <w:br w:type="page"/>
      </w:r>
    </w:p>
    <w:p>
      <w:r>
        <w:t>Tablero de caracterización territorial del sistema de salud, en el formato de la Ficha de Caracterización Territorial (FCT) de Supersalud Territoriales. Muestra, para cada departamento o municipio de Colombia, los indicadores de cinco módulos: Demográficos, Salud pública, Aseguramiento, Prestación de servicios y Financiamiento.</w:t>
      </w:r>
    </w:p>
    <w:p>
      <w:r>
        <w:t xml:space="preserve">Este manual es para quien </w:t>
      </w:r>
      <w:r>
        <w:rPr>
          <w:b/>
        </w:rPr>
        <w:t>consulta</w:t>
      </w:r>
      <w:r>
        <w:t xml:space="preserve"> el tablero. Quien procesa y publica los datos cada mes tiene su propia guía: el Manual técnico.</w:t>
      </w:r>
    </w:p>
    <w:p>
      <w:pPr>
        <w:pStyle w:val="Heading2"/>
      </w:pPr>
      <w:r>
        <w:t>1. Instalación y apertura</w:t>
      </w:r>
    </w:p>
    <w:p>
      <w:r>
        <w:t xml:space="preserve">El tablero se entrega como un archivo comprimido </w:t>
      </w:r>
      <w:r>
        <w:rPr>
          <w:rFonts w:ascii="Consolas" w:hAnsi="Consolas"/>
          <w:sz w:val="18"/>
        </w:rPr>
        <w:t>InformeRegional_&lt;versión&gt;.zip</w:t>
      </w:r>
      <w:r>
        <w:t>. No instala nada en el equipo ni requiere permisos de administrador.</w:t>
      </w:r>
    </w:p>
    <w:p>
      <w:r>
        <w:rPr>
          <w:b/>
        </w:rPr>
        <w:t>Requisitos:</w:t>
      </w:r>
      <w:r>
        <w:t xml:space="preserve"> Windows 10 u 11 de 64 bits y un navegador (Edge, Chrome o Firefox). Internet es opcional: solo se usa para buscar datos más recientes.</w:t>
      </w:r>
    </w:p>
    <w:p>
      <w:pPr>
        <w:pStyle w:val="ListNumber"/>
      </w:pPr>
      <w:r>
        <w:t xml:space="preserve">Copie el zip a una carpeta de su equipo (por ejemplo </w:t>
      </w:r>
      <w:r>
        <w:rPr>
          <w:rFonts w:ascii="Consolas" w:hAnsi="Consolas"/>
          <w:sz w:val="18"/>
        </w:rPr>
        <w:t>Documentos</w:t>
      </w:r>
      <w:r>
        <w:t xml:space="preserve">) y </w:t>
      </w:r>
      <w:r>
        <w:rPr>
          <w:b/>
        </w:rPr>
        <w:t>descomprímalo</w:t>
      </w:r>
      <w:r>
        <w:t xml:space="preserve"> (clic derecho → *Extraer todo*). No lo abra directamente desde el zip ni desde una carpeta de red lenta.</w:t>
      </w:r>
    </w:p>
    <w:p>
      <w:pPr>
        <w:pStyle w:val="ListNumber"/>
      </w:pPr>
      <w:r>
        <w:t xml:space="preserve">Entre a la carpeta </w:t>
      </w:r>
      <w:r>
        <w:rPr>
          <w:rFonts w:ascii="Consolas" w:hAnsi="Consolas"/>
          <w:sz w:val="18"/>
        </w:rPr>
        <w:t>InformeRegional</w:t>
      </w:r>
      <w:r>
        <w:t xml:space="preserve"> y haga doble clic en </w:t>
      </w:r>
      <w:r>
        <w:rPr>
          <w:b/>
        </w:rPr>
        <w:t>`Abrir Informe Regional.bat`</w:t>
      </w:r>
      <w:r>
        <w:t>.</w:t>
      </w:r>
    </w:p>
    <w:p>
      <w:pPr>
        <w:pStyle w:val="ListNumber"/>
      </w:pPr>
      <w:r>
        <w:t>Se abre una ventana negra y, unos segundos después, el navegador con el tablero.</w:t>
      </w:r>
    </w:p>
    <w:p>
      <w:pPr>
        <w:pStyle w:val="ListNumber"/>
      </w:pPr>
      <w:r>
        <w:rPr>
          <w:b/>
        </w:rPr>
        <w:t>Mantenga la ventana negra abierta</w:t>
      </w:r>
      <w:r>
        <w:t xml:space="preserve"> mientras use el tablero. Para salir, cierre esa ventana.</w:t>
      </w:r>
    </w:p>
    <w:p>
      <w:r>
        <w:t>Si Windows muestra el aviso "Windows protegió su PC" (SmartScreen) la primera vez, pulse *Más información* → *Ejecutar de todas formas*. El tablero funciona por completo en su equipo; no envía datos a ningún sitio.</w:t>
      </w:r>
    </w:p>
    <w:p>
      <w:r>
        <w:t>Si el navegador no se abre solo, copie en él la dirección que aparece en la ventana negra (</w:t>
      </w:r>
      <w:r>
        <w:rPr>
          <w:rFonts w:ascii="Consolas" w:hAnsi="Consolas"/>
          <w:sz w:val="18"/>
        </w:rPr>
        <w:t>http://localhost:8765</w:t>
      </w:r>
      <w:r>
        <w:t xml:space="preserve"> o un número cercano).</w:t>
      </w:r>
    </w:p>
    <w:p>
      <w:pPr>
        <w:pStyle w:val="Heading2"/>
      </w:pPr>
      <w:r>
        <w:t>2. La pantalla</w:t>
      </w:r>
    </w:p>
    <w:p>
      <w:pPr>
        <w:pStyle w:val="ListBullet"/>
      </w:pPr>
      <w:r>
        <w:rPr>
          <w:b/>
        </w:rPr>
        <w:t>Barra lateral (izquierda, verde oscuro):</w:t>
      </w:r>
      <w:r>
        <w:t xml:space="preserve"> el logo, el menú de páginas y, abajo, el panel </w:t>
      </w:r>
      <w:r>
        <w:rPr>
          <w:b/>
        </w:rPr>
        <w:t>FILTROS</w:t>
      </w:r>
      <w:r>
        <w:t>. Al final aparece la versión de los datos cargados (</w:t>
      </w:r>
      <w:r>
        <w:rPr>
          <w:rFonts w:ascii="Consolas" w:hAnsi="Consolas"/>
          <w:sz w:val="18"/>
        </w:rPr>
        <w:t>Datos: versión 2026.10.14-0830</w:t>
      </w:r>
      <w:r>
        <w:t>).</w:t>
      </w:r>
    </w:p>
    <w:p>
      <w:pPr>
        <w:pStyle w:val="ListBullet"/>
      </w:pPr>
      <w:r>
        <w:rPr>
          <w:b/>
        </w:rPr>
        <w:t>Área principal:</w:t>
      </w:r>
      <w:r>
        <w:t xml:space="preserve"> la página elegida. Cada página empieza con un encabezado del color de su módulo, con la ruta </w:t>
      </w:r>
      <w:r>
        <w:rPr>
          <w:rFonts w:ascii="Consolas" w:hAnsi="Consolas"/>
          <w:sz w:val="18"/>
        </w:rPr>
        <w:t>Colombia › Departamento › Municipio · periodo</w:t>
      </w:r>
      <w:r>
        <w:t>.</w:t>
      </w:r>
    </w:p>
    <w:p>
      <w:r>
        <w:t>El tablero se ve mejor en una ventana amplia (pantalla de 1366 px de ancho o más). En ventanas estrechas las tarjetas se reorganizan en menos columnas.</w:t>
      </w:r>
    </w:p>
    <w:p>
      <w:pPr>
        <w:pStyle w:val="Heading2"/>
      </w:pPr>
      <w:r>
        <w:t>3. Filtros</w:t>
      </w:r>
    </w:p>
    <w:p>
      <w:r>
        <w:t>Los filtros se aplican a todas las páginas a la vez.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Filtro</w:t>
            </w:r>
          </w:p>
        </w:tc>
        <w:tc>
          <w:tcPr>
            <w:tcW w:type="dxa" w:w="432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Qué hace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Año de referencia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Año de los datos. Se ofrecen los años para los que el tablero tiene datos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Mes de referencia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*Último disponible* muestra el dato más reciente del año; un mes concreto muestra los datos con corte en ese mes (afiliación, IRCA, financiamiento) y el periodo epidemiológico que termina en él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Departamento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Siempre hay uno elegido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Municipio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*— Todo el departamento —* muestra las cifras departamentales; un municipio muestra las suyas</w:t>
            </w:r>
          </w:p>
        </w:tc>
      </w:tr>
    </w:tbl>
    <w:p/>
    <w:p>
      <w:r>
        <w:t xml:space="preserve">Cada fuente tiene su propia periodicidad, así que </w:t>
      </w:r>
      <w:r>
        <w:rPr>
          <w:b/>
        </w:rPr>
        <w:t>cada tarjeta indica el periodo de sus datos</w:t>
      </w:r>
      <w:r>
        <w:t xml:space="preserve"> ("Datos: SEPTIEMBRE 2026", "Datos: 2026 PE IX", "Datos: 2026 sem. 1–36"). El mes elegido es un tope: la tarjeta muestra lo último publicado hasta ese mes.</w:t>
      </w:r>
    </w:p>
    <w:p>
      <w:r>
        <w:t>Cuando un indicador no existe a nivel municipal (por ejemplo, las EPS intervenidas o la evaluación de la vigilancia), la tarjeta muestra el valor del departamento y lo dice en una nota: "Valor de Antioquia".</w:t>
      </w:r>
    </w:p>
    <w:p>
      <w:pPr>
        <w:pStyle w:val="Heading2"/>
      </w:pPr>
      <w:r>
        <w:t>4. Cómo leer una tarjeta</w:t>
      </w:r>
    </w:p>
    <w:p>
      <w:r>
        <w:t>Cada indicador es una tarjeta con:</w:t>
      </w:r>
    </w:p>
    <w:p>
      <w:pPr>
        <w:pStyle w:val="ListBullet"/>
      </w:pPr>
      <w:r>
        <w:rPr>
          <w:b/>
        </w:rPr>
        <w:t>Número y título</w:t>
      </w:r>
      <w:r>
        <w:t xml:space="preserve"> del indicador, en el orden de la FCT.</w:t>
      </w:r>
    </w:p>
    <w:p>
      <w:pPr>
        <w:pStyle w:val="ListBullet"/>
      </w:pPr>
      <w:r>
        <w:rPr>
          <w:b/>
        </w:rPr>
        <w:t>Icono</w:t>
      </w:r>
      <w:r>
        <w:t xml:space="preserve"> en un círculo del color del módulo.</w:t>
      </w:r>
    </w:p>
    <w:p>
      <w:pPr>
        <w:pStyle w:val="ListBullet"/>
      </w:pPr>
      <w:r>
        <w:rPr>
          <w:b/>
        </w:rPr>
        <w:t>Valor</w:t>
      </w:r>
      <w:r>
        <w:t xml:space="preserve"> y su unidad (</w:t>
      </w:r>
      <w:r>
        <w:rPr>
          <w:rFonts w:ascii="Consolas" w:hAnsi="Consolas"/>
          <w:sz w:val="18"/>
        </w:rPr>
        <w:t>hab.</w:t>
      </w:r>
      <w:r>
        <w:t xml:space="preserve">, </w:t>
      </w:r>
      <w:r>
        <w:rPr>
          <w:rFonts w:ascii="Consolas" w:hAnsi="Consolas"/>
          <w:sz w:val="18"/>
        </w:rPr>
        <w:t>%</w:t>
      </w:r>
      <w:r>
        <w:t xml:space="preserve">, </w:t>
      </w:r>
      <w:r>
        <w:rPr>
          <w:rFonts w:ascii="Consolas" w:hAnsi="Consolas"/>
          <w:sz w:val="18"/>
        </w:rPr>
        <w:t>por 100.000 hab.</w:t>
      </w:r>
      <w:r>
        <w:t xml:space="preserve">…). </w:t>
      </w:r>
      <w:r>
        <w:rPr>
          <w:rFonts w:ascii="Consolas" w:hAnsi="Consolas"/>
          <w:sz w:val="18"/>
        </w:rPr>
        <w:t>N/D</w:t>
      </w:r>
      <w:r>
        <w:t xml:space="preserve"> significa que no hay dato para ese territorio y periodo.</w:t>
      </w:r>
    </w:p>
    <w:p>
      <w:pPr>
        <w:pStyle w:val="ListBullet"/>
      </w:pPr>
      <w:r>
        <w:rPr>
          <w:b/>
        </w:rPr>
        <w:t>Recuadro de tendencia</w:t>
      </w:r>
      <w:r>
        <w:t>: compara con el mismo periodo del año anterior.</w:t>
      </w:r>
    </w:p>
    <w:p>
      <w:pPr>
        <w:pStyle w:val="ListBullet2"/>
      </w:pPr>
      <w:r>
        <w:t>Verde: cambió en la dirección favorable (por ejemplo, menos mortalidad o más cobertura).</w:t>
      </w:r>
    </w:p>
    <w:p>
      <w:pPr>
        <w:pStyle w:val="ListBullet2"/>
      </w:pPr>
      <w:r>
        <w:t>Rojo: cambió en la dirección desfavorable.</w:t>
      </w:r>
    </w:p>
    <w:p>
      <w:pPr>
        <w:pStyle w:val="ListBullet2"/>
      </w:pPr>
      <w:r>
        <w:t>Ámbar: sin cambio apreciable, o un indicador sin dirección "buena" (por ejemplo, la población).</w:t>
      </w:r>
    </w:p>
    <w:p>
      <w:pPr>
        <w:pStyle w:val="ListBullet2"/>
      </w:pPr>
      <w:r>
        <w:rPr>
          <w:rFonts w:ascii="Consolas" w:hAnsi="Consolas"/>
          <w:sz w:val="18"/>
        </w:rPr>
        <w:t>+0,8 %</w:t>
      </w:r>
      <w:r>
        <w:t xml:space="preserve"> es un cambio relativo; </w:t>
      </w:r>
      <w:r>
        <w:rPr>
          <w:rFonts w:ascii="Consolas" w:hAnsi="Consolas"/>
          <w:sz w:val="18"/>
        </w:rPr>
        <w:t>+1,2 pp</w:t>
      </w:r>
      <w:r>
        <w:t xml:space="preserve"> es una diferencia en puntos porcentuales; </w:t>
      </w:r>
      <w:r>
        <w:rPr>
          <w:rFonts w:ascii="Consolas" w:hAnsi="Consolas"/>
          <w:sz w:val="18"/>
        </w:rPr>
        <w:t>+12</w:t>
      </w:r>
      <w:r>
        <w:t xml:space="preserve"> es una diferencia en unidades.</w:t>
      </w:r>
    </w:p>
    <w:p>
      <w:pPr>
        <w:pStyle w:val="ListBullet2"/>
      </w:pPr>
      <w:r>
        <w:t>Si no hay dato comparable del año anterior, el recuadro no aparece.</w:t>
      </w:r>
    </w:p>
    <w:p>
      <w:pPr>
        <w:pStyle w:val="ListBullet"/>
      </w:pPr>
      <w:r>
        <w:rPr>
          <w:b/>
        </w:rPr>
        <w:t>Datos: periodo</w:t>
      </w:r>
      <w:r>
        <w:t xml:space="preserve"> y, cuando aplica, una </w:t>
      </w:r>
      <w:r>
        <w:rPr>
          <w:b/>
        </w:rPr>
        <w:t>nota</w:t>
      </w:r>
      <w:r>
        <w:t xml:space="preserve"> (porcentaje del total, número de casos, municipios sobre los que se calculó, etc.).</w:t>
      </w:r>
    </w:p>
    <w:p>
      <w:pPr>
        <w:pStyle w:val="ListBullet"/>
      </w:pPr>
      <w:r>
        <w:t xml:space="preserve">Al pasar el ratón sobre la tarjeta aparece la </w:t>
      </w:r>
      <w:r>
        <w:rPr>
          <w:b/>
        </w:rPr>
        <w:t>fuente</w:t>
      </w:r>
      <w:r>
        <w:t xml:space="preserve"> del dato.</w:t>
      </w:r>
    </w:p>
    <w:p>
      <w:r>
        <w:t xml:space="preserve">Las tarjetas grises con el rótulo </w:t>
      </w:r>
      <w:r>
        <w:rPr>
          <w:b/>
        </w:rPr>
        <w:t>Fuente pendiente</w:t>
      </w:r>
      <w:r>
        <w:t xml:space="preserve"> corresponden a indicadores de la FCT cuya información no es pública y debe suministrarla Supersalud o el INS (ver la sección 7).</w:t>
      </w:r>
    </w:p>
    <w:p>
      <w:pPr>
        <w:pStyle w:val="Heading2"/>
      </w:pPr>
      <w:r>
        <w:t>5. Páginas</w:t>
      </w:r>
    </w:p>
    <w:p>
      <w:pPr>
        <w:pStyle w:val="Heading3"/>
      </w:pPr>
      <w:r>
        <w:t>Inicio</w:t>
      </w:r>
    </w:p>
    <w:p>
      <w:r>
        <w:t>Portada con una franja por módulo. Haga clic en una franja para ir a la página. También puede usar el menú de la barra lateral.</w:t>
      </w:r>
    </w:p>
    <w:p>
      <w:pPr>
        <w:pStyle w:val="Heading3"/>
      </w:pPr>
      <w:r>
        <w:t>Ficha territorial</w:t>
      </w:r>
    </w:p>
    <w:p>
      <w:r>
        <w:t>Resumen de una página: una franja por módulo con sus indicadores principales (4 o 5 por módulo), en el orden de la FCT. Es la vista pensada para imprimir o presentar.</w:t>
      </w:r>
    </w:p>
    <w:p>
      <w:pPr>
        <w:pStyle w:val="Heading3"/>
      </w:pPr>
      <w:r>
        <w:t>Demográficos</w:t>
      </w:r>
    </w:p>
    <w:p>
      <w:pPr>
        <w:pStyle w:val="ListBullet"/>
      </w:pPr>
      <w:r>
        <w:t>Población total, hombres, mujeres y población con pertenencia étnica, con su porcentaje del total.</w:t>
      </w:r>
    </w:p>
    <w:p>
      <w:pPr>
        <w:pStyle w:val="ListBullet"/>
      </w:pPr>
      <w:r>
        <w:rPr>
          <w:b/>
        </w:rPr>
        <w:t>Localización territorial:</w:t>
      </w:r>
      <w:r>
        <w:t xml:space="preserve"> tres mapas: Colombia con el departamento resaltado, el departamento con sus municipios y, si eligió un municipio, el municipio y sus alrededores.</w:t>
      </w:r>
    </w:p>
    <w:p>
      <w:pPr>
        <w:pStyle w:val="ListBullet"/>
      </w:pPr>
      <w:r>
        <w:t>Distribución por sexo (dona) y composición étnica (barras y tabla), según las proyecciones del DANE con base en el Censo 2018.</w:t>
      </w:r>
    </w:p>
    <w:p>
      <w:pPr>
        <w:pStyle w:val="Heading3"/>
      </w:pPr>
      <w:r>
        <w:t>Salud pública</w:t>
      </w:r>
    </w:p>
    <w:p>
      <w:r>
        <w:t>Once indicadores de la FCT. Las tasas se acumulan desde el inicio del año hasta el periodo indicado, y la tendencia compara con el mismo periodo del año anterior.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Lectura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Razón de mortalidad materna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Muertes maternas por 100.000 nacidos vivos (boletín INS)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Incidencia de sífilis congénita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Casos por 1.000 nacidos vivos + muertes fetales (SIVIGILA; denominador DANE)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Prevalencia de desnutrición aguda en menores de 5 años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Casos por cada 100 menores de 5 años (SIVIGILA)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Tasa de mortalidad por desnutrición en menores de 5 años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 100.000 menores de 5 años (SIVIGILA)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IRCA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de riesgo de la calidad del agua, de 0 (sin riesgo) a 100. La escala muestra la banda: sin riesgo (&lt;5), bajo (5–14), medio (14–35), alto (35–80), inviable sanitariamente (&gt;80)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Incidencia de dengue grave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 100.000 habitantes (SIVIGILA)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Tasa de intento de suicidio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 100.000 habitantes (SIVIGILA)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Violencia de género e intrafamiliar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 100.000 habitantes (SIVIGILA)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Cumplimiento de estándares de calidad de los LSP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Fuente pendiente (INS)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Evaluación del desempeño de la vigilancia en salud pública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Promedio de cumplimiento de los subindicadores (0–100 %), con la dona de subindicadores que cumplen, cumplen parcialmente o no cumplen. Valor departamental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Capacidades básicas de vigilancia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Subindicador 8-1 de la misma evaluación. Valor departamental</w:t>
            </w:r>
          </w:p>
        </w:tc>
      </w:tr>
    </w:tbl>
    <w:p/>
    <w:p>
      <w:r>
        <w:t xml:space="preserve">El recuadro </w:t>
      </w:r>
      <w:r>
        <w:rPr>
          <w:b/>
        </w:rPr>
        <w:t>Convenciones</w:t>
      </w:r>
      <w:r>
        <w:t xml:space="preserve"> al final de la página explica las etiquetas de periodo. Un periodo con "(preliminar)" indica que el INS aún no ha publicado la cifra definitiva.</w:t>
      </w:r>
    </w:p>
    <w:p>
      <w:pPr>
        <w:pStyle w:val="Heading3"/>
      </w:pPr>
      <w:r>
        <w:t>Aseguramiento</w:t>
      </w:r>
    </w:p>
    <w:p>
      <w:pPr>
        <w:pStyle w:val="ListBullet"/>
      </w:pPr>
      <w:r>
        <w:t>1 a 3: EPS que operan en el territorio (total, régimen contributivo, subsidiado).</w:t>
      </w:r>
    </w:p>
    <w:p>
      <w:pPr>
        <w:pStyle w:val="ListBullet"/>
      </w:pPr>
      <w:r>
        <w:t>4: EPS intervenidas por Supersalud (por la sede de la EPS; valor departamental).</w:t>
      </w:r>
    </w:p>
    <w:p>
      <w:pPr>
        <w:pStyle w:val="ListBullet"/>
      </w:pPr>
      <w:r>
        <w:t>5 y 6: afiliados al régimen subsidiado y al contributivo.</w:t>
      </w:r>
    </w:p>
    <w:p>
      <w:pPr>
        <w:pStyle w:val="ListBullet"/>
      </w:pPr>
      <w:r>
        <w:t>7: cobertura de afiliación (anillo). Tope en 100 %.</w:t>
      </w:r>
    </w:p>
    <w:p>
      <w:pPr>
        <w:pStyle w:val="ListBullet"/>
      </w:pPr>
      <w:r>
        <w:t>Pirámide de afiliados por régimen, sexo y grupo de edad (BDUA, con su fecha de corte).</w:t>
      </w:r>
    </w:p>
    <w:p>
      <w:pPr>
        <w:pStyle w:val="ListBullet"/>
      </w:pPr>
      <w:r>
        <w:t>8 a 11: afiliados al régimen subsidiado sin Sisbén IV, poblaciones especiales, afiliados de oficio y no pobres no vulnerables, con una línea de tendencia mensual.</w:t>
      </w:r>
    </w:p>
    <w:p>
      <w:pPr>
        <w:pStyle w:val="Heading3"/>
      </w:pPr>
      <w:r>
        <w:t>Prestación de servicios</w:t>
      </w:r>
    </w:p>
    <w:p>
      <w:pPr>
        <w:pStyle w:val="ListBullet"/>
      </w:pPr>
      <w:r>
        <w:t>1 a 4: IPS habilitadas (total, públicas, privadas, mixtas) y su composición en la dona.</w:t>
      </w:r>
    </w:p>
    <w:p>
      <w:pPr>
        <w:pStyle w:val="ListBullet"/>
      </w:pPr>
      <w:r>
        <w:t>5: capacidad instalada (camas, consultorios, salas de cirugía, UCI de adultos y pediátricas).</w:t>
      </w:r>
    </w:p>
    <w:p>
      <w:pPr>
        <w:pStyle w:val="ListBullet"/>
      </w:pPr>
      <w:r>
        <w:t>6: IPS intervenidas por Supersalud (valor departamental).</w:t>
      </w:r>
    </w:p>
    <w:p>
      <w:pPr>
        <w:pStyle w:val="ListBullet"/>
      </w:pPr>
      <w:r>
        <w:t>Estado de las intervenciones: fuente pendiente (Supersalud).</w:t>
      </w:r>
    </w:p>
    <w:p>
      <w:pPr>
        <w:pStyle w:val="Heading3"/>
      </w:pPr>
      <w:r>
        <w:t>Financiamiento</w:t>
      </w:r>
    </w:p>
    <w:p>
      <w:r>
        <w:t>Once razones de ejecución presupuestal, en porcentaje:</w:t>
      </w:r>
    </w:p>
    <w:p>
      <w:pPr>
        <w:pStyle w:val="ListBullet"/>
      </w:pPr>
      <w:r>
        <w:t>1 a 3: ejecución del Fondo Local de Salud (compromisos y pagos frente al recaudo y a la apropiación).</w:t>
      </w:r>
    </w:p>
    <w:p>
      <w:pPr>
        <w:pStyle w:val="ListBullet"/>
      </w:pPr>
      <w:r>
        <w:t>4 a 7: ejecución de los recursos del SGP de salud pública y de subsidio a la oferta frente a la asignación del DNP.</w:t>
      </w:r>
    </w:p>
    <w:p>
      <w:pPr>
        <w:pStyle w:val="ListBullet"/>
      </w:pPr>
      <w:r>
        <w:t>8: cofinanciación del régimen subsidiado: lo girado en el año frente a la meta anual proporcional a los meses transcurridos.</w:t>
      </w:r>
    </w:p>
    <w:p>
      <w:pPr>
        <w:pStyle w:val="ListBullet"/>
      </w:pPr>
      <w:r>
        <w:t>9 a 11: Circular 030, pagos PNA/NPBS y pagos a migrantes: fuente pendiente (Supersalud).</w:t>
      </w:r>
    </w:p>
    <w:p>
      <w:r>
        <w:t>Las notas de cada tarjeta muestran los montos en pesos. El texto bajo el encabezado indica el alcance: el municipio, la gobernación (sin sus municipios) o, para Bogotá, el Fondo Financiero Distrital de Salud.</w:t>
      </w:r>
    </w:p>
    <w:p>
      <w:pPr>
        <w:pStyle w:val="Heading2"/>
      </w:pPr>
      <w:r>
        <w:t>6. Fuentes y periodicidad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Fuente</w:t>
            </w:r>
          </w:p>
        </w:tc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Datos</w:t>
            </w:r>
          </w:p>
        </w:tc>
        <w:tc>
          <w:tcPr>
            <w:tcW w:type="dxa" w:w="288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Actualización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DANE — Proyecciones de población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Población por sexo y pertenencia étnica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DANE — Estadísticas vitales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Nacimientos y defunciones fetales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Anual (cifras definitivas)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MSPS — Cifras de afiliación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Afiliados por régimen y municipio, cobertura, Sisbén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ADRES — BDUA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EPS por territorio, pirámide de afiliados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MSPS — REPS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Prestadores habilitados y capacidad instalada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Supersalud — Medidas especiales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IPS y EPS intervenidas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 — SIVIGILA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Casos por evento y municipio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Anual (definitivo) y semanal (preliminar)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 — Informes de evento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Razón de mortalidad materna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Por periodo epidemiológico (13 al año)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 — SIVICAP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IRCA mensual por municipio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INS — Evaluación del desempeño de la VSP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Indicadores 10 y 11 de Salud pública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CGR — CUIPO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Ejecución presupuestal en salud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Trimestral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DNP — SICODIS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Asignaciones del SGP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Anual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MSPS y ADRES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Meta y giros de cofinanciación del régimen subsidiado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Mensual</w:t>
            </w:r>
          </w:p>
        </w:tc>
      </w:tr>
    </w:tbl>
    <w:p/>
    <w:p>
      <w:pPr>
        <w:pStyle w:val="Heading2"/>
      </w:pPr>
      <w:r>
        <w:t>7. Indicadores con fuente pendiente</w:t>
      </w:r>
    </w:p>
    <w:p>
      <w:r>
        <w:t>La FCT incluye información que no está publicada en ninguna fuente abierta. Mientras Supersalud o el INS la suministren, sus tarjetas aparecen en gris:</w:t>
      </w:r>
    </w:p>
    <w:p>
      <w:pPr>
        <w:pStyle w:val="ListBullet"/>
      </w:pPr>
      <w:r>
        <w:t>Salud pública 9: cumplimiento de estándares de calidad de los laboratorios de salud pública (INS).</w:t>
      </w:r>
    </w:p>
    <w:p>
      <w:pPr>
        <w:pStyle w:val="ListBullet"/>
      </w:pPr>
      <w:r>
        <w:t>Prestación: estado de las intervenciones (el listado público solo indica que la medida existe).</w:t>
      </w:r>
    </w:p>
    <w:p>
      <w:pPr>
        <w:pStyle w:val="ListBullet"/>
      </w:pPr>
      <w:r>
        <w:t>Financiamiento 9, 10 y 11: Circular 030 de 2013, pagos PNA y NPBS, pagos a migrantes no regulares.</w:t>
      </w:r>
    </w:p>
    <w:p>
      <w:pPr>
        <w:pStyle w:val="Heading2"/>
      </w:pPr>
      <w:r>
        <w:t>8. Actualización de los datos</w:t>
      </w:r>
    </w:p>
    <w:p>
      <w:r>
        <w:t>Los datos se procesan y publican una vez al mes. El tablero se actualiza solo:</w:t>
      </w:r>
    </w:p>
    <w:p>
      <w:pPr>
        <w:pStyle w:val="ListBullet"/>
      </w:pPr>
      <w:r>
        <w:rPr>
          <w:b/>
        </w:rPr>
        <w:t>Con internet:</w:t>
      </w:r>
      <w:r>
        <w:t xml:space="preserve"> al abrirse, busca la última versión publicada; si es más nueva que la suya, la descarga (unos 14 MB), la verifica y la instala. Aparece un aviso "Datos actualizados a la versión …" y la versión nueva en la barra lateral.</w:t>
      </w:r>
    </w:p>
    <w:p>
      <w:pPr>
        <w:pStyle w:val="ListBullet"/>
      </w:pPr>
      <w:r>
        <w:rPr>
          <w:b/>
        </w:rPr>
        <w:t>Sin internet:</w:t>
      </w:r>
      <w:r>
        <w:t xml:space="preserve"> sigue mostrando la versión que tiene. En la barra lateral aparece "No se pudo comprobar si hay datos más recientes".</w:t>
      </w:r>
    </w:p>
    <w:p>
      <w:pPr>
        <w:pStyle w:val="ListBullet"/>
      </w:pPr>
      <w:r>
        <w:rPr>
          <w:b/>
        </w:rPr>
        <w:t>Actualización manual:</w:t>
      </w:r>
      <w:r>
        <w:t xml:space="preserve"> si le comparten el archivo </w:t>
      </w:r>
      <w:r>
        <w:rPr>
          <w:rFonts w:ascii="Consolas" w:hAnsi="Consolas"/>
          <w:sz w:val="18"/>
        </w:rPr>
        <w:t>informe_regional_visor.duckdb</w:t>
      </w:r>
      <w:r>
        <w:t xml:space="preserve"> (por correo, USB o SharePoint), cópielo en la carpeta </w:t>
      </w:r>
      <w:r>
        <w:rPr>
          <w:rFonts w:ascii="Consolas" w:hAnsi="Consolas"/>
          <w:sz w:val="18"/>
        </w:rPr>
        <w:t>InformeRegional\app\data\actualizacion\</w:t>
      </w:r>
      <w:r>
        <w:t xml:space="preserve"> y vuelva a abrir el tablero. El archivo se instala y desaparece de esa carpeta.</w:t>
      </w:r>
    </w:p>
    <w:p>
      <w:r>
        <w:t>El tablero nunca retrocede a una versión anterior ni instala un archivo dañado.</w:t>
      </w:r>
    </w:p>
    <w:p>
      <w:pPr>
        <w:pStyle w:val="Heading2"/>
      </w:pPr>
      <w:r>
        <w:t>9. Preguntas frecuentes</w:t>
      </w:r>
    </w:p>
    <w:p>
      <w:r>
        <w:rPr>
          <w:b/>
        </w:rPr>
        <w:t>El navegador no se abre.</w:t>
      </w:r>
      <w:r>
        <w:t xml:space="preserve"> Copie en el navegador la dirección que muestra la ventana negra (</w:t>
      </w:r>
      <w:r>
        <w:rPr>
          <w:rFonts w:ascii="Consolas" w:hAnsi="Consolas"/>
          <w:sz w:val="18"/>
        </w:rPr>
        <w:t>http://localhost:8765</w:t>
      </w:r>
      <w:r>
        <w:t xml:space="preserve"> o similar).</w:t>
      </w:r>
    </w:p>
    <w:p>
      <w:r>
        <w:rPr>
          <w:b/>
        </w:rPr>
        <w:t>La ventana negra se cierra sola o muestra un error.</w:t>
      </w:r>
      <w:r>
        <w:t xml:space="preserve"> Descomprima el zip de nuevo en una carpeta local (no en el zip, no en una unidad de red) y vuelva a intentarlo. Si el error persiste, envíe una foto de la ventana al equipo que administra el tablero.</w:t>
      </w:r>
    </w:p>
    <w:p>
      <w:r>
        <w:rPr>
          <w:b/>
        </w:rPr>
        <w:t>Aparece "No hay datos para mostrar todavía".</w:t>
      </w:r>
      <w:r>
        <w:t xml:space="preserve"> La carpeta </w:t>
      </w:r>
      <w:r>
        <w:rPr>
          <w:rFonts w:ascii="Consolas" w:hAnsi="Consolas"/>
          <w:sz w:val="18"/>
        </w:rPr>
        <w:t>app\data</w:t>
      </w:r>
      <w:r>
        <w:t xml:space="preserve"> no tiene datos. Conecte el equipo a internet y recargue la página (F5), o use la actualización manual.</w:t>
      </w:r>
    </w:p>
    <w:p>
      <w:r>
        <w:rPr>
          <w:b/>
        </w:rPr>
        <w:t>Aparece "El archivo de datos está dañado o incompleto".</w:t>
      </w:r>
      <w:r>
        <w:t xml:space="preserve"> Use la actualización manual o conecte el equipo a internet y recargue: el tablero descargará de nuevo la última versión.</w:t>
      </w:r>
    </w:p>
    <w:p>
      <w:r>
        <w:rPr>
          <w:b/>
        </w:rPr>
        <w:t>Una tarjeta muestra N/D.</w:t>
      </w:r>
      <w:r>
        <w:t xml:space="preserve"> La fuente no tiene dato para ese territorio y periodo (por ejemplo, un municipio que el boletín del INS no lista). Pruebe el nivel departamental o un periodo anterior.</w:t>
      </w:r>
    </w:p>
    <w:p>
      <w:r>
        <w:rPr>
          <w:b/>
        </w:rPr>
        <w:t>El tablero se ve cortado o desordenado.</w:t>
      </w:r>
      <w:r>
        <w:t xml:space="preserve"> Amplíe la ventana del navegador o reduzca el zoom (Ctrl y −). Si cambió de tamaño la ventana, recargue con F5.</w:t>
      </w:r>
    </w:p>
    <w:p>
      <w:r>
        <w:rPr>
          <w:b/>
        </w:rPr>
        <w:t>¿Puedo compartir el tablero?</w:t>
      </w:r>
      <w:r>
        <w:t xml:space="preserve"> Sí: entregue el zip. Cada persona lo descomprime en su equipo. Los datos se actualizan solos en cada copia.</w:t>
      </w:r>
    </w:p>
    <w:p>
      <w:r>
        <w:rPr>
          <w:b/>
        </w:rPr>
        <w:t>¿Puedo imprimir o exportar?</w:t>
      </w:r>
      <w:r>
        <w:t xml:space="preserve"> Use la impresión del navegador (Ctrl+P) sobre la página deseada; la Ficha territorial está pensada para eso. Los gráficos de Plotly permiten guardar la imagen desde su menú al pasar el ratón.</w:t>
      </w:r>
    </w:p>
    <w:p>
      <w:r>
        <w:rPr>
          <w:b/>
        </w:rPr>
        <w:t>¿Cómo sé de cuándo son los datos?</w:t>
      </w:r>
      <w:r>
        <w:t xml:space="preserve"> La versión en la barra lateral es la fecha de publicación; cada tarjeta indica el periodo de su fuente.</w:t>
      </w:r>
    </w:p>
    <w:p>
      <w:pPr>
        <w:pStyle w:val="Heading2"/>
      </w:pPr>
      <w:r>
        <w:t>10. Glosario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Término</w:t>
            </w:r>
          </w:p>
        </w:tc>
        <w:tc>
          <w:tcPr>
            <w:tcW w:type="dxa" w:w="4320"/>
            <w:shd w:val="clear" w:fill="E0F2F1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Significado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BDUA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Base de Datos Única de Afiliados (ADRES)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EPS / IPS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Entidad Promotora de Salud / Institución Prestadora de Servicios de Salud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Fondo Local de Salud (presupuesto de salud de la entidad territorial)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IRCA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Índice de Riesgo de la Calidad del Agua para consumo humano (0 = sin riesgo, 100 = inviable)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LMA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Liquidación Mensual de Afiliados (ADRES): giros del régimen subsidiado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LSP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Laboratorio de Salud Pública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Periodo epidemiológico: 13 periodos de 4 semanas por año (PE I a PE XIII)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REPS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Registro Especial de Prestadores de Servicios de Salud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SGP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General de Participaciones (transferencias de la Nación)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Sisbén IV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Clasificación socioeconómica vigente para el régimen subsidiado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SIVICAP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de Información de la Vigilancia de la Calidad del Agua Potable (INS)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SIVIGILA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Sistema de Vigilancia en Salud Pública (INS)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VSP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Vigilancia en Salud Pública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5D5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5D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5D5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