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613B" w14:textId="77777777" w:rsidR="00266920" w:rsidRDefault="00266920" w:rsidP="00266920">
      <w:r>
        <w:t>Employees receive health insurance coverage.</w:t>
      </w:r>
    </w:p>
    <w:p w14:paraId="5150D240" w14:textId="77777777" w:rsidR="00266920" w:rsidRDefault="00266920" w:rsidP="00266920"/>
    <w:p w14:paraId="5CA954CE" w14:textId="249EB579" w:rsidR="00706653" w:rsidRDefault="00266920" w:rsidP="00266920">
      <w:r>
        <w:t>Performance reviews are conducted every six months.</w:t>
      </w:r>
    </w:p>
    <w:sectPr w:rsidR="00706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653"/>
    <w:rsid w:val="00266920"/>
    <w:rsid w:val="005B6B2E"/>
    <w:rsid w:val="0070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C2D598-02A2-42A4-B542-E892BC7EF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Navitha elango</dc:creator>
  <cp:keywords/>
  <dc:description/>
  <cp:lastModifiedBy>Navitha elango</cp:lastModifiedBy>
  <cp:revision>2</cp:revision>
  <dcterms:created xsi:type="dcterms:W3CDTF">2026-06-24T18:51:00Z</dcterms:created>
  <dcterms:modified xsi:type="dcterms:W3CDTF">2026-06-24T18:51:00Z</dcterms:modified>
</cp:coreProperties>
</file>