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48"/>
          <w:szCs w:val="48"/>
          <w:rtl w:val="0"/>
        </w:rPr>
        <w:t xml:space="preserve">                DBMS Hackathon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Algerian" w:cs="Algerian" w:eastAsia="Algerian" w:hAnsi="Algeri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lgerian" w:cs="Algerian" w:eastAsia="Algerian" w:hAnsi="Algerian"/>
          <w:sz w:val="24"/>
          <w:szCs w:val="24"/>
        </w:rPr>
      </w:pPr>
      <w:r w:rsidDel="00000000" w:rsidR="00000000" w:rsidRPr="00000000">
        <w:rPr>
          <w:rFonts w:ascii="Algerian" w:cs="Algerian" w:eastAsia="Algerian" w:hAnsi="Algerian"/>
          <w:sz w:val="24"/>
          <w:szCs w:val="24"/>
          <w:rtl w:val="0"/>
        </w:rPr>
        <w:t xml:space="preserve">Navneet sangam</w:t>
      </w:r>
    </w:p>
    <w:p w:rsidR="00000000" w:rsidDel="00000000" w:rsidP="00000000" w:rsidRDefault="00000000" w:rsidRPr="00000000" w14:paraId="00000004">
      <w:pPr>
        <w:rPr>
          <w:rFonts w:ascii="Algerian" w:cs="Algerian" w:eastAsia="Algerian" w:hAnsi="Algerian"/>
          <w:sz w:val="24"/>
          <w:szCs w:val="24"/>
        </w:rPr>
      </w:pPr>
      <w:r w:rsidDel="00000000" w:rsidR="00000000" w:rsidRPr="00000000">
        <w:rPr>
          <w:rFonts w:ascii="Algerian" w:cs="Algerian" w:eastAsia="Algerian" w:hAnsi="Algerian"/>
          <w:sz w:val="24"/>
          <w:szCs w:val="24"/>
          <w:rtl w:val="0"/>
        </w:rPr>
        <w:t xml:space="preserve">20bcs090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All the relationships in the above ERD diagram are binary relationships. The cardinality of these relationships is as follows: 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• Students-Enrollment : One to Many 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• Enrollment-Classes: Many to One 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• Classes-Staff: Many to One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• Classes-Pool: Many to One 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• Classes-Level: Many to One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Degree of these relationships is 6 (Quaternary)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only weak entity in this model is 20BCS090_Enrollment.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is because it does not have a Primary Key consisting of attributes of its own, but has 2 Foreign Keys taken together as its Primary Key. Therefore, the entity’s existence depends on the existence of the other 2 entities.Remaining all entities are strong.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is no data redundancy occurring in this model.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the tables have the necessary and relevant information stored in them, and where there is a need, foreign keys are made use to reference data in other relations.</w:t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