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Snapshot</w:t>
      </w:r>
    </w:p>
    <w:p>
      <w:r>
        <w:t>Source: test1.pdf</w:t>
      </w:r>
    </w:p>
    <w:p>
      <w:r>
        <w:t>Priority: HIGH</w:t>
      </w:r>
    </w:p>
    <w:p>
      <w:r>
        <w:t>Confidence: 100%</w:t>
      </w:r>
    </w:p>
    <w:p/>
    <w:p>
      <w:pPr>
        <w:pStyle w:val="Heading1"/>
      </w:pPr>
      <w:r>
        <w:t>Role-Specific Summary</w:t>
      </w:r>
    </w:p>
    <w:p>
      <w:r>
        <w:t>The 'NAMASTE' scheme is to formalize and institutionalised the .persons engaged in hazardous cleaning of sewers and septic tanks and promoting .safe and mechanized cleaning through trained sanitation workers . The scheme is jointly being implemented by the Ministry of Social Justice and .Empowerment (MoSJE) and the . Ministry of Housing and Urban Affairs (MOHUA) The scheme will be implemented for three years from FY 2023-24 to FY 2025-26 .</w:t>
      </w:r>
    </w:p>
    <w:p>
      <w:r>
        <w:t>NAMASTE scheme aims to foster convergence with ministies such as the Ministry of Health and Family Welfare, Ministry for Promotion of Industry and Intemal Trade, Department of Drinking . The scheme provides support in various forms, such as occupational safety training, provision of personal protective equipment (PPE) and purchase of sanitation-related equipment . The funds to the State PMU would be released by NSKFDC as per TOR issued with letter U-19014/68/2022 .</w:t>
      </w:r>
    </w:p>
    <w:p>
      <w:r>
        <w:t>Emergency Response Sanitation Unit (ERSU) will be set up in all Municipal andlor Water &amp; Sewer Board and in capital cities of each State/UT, and at district headquarters . The ERSU shall be responsible to meet sanitation emergency requests from all smaller towns within a cluster say 75 km radius . 1100 ERSUs are envisaged to be . set up across the country . The NAMASTE scheme aims to enhance the occupational safety of sanitation workers by providing personal protective equipment .</w:t>
      </w:r>
    </w:p>
    <w:p>
      <w:r>
        <w:t>NAMASTE aims to provide PPE, safety devices and equipment for workers entering sewers and septic tanks . Emergency Response Sanitation Unit (ERSU) will be headed by the Responsible Sanitation Authority (RSA) ERSU will be set up in all Municipal andlor Water &amp; Sewer Board and in capital cities of each State/UT . The aim is to provide a professional, well-trained, motivated, and adequately equipped workforce for maintenance and management of sewers .</w:t>
      </w:r>
    </w:p>
    <w:p/>
    <w:p>
      <w:pPr>
        <w:pStyle w:val="Heading1"/>
      </w:pPr>
      <w:r>
        <w:t>Key Tables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cost up to Rs. 5.00</w:t>
              <w:br/>
              <w:t>lakh</w:t>
            </w:r>
          </w:p>
        </w:tc>
        <w:tc>
          <w:tcPr>
            <w:tcW w:type="dxa" w:w="4320"/>
          </w:tcPr>
          <w:p>
            <w:r>
              <w:t>50% of the project cost</w:t>
            </w:r>
          </w:p>
        </w:tc>
      </w:tr>
      <w:tr>
        <w:tc>
          <w:tcPr>
            <w:tcW w:type="dxa" w:w="4320"/>
          </w:tcPr>
          <w:p>
            <w:r>
              <w:t>Project cost above Rs. 5.00</w:t>
              <w:br/>
              <w:t>lakh and up to Rs. 15.00 lakh</w:t>
            </w:r>
          </w:p>
        </w:tc>
        <w:tc>
          <w:tcPr>
            <w:tcW w:type="dxa" w:w="4320"/>
          </w:tcPr>
          <w:p>
            <w:r>
              <w:t>Rs. 2.50 lakh + 25% of the remaining</w:t>
              <w:br/>
              <w:t>project cost above Rs. 5.00 lakh</w:t>
            </w:r>
          </w:p>
        </w:tc>
      </w:tr>
      <w:tr>
        <w:tc>
          <w:tcPr>
            <w:tcW w:type="dxa" w:w="4320"/>
          </w:tcPr>
          <w:p>
            <w:r>
              <w:t>For Group projects costing up</w:t>
              <w:br/>
              <w:t>to Rs. 50.00 lakh with each</w:t>
              <w:br/>
              <w:t>beneficiary project share</w:t>
              <w:br/>
              <w:t>maximum up to Rs. 10.00</w:t>
              <w:br/>
              <w:t>lakh.</w:t>
            </w:r>
          </w:p>
        </w:tc>
        <w:tc>
          <w:tcPr>
            <w:tcW w:type="dxa" w:w="4320"/>
          </w:tcPr>
          <w:p>
            <w:r>
              <w:t>Same as above with maximum per</w:t>
              <w:br/>
              <w:t>member capital subsidy of Rs. 3.75 lakh</w:t>
              <w:br/>
              <w:t>and maximum group project subsidy of</w:t>
              <w:br/>
              <w:t>Rs. 18.75 lakh.</w:t>
            </w:r>
          </w:p>
        </w:tc>
      </w:tr>
    </w:tbl>
    <w:p/>
    <w:p>
      <w:r>
        <w:t>Traceability: test1.pdf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