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Engineering Snapshot</w:t>
      </w:r>
    </w:p>
    <w:p>
      <w:r>
        <w:t>Source: test4.pdf</w:t>
      </w:r>
    </w:p>
    <w:p/>
    <w:p>
      <w:pPr>
        <w:pStyle w:val="Heading1"/>
      </w:pPr>
      <w:r>
        <w:t>Role-Specific Summary</w:t>
      </w:r>
    </w:p>
    <w:p>
      <w:r>
        <w:t>Cities are witnessing fast growth in the number of personal motor vehicles in India . Mass Rapid Transit systems such as metro rail, bus rapid transit, light rail, et. would require implementation of Mass Transit systems . Urban Rail, popularly referred to as Metro Rail, has seen substantial growth in Indian infrastructure . Some have been financed by the central goverment in partnership with the state governments, while others are funded by the state government .</w:t>
      </w:r>
    </w:p>
    <w:p>
      <w:r>
        <w:t>Regional rail caters to passenger services within a larger urban agglomerate or metropolitan area connecting the outskirts to the center of the city . Metro rail can have a very high capacity of 40,000 — 80,000 passengers per hour per direction (PPHPD) Regional rail are common in large metropolitan cities and help in decongesting the city center by providing safe, speedy access to the city centre .</w:t>
      </w:r>
    </w:p>
    <w:p>
      <w:r>
        <w:t>A 30-year horizon of 30 years or more may be taken for forecasting the cost and revenue variables . Metro rail projects provide larger economic and social benefits to the society in terms of bringing down noise pollution, noise pollution etc. very limited. The mode which matches the demand projections over the project lite cycle and has the least cost should be chosen. The State Governments shall commit to provide required support to metro rail companies/agencies to ensure financial sustainability during operations .</w:t>
      </w:r>
    </w:p>
    <w:p>
      <w:r>
        <w:t>The commitment by the State Government to adhere to the guidelines issued by the central government wr.r. TOD and adoption of VCF framework should be an integral part of the project proposal . Commercial/property development at stations and on other urban land has been around the world . The project report should specify the proposed quantum of such benefits being transferred to the project. This would form a mandatory part of all metro rail project proposals .</w:t>
      </w:r>
    </w:p>
    <w:p>
      <w:r>
        <w:t>Public Private Partnership (PPP) is some of the options for a way forward for PPP in Metro Rail . Central financial assistance for metro rail system in a city should mandatorily explore the possibility of having a PPP arrangement . Monitoring of Performance of metro rail projects during construction and implementation shall be monitored regularly against established Key Performance Indicators to ensure high standards of service delivery. The metro rail implementing agencies shall put in place an appropriate monitoring mechanism for this and the same should be outlined in the project report .</w:t>
      </w:r>
    </w:p>
    <w:p>
      <w:r>
        <w:t>Public Private Partnership (PPP) Grant by the Central Government: Central Government will consider providing a grant of 10% of project cost, excluding private investment, cost of land, rehabilitation &amp; resettlement . Equity Sharing Mode: Projects will be taken up under equal ownership of Central and State Government concerned through equal sharing of equity . In this model, public private partnership in some form for implementation of operation &amp; maintenance, fare collection or any other unbundled activities of the proposed metro rail project, wherever feasible, PPP will be required .</w:t>
      </w:r>
    </w:p>
    <w:p/>
    <w:p>
      <w:r>
        <w:t>Traceability: test4.pdf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