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Snapshot</w:t>
      </w:r>
    </w:p>
    <w:p>
      <w:r>
        <w:t>Source: test4.pdf</w:t>
      </w:r>
    </w:p>
    <w:p/>
    <w:p>
      <w:pPr>
        <w:pStyle w:val="Heading1"/>
      </w:pPr>
      <w:r>
        <w:t>Role-Specific Summary</w:t>
      </w:r>
    </w:p>
    <w:p>
      <w:r>
        <w:t>Urban Rail, popularly referred to as Metro Rail, has seen substantial growth in Indian cities . Some have been financed by the central goverment in partnership with the state governments, while others have been funded by the state government . Mumbai Metro Line-1 and Hyderabad metro rail have been taken up with Viability Gap Funding from Government of India .</w:t>
      </w:r>
    </w:p>
    <w:p>
      <w:r>
        <w:t>Central Government will consider providing a grant of 10% of project cost . Equity Sharing Mode: Projects will be taken up under equal ownership of Central and State Government concerned through equal sharing of equity . In some form for implementation of operation &amp; maintenance, fare collection or any other unbundled activities of the proposed metro rail project, wherever feasible, PPP will be required .</w:t>
      </w:r>
    </w:p>
    <w:p/>
    <w:p>
      <w:r>
        <w:t>Traceability: test4.pdf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