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Snapshot</w:t>
      </w:r>
    </w:p>
    <w:p>
      <w:r>
        <w:t>Source: test4.pdf</w:t>
      </w:r>
    </w:p>
    <w:p/>
    <w:p>
      <w:pPr>
        <w:pStyle w:val="Heading1"/>
      </w:pPr>
      <w:r>
        <w:t>Role-Specific Summary</w:t>
      </w:r>
    </w:p>
    <w:p>
      <w:r>
        <w:t>Cities are witnessing fast growth in the number of personal motor vehicles in India . The need for a policy on metro rail has been felt necessary to ensure that such systems are decided upon and implemented in the most sustainable manner . The following are the prevalent broad models of financing metro rail in India: The existing 50:50 Joint Venture model that is predominantly the major model . The other model is the Public Private Partnership (PPP) model .</w:t>
      </w:r>
    </w:p>
    <w:p>
      <w:r>
        <w:t>Metro rail is a fully segregated rail based mass transit system, which could be at grade, elevated or underground . Regional rail caters to passenger services within a larger metropolitan agglomerate or metropolitan area connecting the outskirts to the center of the city . Metro rail can have a capacity of 40,000 — 80,000 passengers per hour per direction (PPHPD) Regional rail are common in large metropolitan cities and help in decongesting the city center .</w:t>
      </w:r>
    </w:p>
    <w:p>
      <w:r>
        <w:t>Metro rail projects provide larger economic and social benefits to the society in terms of noise pollution, noise pollution etc. Enhancing mobility catalyzes the economic development and improves the livability of a city . Every proposal for Metro Rail should necessarily include proposals for feeder systems that help to enlarge the catchment area of metro lines . The State Governments shall commit to provide required support to metro rail companies/agencies to ensure financial sustainability during operations .</w:t>
      </w:r>
    </w:p>
    <w:p>
      <w:r>
        <w:t>Last mile connectivity through pedestrian-friendly pathways, Non-Motorized Transport (NMT) infrastructure, and induction of . central financing assistance . The commitment by the State Government to adhere to the guidelines issued by the central government wr.r. TOD and adoption of VCF (VCF) framework should be an integral part of the project proposal . Commercial/property development at stations and on other urban land has been . around the world .</w:t>
      </w:r>
    </w:p>
    <w:p>
      <w:r>
        <w:t>The project reports, which entail financial assistance from the Government of India, will be appraised by an independent agency/ agencies identified by the government . The Government will come up with a rigorous appraisal framework for appraisal of proposals . The various options for central financial assistance for metro projects are as below: Public Private Partnership (PPP) in some form for metro rail systems in a city should mandatorily explore the possibility of having a PPP arrangement .</w:t>
      </w:r>
    </w:p>
    <w:p>
      <w:r>
        <w:t>Indian cities are growing rapidly and need to focus on improving the public transport system . Most of the metro rail projects have been financed by the central goverment in partnership with the state government . The choice of a particularMRTS will depend on a variety of factors like demand, capacity, cost and ease of implementation . Government of India on its own may take up, after consultation with the concerned state government(s), in the existing equity sharing model or any other funding pattern .</w:t>
      </w:r>
    </w:p>
    <w:p/>
    <w:p>
      <w:r>
        <w:t>Traceability: test4.pdf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