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Safety Snapshot</w:t>
      </w:r>
    </w:p>
    <w:p>
      <w:r>
        <w:t>Source: test4.pdf</w:t>
      </w:r>
    </w:p>
    <w:p/>
    <w:p>
      <w:pPr>
        <w:pStyle w:val="Heading1"/>
      </w:pPr>
      <w:r>
        <w:t>Role-Specific Summary</w:t>
      </w:r>
    </w:p>
    <w:p>
      <w:r>
        <w:t>Cities are witnessing fast growth in the number of personal motor vehicles, which would require implementation of Mass Transit systems such as metro rail, bus rapid transit, light rail, et.urban rail and tramways . Some have been funded by the central goverment in partnership with the state, while others are funded by state governments . Mumbai Metro Line-1 and Hyderabad metro rail have been taken up with Viability Gap Funding (VGF) from Government of India .</w:t>
      </w:r>
    </w:p>
    <w:p>
      <w:r>
        <w:t>Regional rail caters to passenger services within a larger urban agglomerate or metropolitan area connecting the outskirts to the center of the city . Regional rail is common in large metropolitan cities and help in decongesting the city center by providing safe, and speedy access to the city's suburbs . A Comprehensive Mobility Plan (CMP) is a mandatory prerequisite for the planning of mass transit systems including metro rail based on the CMP .</w:t>
      </w:r>
    </w:p>
    <w:p>
      <w:r>
        <w:t>The mode which matches the demand projections over the project lite cycle and has the least cost should be chosen . Metro rail projects provide larger economic and social benefits to the society in terms of bringing down noise pollution and noise pollution . The State Governments should commit to provide required support to metro rail companies/agencies to ensure financial sustainability during operations . The proposal should mandatorily contain a chapter on the “Transit Oriented Development (TOD) and Value Capture Finance (VCF)</w:t>
      </w:r>
    </w:p>
    <w:p>
      <w:r>
        <w:t>The commitment by the State Government to adhere to the guidelines issued by the central government wr.r. TOD and adoption of VCFframework should be an integral part of the project proposal . Metro rail implementing agencies should endeavor to maximize revenue through commercial development at stations and on land allocated for this purpose . The project report should specify the proposed quantum of such benefits being transferred to the project. This would form a mandatory part of all metro rail project proposals .</w:t>
      </w:r>
    </w:p>
    <w:p>
      <w:r>
        <w:t>Government will encourage Public Private Partnership (PPP) for implementation of metro rail system in a city should mandatorily explore the possibility of having a PPP arrangement . Central Government will consider providing a grant of 10% of project cost, excluding private investment, cost of land, rehabilitation &amp; resettlement (PPP) and tax, to the state government for the construction of a metro rail project . The various options for central financial assistance for metro projects are as below .</w:t>
      </w:r>
    </w:p>
    <w:p>
      <w:r>
        <w:t>Government of India will provide financial support to metro rail projects in the form of equity and subordinate debt (for part of taxes), subject to an overall ceiling of 20% of the cost of the project excluding private investment, cost of land, rehabilitation and resettlement . In this model, public private partnership (PPP) in some form for implementation of operation &amp; maintenance, fare collection or any other unbundled activities of the proposed metro rail project, wherever feasible, PPP will be required .</w:t>
      </w:r>
    </w:p>
    <w:p/>
    <w:p>
      <w:r>
        <w:t>Traceability: test4.pdf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