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17"/>
          <w:szCs w:val="17"/>
        </w:rPr>
        <w:t xml:space="preserve">CLINICAL DECISION CAPTURE SHEET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40"/>
          <w:szCs w:val="40"/>
        </w:rPr>
        <w:t xml:space="preserve">Kidney Transplant Compatibility System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0"/>
          <w:sz w:val="21"/>
          <w:szCs w:val="21"/>
        </w:rPr>
        <w:t xml:space="preserve">Sixty values the software currently assumes — and the numbers we need from you</w:t>
      </w:r>
    </w:p>
    <w:p>
      <w:pPr>
        <w:pBdr>
          <w:bottom w:val="single" w:color="2563EB" w:sz="8"/>
        </w:pBdr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spacing w:after="1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>This system contains roughly sixty clinical and policy values that were chosen without a clinical source: antibody cutoffs, mismatch thresholds, risk bands, allocation weights. Each one is a decision that belongs to this room, not to the developer.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19"/>
          <w:szCs w:val="19"/>
        </w:rPr>
        <w:t xml:space="preserve">Please write on this sheet. Anything left blank stays a guess.</w:t>
      </w:r>
    </w:p>
    <w:p>
      <w:pPr>
        <w:pBdr>
          <w:left w:val="single" w:color="2563EB" w:sz="18"/>
        </w:pBdr>
        <w:shd w:fill="EFF6FF" w:color="auto" w:val="clear"/>
        <w:spacing w:after="130" w:before="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18"/>
          <w:szCs w:val="18"/>
        </w:rPr>
        <w:t xml:space="preserve">Two follow-ups worth asking on every answer:</w:t>
      </w:r>
    </w:p>
    <w:p>
      <w:pPr>
        <w:spacing w:after="60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8"/>
          <w:szCs w:val="18"/>
        </w:rPr>
        <w:t xml:space="preserve">1.  Is that your centre’s practice, or is it from a guideline we can cite?</w:t>
      </w:r>
    </w:p>
    <w:p>
      <w:pPr>
        <w:spacing w:after="240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8"/>
          <w:szCs w:val="18"/>
        </w:rPr>
        <w:t xml:space="preserve">2.  Is that a hard stop, or a flag for a human to review?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0"/>
          <w:sz w:val="18"/>
          <w:szCs w:val="18"/>
        </w:rPr>
        <w:t xml:space="preserve">Shaded rows </w:t>
      </w:r>
      <w:r>
        <w:rPr>
          <w:rFonts w:ascii="Calibri" w:cs="Calibri" w:eastAsia="Calibri" w:hAnsi="Calibri"/>
          <w:b/>
          <w:bCs/>
          <w:i w:val="false"/>
          <w:iCs w:val="false"/>
          <w:color w:val="5B6470"/>
          <w:sz w:val="18"/>
          <w:szCs w:val="18"/>
        </w:rPr>
        <w:t xml:space="preserve">are the highest priority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0"/>
          <w:sz w:val="18"/>
          <w:szCs w:val="18"/>
        </w:rPr>
        <w:t xml:space="preserve"> — they change what the system tells a doctor, or block work entirely.</w:t>
      </w:r>
    </w:p>
    <w:p>
      <w:pPr>
        <w:pBdr>
          <w:bottom w:val="single" w:color="9AA3AE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19"/>
          <w:szCs w:val="19"/>
        </w:rPr>
        <w:t xml:space="preserve">Name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>                                                                                          </w:t>
      </w:r>
    </w:p>
    <w:p>
      <w:pPr>
        <w:pBdr>
          <w:bottom w:val="single" w:color="9AA3AE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19"/>
          <w:szCs w:val="19"/>
        </w:rPr>
        <w:t xml:space="preserve">Role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>                                                                                          </w:t>
      </w:r>
    </w:p>
    <w:p>
      <w:pPr>
        <w:pBdr>
          <w:bottom w:val="single" w:color="9AA3AE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1E21"/>
          <w:sz w:val="19"/>
          <w:szCs w:val="19"/>
        </w:rPr>
        <w:t xml:space="preserve">Date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>                                                                                          </w:t>
      </w:r>
    </w:p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A. Workflow and users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How is a compatibility assessment done today, and by whom?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—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How long does it take end to end?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—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At what point in the workup does it happen?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—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Who would use this system — nephrologist, coordinator, lab?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Doctor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How many living donor transplants are done here per year?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Unknown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Q6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Does the report go into the patient notes? In what form?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Not addressed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B. Donor and recipient eligibility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Q7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Minimum donor age — should the system enforce it, warn, or ignore it?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NOT CHECKED AT ALL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Q8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Minimum donor eGFR or maximum BMI for donation?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Not enforced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Q9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Any other hard eligibility rules the system should enforce?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None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C. Reading the lab documents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Q10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Are these the right four documents to read?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HLA typing, crossmatch, 2 bead pages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machine-reading the bead chart worth keeping, given its accuracy?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Keep, with mandatory verification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Q12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one verification toggle acceptable for ~100 bead rows, or does each row need sign-off?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One toggle for the whole chart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serological-level matching (Sero column) sufficient, or is allele level needed?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Serological only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Q14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stripping the Bw4 / Bw6 suffix from antibody names correct?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Yes, stripped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D. Step 1 — Blood group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excluding Rh correct? And do you ever do ABO-incompatible transplants with desensitisation?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Rh excluded; ABO is a hard stop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E. Step 2 — Sensitisation history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Q16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Should sensitisation history gate anything automatically? If so, what rule?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GATES NOTHING TODAY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Q17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Are the relative weights right — transfusion 0.5, pregnancy 1.0, prior transplant 2.0?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From project slides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F. Step 3 — HLA mismatch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Q18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Which loci should count toward the mismatch total?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A, B, DRB1 only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Q19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DQB1 be included?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Q20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Is a 6-of-6 mismatch an absolute contraindication, or should it be a flag?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ABSOLUTE STOP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When a locus is untyped: score it worst-case, or refuse to run the check?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Worst case (2 mismatches)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G. Step 4 — cPRA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Q22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What MFI cutoff makes an antibody count as a sensitisation?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2,000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Are the cPRA bands right?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&lt;30% / 30–60% / &gt;60%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Q24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What risk points should a cPRA above 60% carry?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NONE — system refuses to classify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714 Colombo blood-bank donors the right reference population?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Grifoni et al. 2018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Q26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the independence approximation acceptable, knowing it overstates cPRA?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Disclosed, not corrected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H. Step 5 — Donor-specific antibodies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Q27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What MFI floor makes an antibody a DSA?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1,000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Q28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Where should the severity band boundaries sit?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1,000 / 2,000 / 5,000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Q29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Which band should halt the check?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Strong only (5,000+)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Q30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Should anything halt automatically, or should the system only ever flag for review?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Strong DSA halts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having two different cutoffs correct — 1,000 for DSA, 2,000 for cPRA?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Deliberate split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Q32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Do antibodies against DRB3/4/5, DQA1 and DPA1 matter clinically?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CURRENTLY INVISIBLE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I. Step 6 — Physical crossmatch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the result be re-entered on every check, or stored on the record?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Re-entered, never stored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Q34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T-cell and B-cell results be treated differently?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Only the overall reading is used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J. Step 7 — Risk level and verdict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Q35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Two risk vocabularies exist in the system. Which do you want?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BOTH ARE COMPUTED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Q36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Are the four labels meaningful — would you act differently on Low-Average vs High-Average?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Low / Low-Avg / High-Avg / High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Q37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Are the point weights right — mismatch worth 0–2, cPRA worth 0–1?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From project slides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Q38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the older 9-locus weighted score be deleted?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Still computed and shown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Q39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refusing to produce a single 0–100 compatibility score the right call?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 composite score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K. Donor quality and donor safety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Q40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Should LKDPI be shown at all, given it has never been validated in a South Asian population?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Shown, advisory only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Where should the LKDPI band boundaries sit?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0 / 20 / 40 (invented)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Q42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Should the donor contraindication screen actually block a match?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ADVISORY — BLOCKS NOTHING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we collect the three criteria we currently cannot assess?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Not collected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Q44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the donor ESRD risk projection gate anything?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Advisory only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L. Paired exchange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Q45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Has a paired kidney exchange ever been performed in Sri Lanka?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Reportedly never tried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Q46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Is it permitted under the Transplantation of Human Tissues Act and the DGHS approval process?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UNKNOWN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Q47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Would an ethics review committee approve a swap between two unrelated pairs?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Unknown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Q48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What should the proposal expiry window be, given approvals reportedly take 2–4 weeks per pair?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7 DAYS — LIKELY WRONG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Q49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a three-way simultaneous nephrectomy logistically feasible here, or should we cap at two-way?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Assumed feasible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Q50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Which allocation policy should be the default?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Most transplants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How should cPRA and waiting time be weighted against each other?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Equal (1.0 / 1.0)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Q52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Should waiting time run from dialysis start, or from listing date?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Dialysis start, falls back to registration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Who should accept a cycle — the donor’s doctor, the recipient’s, or both?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Donor’s doctor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M. Governance and records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Q54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How long must these records be retained?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 POLICY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Q55</w:t>
            </w:r>
          </w:p>
        </w:tc>
        <w:tc>
          <w:tcPr>
            <w:tcW w:type="dxa" w:w="35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E21"/>
                <w:sz w:val="19"/>
                <w:szCs w:val="19"/>
              </w:rPr>
              <w:t xml:space="preserve">Who should be allowed to create accounts?</w:t>
            </w:r>
          </w:p>
        </w:tc>
        <w:tc>
          <w:tcPr>
            <w:tcW w:type="dxa" w:w="2100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CURRENTLY UNCONTROLLED</w:t>
            </w:r>
          </w:p>
        </w:tc>
        <w:tc>
          <w:tcPr>
            <w:tcW w:type="dxa" w:w="3586"/>
            <w:shd w:fill="FFF7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Q56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Does the hospital have a position on hosting, and is ethics or IT approval needed for a pilot?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On-premises assumed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N. For the academic supervisors</w:t>
      </w:r>
    </w:p>
    <w:tbl>
      <w:tblPr>
        <w:tblW w:type="dxa" w:w="9746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60"/>
        <w:gridCol w:w="3500"/>
        <w:gridCol w:w="2100"/>
        <w:gridCol w:w="3586"/>
      </w:tblGrid>
      <w:tr>
        <w:trPr>
          <w:tblHeader/>
        </w:trPr>
        <w:tc>
          <w:tcPr>
            <w:tcW w:type="dxa" w:w="56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#</w:t>
            </w:r>
          </w:p>
        </w:tc>
        <w:tc>
          <w:tcPr>
            <w:tcW w:type="dxa" w:w="35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QUESTION</w:t>
            </w:r>
          </w:p>
        </w:tc>
        <w:tc>
          <w:tcPr>
            <w:tcW w:type="dxa" w:w="2100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WHAT WE ASSUMED</w:t>
            </w:r>
          </w:p>
        </w:tc>
        <w:tc>
          <w:tcPr>
            <w:tcW w:type="dxa" w:w="3586"/>
            <w:shd w:fill="F2F4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149"/>
                <w:sz w:val="15"/>
                <w:szCs w:val="15"/>
              </w:rPr>
              <w:t xml:space="preserve">YOUR ANSWER</w:t>
            </w:r>
          </w:p>
        </w:tc>
      </w:tr>
      <w:tr>
        <w:trPr>
          <w:cantSplit/>
          <w:trHeight w:val="90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Q57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What evidence would justify using this on a real patient?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Retrospective comparison proposed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Q58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a retrospective run against historical decisions the right validation design?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Proposed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Q59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ethics approval needed to use real patient records for validation?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Not obtained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Q60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>Is the Grifoni frequency table defensible for publication?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Assumed yes</w:t>
            </w:r>
          </w:p>
        </w:tc>
        <w:tc>
          <w:tcPr>
            <w:tcW w:type="dxa" w:w="358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E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Anything we did not ask about</w:t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p>
      <w:pPr>
        <w:pBdr>
          <w:bottom w:val="single" w:color="D9DEE5" w:sz="4"/>
        </w:pBd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E21"/>
          <w:sz w:val="19"/>
          <w:szCs w:val="19"/>
        </w:rPr>
        <w:t xml:space="preserve"/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29C"/>
        <w:sz w:val="15"/>
        <w:szCs w:val="15"/>
      </w:rPr>
      <w:t xml:space="preserve">Clinical decision capture sheet    </w:t>
    </w:r>
    <w:r>
      <w:rPr>
        <w:rFonts w:ascii="Calibri" w:cs="Calibri" w:eastAsia="Calibri" w:hAnsi="Calibri"/>
        <w:color w:val="8A929C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21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Decision Capture Sheet</dc:title>
  <dc:creator>Kidney Transplant Compatibility System</dc:creator>
  <dc:description>Sixty assumed clinical values requiring clinician input</dc:description>
  <cp:lastModifiedBy>Un-named</cp:lastModifiedBy>
  <cp:revision>1</cp:revision>
  <dcterms:created xsi:type="dcterms:W3CDTF">2026-08-19T04:00:03.140Z</dcterms:created>
  <dcterms:modified xsi:type="dcterms:W3CDTF">2026-08-19T04:00:03.141Z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