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80"/>
        <w:jc w:val="center"/>
      </w:pPr>
      <w:r>
        <w:rPr>
          <w:b/>
          <w:bCs/>
          <w:color w:val="111826"/>
          <w:sz w:val="72"/>
          <w:szCs w:val="72"/>
        </w:rPr>
        <w:t xml:space="preserve">BEACON</w:t>
      </w:r>
    </w:p>
    <w:p>
      <w:pPr>
        <w:spacing w:after="420"/>
        <w:jc w:val="center"/>
      </w:pPr>
      <w:r>
        <w:rPr>
          <w:b/>
          <w:bCs/>
          <w:color w:val="1F6F4A"/>
          <w:sz w:val="18"/>
          <w:szCs w:val="18"/>
        </w:rPr>
        <w:t xml:space="preserve">B E H A V I O U R — A W A R E   B A T T E R Y   M O N I T O R I N G</w:t>
      </w:r>
    </w:p>
    <w:p>
      <w:pPr>
        <w:spacing w:after="120"/>
        <w:jc w:val="center"/>
      </w:pPr>
      <w:r>
        <w:rPr>
          <w:color w:val="2F3B4D"/>
          <w:sz w:val="32"/>
          <w:szCs w:val="32"/>
        </w:rPr>
        <w:t xml:space="preserve">Complete Project Report</w:t>
      </w:r>
    </w:p>
    <w:p>
      <w:pPr>
        <w:spacing w:after="520"/>
        <w:jc w:val="center"/>
      </w:pPr>
      <w:r>
        <w:rPr>
          <w:i/>
          <w:iCs/>
          <w:color w:val="5B6678"/>
          <w:sz w:val="22"/>
          <w:szCs w:val="22"/>
        </w:rPr>
        <w:t xml:space="preserve">From lithium-ion degradation to a validated monitoring system</w:t>
      </w:r>
    </w:p>
    <w:tbl>
      <w:tblPr>
        <w:tblW w:type="dxa" w:w="9360"/>
        <w:tblBorders>
          <w:top w:val="single" w:color="DDE5DF" w:sz="2"/>
          <w:left w:val="single" w:color="1F6F4A" w:sz="18"/>
          <w:bottom w:val="single" w:color="DDE5DF" w:sz="2"/>
          <w:right w:val="single" w:color="DDE5DF" w:sz="2"/>
          <w:insideH w:val="none"/>
          <w:insideV w:val="none"/>
        </w:tblBorders>
      </w:tblPr>
      <w:tblGrid>
        <w:gridCol w:w="9360"/>
      </w:tblGrid>
      <w:tr>
        <w:tc>
          <w:tcPr>
            <w:tcW w:type="dxa" w:w="9360"/>
            <w:shd w:fill="F1F7F3" w:val="clear"/>
            <w:tcMar>
              <w:top w:type="dxa" w:w="140"/>
              <w:left w:type="dxa" w:w="200"/>
              <w:bottom w:type="dxa" w:w="140"/>
              <w:right w:type="dxa" w:w="200"/>
            </w:tcMar>
          </w:tcPr>
          <w:p>
            <w:pPr>
              <w:spacing w:after="0" w:line="276"/>
            </w:pPr>
            <w:r>
              <w:rPr>
                <w:b/>
                <w:bCs/>
                <w:sz w:val="21"/>
                <w:szCs w:val="21"/>
              </w:rPr>
              <w:t xml:space="preserve">What this report covers. </w:t>
            </w:r>
            <w:r>
              <w:rPr>
                <w:sz w:val="21"/>
                <w:szCs w:val="21"/>
              </w:rPr>
              <w:t xml:space="preserve">It begins with how a lithium-ion cell works and why it degrades, explains what a battery management system must do and where state-of-health estimation becomes hard, then presents BEACON: what was built, what it found, what it now does on physical hardware, and what remains.</w:t>
            </w:r>
          </w:p>
        </w:tc>
      </w:tr>
    </w:tbl>
    <w:p>
      <w:pPr>
        <w:spacing w:after="560"/>
      </w:pPr>
    </w:p>
    <w:p>
      <w:pPr>
        <w:spacing w:after="60"/>
        <w:jc w:val="center"/>
      </w:pPr>
      <w:r>
        <w:rPr>
          <w:color w:val="5B6678"/>
          <w:sz w:val="20"/>
          <w:szCs w:val="20"/>
        </w:rPr>
        <w:t xml:space="preserve">Department of Computer and Communication Engineering</w:t>
      </w:r>
    </w:p>
    <w:p>
      <w:pPr>
        <w:jc w:val="center"/>
      </w:pPr>
      <w:r>
        <w:rPr>
          <w:color w:val="5B6678"/>
          <w:sz w:val="20"/>
          <w:szCs w:val="20"/>
        </w:rPr>
        <w:t xml:space="preserve">18 September 2026</w:t>
      </w:r>
    </w:p>
    <w:p>
      <w:r>
        <w:br w:type="page"/>
      </w:r>
    </w:p>
    <w:p>
      <w:pPr>
        <w:pStyle w:val="Heading2"/>
        <w:spacing w:after="160" w:before="360"/>
      </w:pPr>
      <w:r>
        <w:rPr>
          <w:b/>
          <w:bCs/>
          <w:color w:val="111826"/>
          <w:sz w:val="28"/>
          <w:szCs w:val="28"/>
        </w:rPr>
        <w:t xml:space="preserve">Contents</w:t>
      </w:r>
    </w:p>
    <w:sdt>
      <w:sdtPr>
        <w:alias w:val="Contents"/>
      </w:sdtPr>
      <w:sdtContent>
        <w:p>
          <w:r>
            <w:fldChar w:fldCharType="begin" w:dirty="true"/>
            <w:instrText xml:space="preserve">TOC \h \o "1-4"</w:instrText>
            <w:fldChar w:fldCharType="separate"/>
          </w:r>
        </w:p>
        <w:p>
          <w:r>
            <w:fldChar w:fldCharType="end"/>
          </w:r>
        </w:p>
      </w:sdtContent>
    </w:sdt>
    <w:p>
      <w:pPr>
        <w:pStyle w:val="Heading1"/>
        <w:pageBreakBefore/>
        <w:spacing w:after="300" w:before="200"/>
      </w:pPr>
      <w:r>
        <w:rPr>
          <w:b/>
          <w:bCs/>
          <w:color w:val="1F6F4A"/>
          <w:sz w:val="19"/>
          <w:szCs w:val="19"/>
        </w:rPr>
        <w:t xml:space="preserve">PART I</w:t>
      </w:r>
      <w:r>
        <w:br/>
        <w:t xml:space="preserve"/>
      </w:r>
      <w:r>
        <w:rPr>
          <w:b/>
          <w:bCs/>
          <w:color w:val="111826"/>
          <w:sz w:val="38"/>
          <w:szCs w:val="38"/>
        </w:rPr>
        <w:t xml:space="preserve">Background: Cells, Degradation and Battery Management</w:t>
      </w:r>
    </w:p>
    <w:p>
      <w:pPr>
        <w:spacing w:after="140" w:line="276"/>
      </w:pPr>
      <w:r>
        <w:rPr>
          <w:sz w:val="21"/>
          <w:szCs w:val="21"/>
        </w:rPr>
        <w:t xml:space="preserve">This part establishes the frame of reference and the terminology the rest of the report uses. It is deliberately brief on material a reader with battery background already holds, and dwells only where a specific mechanism becomes load-bearing for a later result — in particular Section 2.3 on degradation modes and Section 4.2 on the temperature dependence of measured capacity, both of which are relied on in Part III.</w:t>
      </w:r>
    </w:p>
    <w:p>
      <w:pPr>
        <w:pStyle w:val="Heading2"/>
        <w:spacing w:after="160" w:before="360"/>
      </w:pPr>
      <w:r>
        <w:rPr>
          <w:b/>
          <w:bCs/>
          <w:color w:val="111826"/>
          <w:sz w:val="28"/>
          <w:szCs w:val="28"/>
        </w:rPr>
        <w:t xml:space="preserve">1. The Lithium-Ion Cell</w:t>
      </w:r>
    </w:p>
    <w:p>
      <w:pPr>
        <w:pStyle w:val="Heading3"/>
        <w:spacing w:after="120" w:before="260"/>
      </w:pPr>
      <w:r>
        <w:rPr>
          <w:b/>
          <w:bCs/>
          <w:color w:val="2F3B4D"/>
          <w:sz w:val="23"/>
          <w:szCs w:val="23"/>
        </w:rPr>
        <w:t xml:space="preserve">1.1 Operating principle</w:t>
      </w:r>
    </w:p>
    <w:p>
      <w:pPr>
        <w:spacing w:after="140" w:line="276"/>
      </w:pPr>
      <w:r>
        <w:rPr>
          <w:sz w:val="21"/>
          <w:szCs w:val="21"/>
        </w:rPr>
        <w:t xml:space="preserve">A lithium-ion cell stores energy by shuttling lithium ions between two intercalation hosts. On discharge, lithium de-intercalates from the negative electrode — typically graphite — travels through the electrolyte and separator, and intercalates into the positive electrode; the compensating electrons travel through the external circuit and do the useful work. Charging reverses the process. No material is consumed in the ideal case, which is what makes the chemistry rechargeable, and the near-absence of phase change in the host lattices is what gives it long cycle life relative to earlier chemistries.</w:t>
      </w:r>
    </w:p>
    <w:p>
      <w:pPr>
        <w:spacing w:after="140" w:line="276"/>
      </w:pPr>
      <w:r>
        <w:rPr>
          <w:sz w:val="21"/>
          <w:szCs w:val="21"/>
        </w:rPr>
        <w:t xml:space="preserve">The separator is an electronic insulator and an ionic conductor. Its failure — by puncture, by thermal shrinkage, or by penetration from a lithium dendrite — is the proximate cause of internal short circuit and thermal runaway, which is why protection is treated in this project as a hardware function that must not depend on software.</w:t>
      </w:r>
    </w:p>
    <w:p>
      <w:pPr>
        <w:pStyle w:val="Heading3"/>
        <w:spacing w:after="120" w:before="260"/>
      </w:pPr>
      <w:r>
        <w:rPr>
          <w:b/>
          <w:bCs/>
          <w:color w:val="2F3B4D"/>
          <w:sz w:val="23"/>
          <w:szCs w:val="23"/>
        </w:rPr>
        <w:t xml:space="preserve">1.2 Chemistry and its consequences</w:t>
      </w:r>
    </w:p>
    <w:p>
      <w:pPr>
        <w:spacing w:after="140" w:line="276"/>
      </w:pPr>
      <w:r>
        <w:rPr>
          <w:sz w:val="21"/>
          <w:szCs w:val="21"/>
        </w:rPr>
        <w:t xml:space="preserve">The positive-electrode chemistry determines most of the trade-offs a system designer inherits:</w:t>
      </w:r>
    </w:p>
    <w:tbl>
      <w:tblPr>
        <w:tblW w:type="dxa" w:w="9360"/>
        <w:tblBorders>
          <w:top w:val="single" w:color="B9C2CE" w:sz="4"/>
          <w:left w:val="none"/>
          <w:bottom w:val="single" w:color="B9C2CE" w:sz="4"/>
          <w:right w:val="none"/>
          <w:insideH w:val="single" w:color="E1E6EC" w:sz="2"/>
          <w:insideV w:val="none"/>
        </w:tblBorders>
      </w:tblPr>
      <w:tblGrid>
        <w:gridCol w:w="1900"/>
        <w:gridCol w:w="1300"/>
        <w:gridCol w:w="3100"/>
        <w:gridCol w:w="3060"/>
      </w:tblGrid>
      <w:tr>
        <w:trPr>
          <w:tblHeader/>
        </w:trPr>
        <w:tc>
          <w:tcPr>
            <w:tcW w:type="dxa" w:w="1900"/>
            <w:shd w:fill="EEF2F6" w:val="clear"/>
            <w:tcMar>
              <w:top w:type="dxa" w:w="80"/>
              <w:left w:type="dxa" w:w="120"/>
              <w:bottom w:type="dxa" w:w="80"/>
              <w:right w:type="dxa" w:w="120"/>
            </w:tcMar>
          </w:tcPr>
          <w:p>
            <w:pPr>
              <w:spacing w:after="0" w:line="240"/>
            </w:pPr>
            <w:r>
              <w:rPr>
                <w:b/>
                <w:bCs/>
                <w:sz w:val="19"/>
                <w:szCs w:val="19"/>
              </w:rPr>
              <w:t xml:space="preserve">Chemistry</w:t>
            </w:r>
          </w:p>
        </w:tc>
        <w:tc>
          <w:tcPr>
            <w:tcW w:type="dxa" w:w="1300"/>
            <w:shd w:fill="EEF2F6" w:val="clear"/>
            <w:tcMar>
              <w:top w:type="dxa" w:w="80"/>
              <w:left w:type="dxa" w:w="120"/>
              <w:bottom w:type="dxa" w:w="80"/>
              <w:right w:type="dxa" w:w="120"/>
            </w:tcMar>
          </w:tcPr>
          <w:p>
            <w:pPr>
              <w:spacing w:after="0" w:line="240"/>
            </w:pPr>
            <w:r>
              <w:rPr>
                <w:b/>
                <w:bCs/>
                <w:sz w:val="19"/>
                <w:szCs w:val="19"/>
              </w:rPr>
              <w:t xml:space="preserve">Designation</w:t>
            </w:r>
          </w:p>
        </w:tc>
        <w:tc>
          <w:tcPr>
            <w:tcW w:type="dxa" w:w="3100"/>
            <w:shd w:fill="EEF2F6" w:val="clear"/>
            <w:tcMar>
              <w:top w:type="dxa" w:w="80"/>
              <w:left w:type="dxa" w:w="120"/>
              <w:bottom w:type="dxa" w:w="80"/>
              <w:right w:type="dxa" w:w="120"/>
            </w:tcMar>
          </w:tcPr>
          <w:p>
            <w:pPr>
              <w:spacing w:after="0" w:line="240"/>
            </w:pPr>
            <w:r>
              <w:rPr>
                <w:b/>
                <w:bCs/>
                <w:sz w:val="19"/>
                <w:szCs w:val="19"/>
              </w:rPr>
              <w:t xml:space="preserve">Character</w:t>
            </w:r>
          </w:p>
        </w:tc>
        <w:tc>
          <w:tcPr>
            <w:tcW w:type="dxa" w:w="3060"/>
            <w:shd w:fill="EEF2F6" w:val="clear"/>
            <w:tcMar>
              <w:top w:type="dxa" w:w="80"/>
              <w:left w:type="dxa" w:w="120"/>
              <w:bottom w:type="dxa" w:w="80"/>
              <w:right w:type="dxa" w:w="120"/>
            </w:tcMar>
          </w:tcPr>
          <w:p>
            <w:pPr>
              <w:spacing w:after="0" w:line="240"/>
            </w:pPr>
            <w:r>
              <w:rPr>
                <w:b/>
                <w:bCs/>
                <w:sz w:val="19"/>
                <w:szCs w:val="19"/>
              </w:rPr>
              <w:t xml:space="preserve">Consequence for monitoring</w:t>
            </w:r>
          </w:p>
        </w:tc>
      </w:tr>
      <w:tr>
        <w:tc>
          <w:tcPr>
            <w:tcW w:type="dxa" w:w="1900"/>
            <w:tcMar>
              <w:top w:type="dxa" w:w="80"/>
              <w:left w:type="dxa" w:w="120"/>
              <w:bottom w:type="dxa" w:w="80"/>
              <w:right w:type="dxa" w:w="120"/>
            </w:tcMar>
          </w:tcPr>
          <w:p>
            <w:pPr>
              <w:spacing w:after="0" w:line="240"/>
            </w:pPr>
            <w:r>
              <w:rPr>
                <w:sz w:val="19"/>
                <w:szCs w:val="19"/>
              </w:rPr>
              <w:t xml:space="preserve">LiCoO₂</w:t>
            </w:r>
          </w:p>
        </w:tc>
        <w:tc>
          <w:tcPr>
            <w:tcW w:type="dxa" w:w="1300"/>
            <w:tcMar>
              <w:top w:type="dxa" w:w="80"/>
              <w:left w:type="dxa" w:w="120"/>
              <w:bottom w:type="dxa" w:w="80"/>
              <w:right w:type="dxa" w:w="120"/>
            </w:tcMar>
          </w:tcPr>
          <w:p>
            <w:pPr>
              <w:spacing w:after="0" w:line="240"/>
            </w:pPr>
            <w:r>
              <w:rPr>
                <w:sz w:val="19"/>
                <w:szCs w:val="19"/>
              </w:rPr>
              <w:t xml:space="preserve">LCO / ICR</w:t>
            </w:r>
          </w:p>
        </w:tc>
        <w:tc>
          <w:tcPr>
            <w:tcW w:type="dxa" w:w="3100"/>
            <w:tcMar>
              <w:top w:type="dxa" w:w="80"/>
              <w:left w:type="dxa" w:w="120"/>
              <w:bottom w:type="dxa" w:w="80"/>
              <w:right w:type="dxa" w:w="120"/>
            </w:tcMar>
          </w:tcPr>
          <w:p>
            <w:pPr>
              <w:spacing w:after="0" w:line="240"/>
            </w:pPr>
            <w:r>
              <w:rPr>
                <w:sz w:val="19"/>
                <w:szCs w:val="19"/>
              </w:rPr>
              <w:t xml:space="preserve">High specific energy, poor thermal stability, moderate cycle life</w:t>
            </w:r>
          </w:p>
        </w:tc>
        <w:tc>
          <w:tcPr>
            <w:tcW w:type="dxa" w:w="3060"/>
            <w:tcMar>
              <w:top w:type="dxa" w:w="80"/>
              <w:left w:type="dxa" w:w="120"/>
              <w:bottom w:type="dxa" w:w="80"/>
              <w:right w:type="dxa" w:w="120"/>
            </w:tcMar>
          </w:tcPr>
          <w:p>
            <w:pPr>
              <w:spacing w:after="0" w:line="240"/>
            </w:pPr>
            <w:r>
              <w:rPr>
                <w:sz w:val="19"/>
                <w:szCs w:val="19"/>
              </w:rPr>
              <w:t xml:space="preserve">Narrow safe operating window; the cell used in this project’s rig</w:t>
            </w:r>
          </w:p>
        </w:tc>
      </w:tr>
      <w:tr>
        <w:tc>
          <w:tcPr>
            <w:tcW w:type="dxa" w:w="1900"/>
            <w:tcMar>
              <w:top w:type="dxa" w:w="80"/>
              <w:left w:type="dxa" w:w="120"/>
              <w:bottom w:type="dxa" w:w="80"/>
              <w:right w:type="dxa" w:w="120"/>
            </w:tcMar>
          </w:tcPr>
          <w:p>
            <w:pPr>
              <w:spacing w:after="0" w:line="240"/>
            </w:pPr>
            <w:r>
              <w:rPr>
                <w:sz w:val="19"/>
                <w:szCs w:val="19"/>
              </w:rPr>
              <w:t xml:space="preserve">LiNiₓMnᵧCoᵣO₂</w:t>
            </w:r>
          </w:p>
        </w:tc>
        <w:tc>
          <w:tcPr>
            <w:tcW w:type="dxa" w:w="1300"/>
            <w:tcMar>
              <w:top w:type="dxa" w:w="80"/>
              <w:left w:type="dxa" w:w="120"/>
              <w:bottom w:type="dxa" w:w="80"/>
              <w:right w:type="dxa" w:w="120"/>
            </w:tcMar>
          </w:tcPr>
          <w:p>
            <w:pPr>
              <w:spacing w:after="0" w:line="240"/>
            </w:pPr>
            <w:r>
              <w:rPr>
                <w:sz w:val="19"/>
                <w:szCs w:val="19"/>
              </w:rPr>
              <w:t xml:space="preserve">NMC</w:t>
            </w:r>
          </w:p>
        </w:tc>
        <w:tc>
          <w:tcPr>
            <w:tcW w:type="dxa" w:w="3100"/>
            <w:tcMar>
              <w:top w:type="dxa" w:w="80"/>
              <w:left w:type="dxa" w:w="120"/>
              <w:bottom w:type="dxa" w:w="80"/>
              <w:right w:type="dxa" w:w="120"/>
            </w:tcMar>
          </w:tcPr>
          <w:p>
            <w:pPr>
              <w:spacing w:after="0" w:line="240"/>
            </w:pPr>
            <w:r>
              <w:rPr>
                <w:sz w:val="19"/>
                <w:szCs w:val="19"/>
              </w:rPr>
              <w:t xml:space="preserve">Balanced energy and life; the automotive workhorse</w:t>
            </w:r>
          </w:p>
        </w:tc>
        <w:tc>
          <w:tcPr>
            <w:tcW w:type="dxa" w:w="3060"/>
            <w:tcMar>
              <w:top w:type="dxa" w:w="80"/>
              <w:left w:type="dxa" w:w="120"/>
              <w:bottom w:type="dxa" w:w="80"/>
              <w:right w:type="dxa" w:w="120"/>
            </w:tcMar>
          </w:tcPr>
          <w:p>
            <w:pPr>
              <w:spacing w:after="0" w:line="240"/>
            </w:pPr>
            <w:r>
              <w:rPr>
                <w:sz w:val="19"/>
                <w:szCs w:val="19"/>
              </w:rPr>
              <w:t xml:space="preserve">Well-shaped OCV curve; the assumed target application</w:t>
            </w:r>
          </w:p>
        </w:tc>
      </w:tr>
      <w:tr>
        <w:tc>
          <w:tcPr>
            <w:tcW w:type="dxa" w:w="1900"/>
            <w:tcMar>
              <w:top w:type="dxa" w:w="80"/>
              <w:left w:type="dxa" w:w="120"/>
              <w:bottom w:type="dxa" w:w="80"/>
              <w:right w:type="dxa" w:w="120"/>
            </w:tcMar>
          </w:tcPr>
          <w:p>
            <w:pPr>
              <w:spacing w:after="0" w:line="240"/>
            </w:pPr>
            <w:r>
              <w:rPr>
                <w:sz w:val="19"/>
                <w:szCs w:val="19"/>
              </w:rPr>
              <w:t xml:space="preserve">LiFePO₄</w:t>
            </w:r>
          </w:p>
        </w:tc>
        <w:tc>
          <w:tcPr>
            <w:tcW w:type="dxa" w:w="1300"/>
            <w:tcMar>
              <w:top w:type="dxa" w:w="80"/>
              <w:left w:type="dxa" w:w="120"/>
              <w:bottom w:type="dxa" w:w="80"/>
              <w:right w:type="dxa" w:w="120"/>
            </w:tcMar>
          </w:tcPr>
          <w:p>
            <w:pPr>
              <w:spacing w:after="0" w:line="240"/>
            </w:pPr>
            <w:r>
              <w:rPr>
                <w:sz w:val="19"/>
                <w:szCs w:val="19"/>
              </w:rPr>
              <w:t xml:space="preserve">LFP</w:t>
            </w:r>
          </w:p>
        </w:tc>
        <w:tc>
          <w:tcPr>
            <w:tcW w:type="dxa" w:w="3100"/>
            <w:tcMar>
              <w:top w:type="dxa" w:w="80"/>
              <w:left w:type="dxa" w:w="120"/>
              <w:bottom w:type="dxa" w:w="80"/>
              <w:right w:type="dxa" w:w="120"/>
            </w:tcMar>
          </w:tcPr>
          <w:p>
            <w:pPr>
              <w:spacing w:after="0" w:line="240"/>
            </w:pPr>
            <w:r>
              <w:rPr>
                <w:sz w:val="19"/>
                <w:szCs w:val="19"/>
              </w:rPr>
              <w:t xml:space="preserve">Excellent thermal stability and cycle life, lower specific energy</w:t>
            </w:r>
          </w:p>
        </w:tc>
        <w:tc>
          <w:tcPr>
            <w:tcW w:type="dxa" w:w="3060"/>
            <w:tcMar>
              <w:top w:type="dxa" w:w="80"/>
              <w:left w:type="dxa" w:w="120"/>
              <w:bottom w:type="dxa" w:w="80"/>
              <w:right w:type="dxa" w:w="120"/>
            </w:tcMar>
          </w:tcPr>
          <w:p>
            <w:pPr>
              <w:spacing w:after="0" w:line="240"/>
            </w:pPr>
            <w:r>
              <w:rPr>
                <w:sz w:val="19"/>
                <w:szCs w:val="19"/>
              </w:rPr>
              <w:t xml:space="preserve">Very flat OCV plateau makes SOC estimation by voltage unreliable</w:t>
            </w:r>
          </w:p>
        </w:tc>
      </w:tr>
      <w:tr>
        <w:tc>
          <w:tcPr>
            <w:tcW w:type="dxa" w:w="1900"/>
            <w:tcMar>
              <w:top w:type="dxa" w:w="80"/>
              <w:left w:type="dxa" w:w="120"/>
              <w:bottom w:type="dxa" w:w="80"/>
              <w:right w:type="dxa" w:w="120"/>
            </w:tcMar>
          </w:tcPr>
          <w:p>
            <w:pPr>
              <w:spacing w:after="0" w:line="240"/>
            </w:pPr>
            <w:r>
              <w:rPr>
                <w:sz w:val="19"/>
                <w:szCs w:val="19"/>
              </w:rPr>
              <w:t xml:space="preserve">LiNiCoAlO₂</w:t>
            </w:r>
          </w:p>
        </w:tc>
        <w:tc>
          <w:tcPr>
            <w:tcW w:type="dxa" w:w="1300"/>
            <w:tcMar>
              <w:top w:type="dxa" w:w="80"/>
              <w:left w:type="dxa" w:w="120"/>
              <w:bottom w:type="dxa" w:w="80"/>
              <w:right w:type="dxa" w:w="120"/>
            </w:tcMar>
          </w:tcPr>
          <w:p>
            <w:pPr>
              <w:spacing w:after="0" w:line="240"/>
            </w:pPr>
            <w:r>
              <w:rPr>
                <w:sz w:val="19"/>
                <w:szCs w:val="19"/>
              </w:rPr>
              <w:t xml:space="preserve">NCA</w:t>
            </w:r>
          </w:p>
        </w:tc>
        <w:tc>
          <w:tcPr>
            <w:tcW w:type="dxa" w:w="3100"/>
            <w:tcMar>
              <w:top w:type="dxa" w:w="80"/>
              <w:left w:type="dxa" w:w="120"/>
              <w:bottom w:type="dxa" w:w="80"/>
              <w:right w:type="dxa" w:w="120"/>
            </w:tcMar>
          </w:tcPr>
          <w:p>
            <w:pPr>
              <w:spacing w:after="0" w:line="240"/>
            </w:pPr>
            <w:r>
              <w:rPr>
                <w:sz w:val="19"/>
                <w:szCs w:val="19"/>
              </w:rPr>
              <w:t xml:space="preserve">High specific energy, used in some EV packs</w:t>
            </w:r>
          </w:p>
        </w:tc>
        <w:tc>
          <w:tcPr>
            <w:tcW w:type="dxa" w:w="3060"/>
            <w:tcMar>
              <w:top w:type="dxa" w:w="80"/>
              <w:left w:type="dxa" w:w="120"/>
              <w:bottom w:type="dxa" w:w="80"/>
              <w:right w:type="dxa" w:w="120"/>
            </w:tcMar>
          </w:tcPr>
          <w:p>
            <w:pPr>
              <w:spacing w:after="0" w:line="240"/>
            </w:pPr>
            <w:r>
              <w:rPr>
                <w:sz w:val="19"/>
                <w:szCs w:val="19"/>
              </w:rPr>
              <w:t xml:space="preserve">Similar monitoring profile to NMC</w:t>
            </w:r>
          </w:p>
        </w:tc>
      </w:tr>
    </w:tbl>
    <w:p>
      <w:pPr>
        <w:spacing w:after="180"/>
      </w:pPr>
    </w:p>
    <w:p>
      <w:pPr>
        <w:spacing w:after="140" w:line="276"/>
      </w:pPr>
      <w:r>
        <w:rPr>
          <w:sz w:val="21"/>
          <w:szCs w:val="21"/>
        </w:rPr>
        <w:t xml:space="preserve">The LFP row is worth noting even though this project does not use LFP: it is the clearest illustration that a monitoring technique can be chemistry-dependent. A state-of-charge estimator that leans on open-circuit voltage works acceptably on NMC and poorly on LFP, because the quantity it reads is nearly flat across most of the usable range. The equivalent warning for this project is developed in Part III: a health estimator can be protocol-dependent in the same way.</w:t>
      </w:r>
    </w:p>
    <w:p>
      <w:pPr>
        <w:pStyle w:val="Heading2"/>
        <w:spacing w:after="160" w:before="360"/>
      </w:pPr>
      <w:r>
        <w:rPr>
          <w:b/>
          <w:bCs/>
          <w:color w:val="111826"/>
          <w:sz w:val="28"/>
          <w:szCs w:val="28"/>
        </w:rPr>
        <w:t xml:space="preserve">2. Why Cells Degrade</w:t>
      </w:r>
    </w:p>
    <w:p>
      <w:pPr>
        <w:spacing w:after="140" w:line="276"/>
      </w:pPr>
      <w:r>
        <w:rPr>
          <w:sz w:val="21"/>
          <w:szCs w:val="21"/>
        </w:rPr>
        <w:t xml:space="preserve">Degradation is not one process. It is a set of competing mechanisms whose relative rates depend on temperature, current, state of charge and depth of discharge — which is precisely why usage behaviour is a plausible predictor of health, and why this project was attempted.</w:t>
      </w:r>
    </w:p>
    <w:p>
      <w:pPr>
        <w:pStyle w:val="Heading3"/>
        <w:spacing w:after="120" w:before="260"/>
      </w:pPr>
      <w:r>
        <w:rPr>
          <w:b/>
          <w:bCs/>
          <w:color w:val="2F3B4D"/>
          <w:sz w:val="23"/>
          <w:szCs w:val="23"/>
        </w:rPr>
        <w:t xml:space="preserve">2.1 Principal mechanisms</w:t>
      </w:r>
    </w:p>
    <w:p>
      <w:pPr>
        <w:pStyle w:val="ListParagraph"/>
        <w:numPr>
          <w:ilvl w:val="0"/>
          <w:numId w:val="2"/>
        </w:numPr>
        <w:spacing w:after="90" w:line="276"/>
      </w:pPr>
      <w:r>
        <w:rPr>
          <w:b/>
          <w:bCs/>
          <w:sz w:val="21"/>
          <w:szCs w:val="21"/>
        </w:rPr>
        <w:t xml:space="preserve">Solid-electrolyte interphase (SEI) growth. </w:t>
      </w:r>
      <w:r>
        <w:rPr>
          <w:sz w:val="21"/>
          <w:szCs w:val="21"/>
        </w:rPr>
        <w:t xml:space="preserve">The electrolyte is thermodynamically unstable at the graphite potential and decomposes to form a passivating layer. The layer is necessary — without it decomposition would not stop — but it continues to thicken, consuming cyclable lithium and raising impedance. Growth is approximately parabolic in time and strongly accelerated by temperature.</w:t>
      </w:r>
    </w:p>
    <w:p>
      <w:pPr>
        <w:pStyle w:val="ListParagraph"/>
        <w:numPr>
          <w:ilvl w:val="0"/>
          <w:numId w:val="2"/>
        </w:numPr>
        <w:spacing w:after="90" w:line="276"/>
      </w:pPr>
      <w:r>
        <w:rPr>
          <w:b/>
          <w:bCs/>
          <w:sz w:val="21"/>
          <w:szCs w:val="21"/>
        </w:rPr>
        <w:t xml:space="preserve">Lithium plating. </w:t>
      </w:r>
      <w:r>
        <w:rPr>
          <w:sz w:val="21"/>
          <w:szCs w:val="21"/>
        </w:rPr>
        <w:t xml:space="preserve">At low temperature, high charge rate or high state of charge, lithium deposits metallically on the anode surface rather than intercalating. Some is recovered on the next discharge; some is not, and some forms dendrites that can penetrate the separator. This is the mechanism behind charge-rate and low-temperature charging limits.</w:t>
      </w:r>
    </w:p>
    <w:p>
      <w:pPr>
        <w:pStyle w:val="ListParagraph"/>
        <w:numPr>
          <w:ilvl w:val="0"/>
          <w:numId w:val="2"/>
        </w:numPr>
        <w:spacing w:after="90" w:line="276"/>
      </w:pPr>
      <w:r>
        <w:rPr>
          <w:b/>
          <w:bCs/>
          <w:sz w:val="21"/>
          <w:szCs w:val="21"/>
        </w:rPr>
        <w:t xml:space="preserve">Loss of active material. </w:t>
      </w:r>
      <w:r>
        <w:rPr>
          <w:sz w:val="21"/>
          <w:szCs w:val="21"/>
        </w:rPr>
        <w:t xml:space="preserve">Repeated lithiation and delithiation cycles the electrode particles through volume change, causing cracking, loss of electrical contact, binder degradation and delamination. Depth of discharge is the dominant usage driver.</w:t>
      </w:r>
    </w:p>
    <w:p>
      <w:pPr>
        <w:pStyle w:val="ListParagraph"/>
        <w:numPr>
          <w:ilvl w:val="0"/>
          <w:numId w:val="2"/>
        </w:numPr>
        <w:spacing w:after="90" w:line="276"/>
      </w:pPr>
      <w:r>
        <w:rPr>
          <w:b/>
          <w:bCs/>
          <w:sz w:val="21"/>
          <w:szCs w:val="21"/>
        </w:rPr>
        <w:t xml:space="preserve">Transition-metal dissolution. </w:t>
      </w:r>
      <w:r>
        <w:rPr>
          <w:sz w:val="21"/>
          <w:szCs w:val="21"/>
        </w:rPr>
        <w:t xml:space="preserve">Metal ions leave the positive electrode, migrate, and deposit on the negative electrode where they catalyse further SEI growth. Accelerated by high temperature and high voltage.</w:t>
      </w:r>
    </w:p>
    <w:p>
      <w:pPr>
        <w:pStyle w:val="ListParagraph"/>
        <w:numPr>
          <w:ilvl w:val="0"/>
          <w:numId w:val="2"/>
        </w:numPr>
        <w:spacing w:after="90" w:line="276"/>
      </w:pPr>
      <w:r>
        <w:rPr>
          <w:b/>
          <w:bCs/>
          <w:sz w:val="21"/>
          <w:szCs w:val="21"/>
        </w:rPr>
        <w:t xml:space="preserve">Electrolyte oxidation and gas generation. </w:t>
      </w:r>
      <w:r>
        <w:rPr>
          <w:sz w:val="21"/>
          <w:szCs w:val="21"/>
        </w:rPr>
        <w:t xml:space="preserve">At high potentials the electrolyte oxidises at the positive electrode, consuming electrolyte and generating gas, which in a pouch format produces measurable swelling.</w:t>
      </w:r>
    </w:p>
    <w:p>
      <w:pPr>
        <w:pStyle w:val="Heading3"/>
        <w:spacing w:after="120" w:before="260"/>
      </w:pPr>
      <w:r>
        <w:rPr>
          <w:b/>
          <w:bCs/>
          <w:color w:val="2F3B4D"/>
          <w:sz w:val="23"/>
          <w:szCs w:val="23"/>
        </w:rPr>
        <w:t xml:space="preserve">2.2 Calendar and cycle ageing</w:t>
      </w:r>
    </w:p>
    <w:p>
      <w:pPr>
        <w:spacing w:after="140" w:line="276"/>
      </w:pPr>
      <w:r>
        <w:rPr>
          <w:sz w:val="21"/>
          <w:szCs w:val="21"/>
        </w:rPr>
        <w:t xml:space="preserve">Calendar ageing proceeds with time regardless of use, driven mainly by SEI growth, and depends on storage temperature and state of charge. Cycle ageing is driven by throughput and adds the mechanical and rate-dependent mechanisms above. A real duty cycle produces both simultaneously, and separating them requires an experimental design that holds one constant — which is what the cohort structure of the datasets used here provides.</w:t>
      </w:r>
    </w:p>
    <w:p>
      <w:pPr>
        <w:pStyle w:val="Heading3"/>
        <w:spacing w:after="120" w:before="260"/>
      </w:pPr>
      <w:r>
        <w:rPr>
          <w:b/>
          <w:bCs/>
          <w:color w:val="2F3B4D"/>
          <w:sz w:val="23"/>
          <w:szCs w:val="23"/>
        </w:rPr>
        <w:t xml:space="preserve">2.3 Degradation modes: the diagnostic vocabulary</w:t>
      </w:r>
    </w:p>
    <w:p>
      <w:pPr>
        <w:spacing w:after="140" w:line="276"/>
      </w:pPr>
      <w:r>
        <w:rPr>
          <w:sz w:val="21"/>
          <w:szCs w:val="21"/>
        </w:rPr>
        <w:t xml:space="preserve">Mechanisms are many; their observable consequences collapse into three modes, and this taxonomy matters for interpreting Part III:</w:t>
      </w:r>
    </w:p>
    <w:tbl>
      <w:tblPr>
        <w:tblW w:type="dxa" w:w="9360"/>
        <w:tblBorders>
          <w:top w:val="single" w:color="B9C2CE" w:sz="4"/>
          <w:left w:val="none"/>
          <w:bottom w:val="single" w:color="B9C2CE" w:sz="4"/>
          <w:right w:val="none"/>
          <w:insideH w:val="single" w:color="E1E6EC" w:sz="2"/>
          <w:insideV w:val="none"/>
        </w:tblBorders>
      </w:tblPr>
      <w:tblGrid>
        <w:gridCol w:w="2800"/>
        <w:gridCol w:w="3300"/>
        <w:gridCol w:w="3260"/>
      </w:tblGrid>
      <w:tr>
        <w:trPr>
          <w:tblHeader/>
        </w:trPr>
        <w:tc>
          <w:tcPr>
            <w:tcW w:type="dxa" w:w="2800"/>
            <w:shd w:fill="EEF2F6" w:val="clear"/>
            <w:tcMar>
              <w:top w:type="dxa" w:w="80"/>
              <w:left w:type="dxa" w:w="120"/>
              <w:bottom w:type="dxa" w:w="80"/>
              <w:right w:type="dxa" w:w="120"/>
            </w:tcMar>
          </w:tcPr>
          <w:p>
            <w:pPr>
              <w:spacing w:after="0" w:line="240"/>
            </w:pPr>
            <w:r>
              <w:rPr>
                <w:b/>
                <w:bCs/>
                <w:sz w:val="19"/>
                <w:szCs w:val="19"/>
              </w:rPr>
              <w:t xml:space="preserve">Mode</w:t>
            </w:r>
          </w:p>
        </w:tc>
        <w:tc>
          <w:tcPr>
            <w:tcW w:type="dxa" w:w="3300"/>
            <w:shd w:fill="EEF2F6" w:val="clear"/>
            <w:tcMar>
              <w:top w:type="dxa" w:w="80"/>
              <w:left w:type="dxa" w:w="120"/>
              <w:bottom w:type="dxa" w:w="80"/>
              <w:right w:type="dxa" w:w="120"/>
            </w:tcMar>
          </w:tcPr>
          <w:p>
            <w:pPr>
              <w:spacing w:after="0" w:line="240"/>
            </w:pPr>
            <w:r>
              <w:rPr>
                <w:b/>
                <w:bCs/>
                <w:sz w:val="19"/>
                <w:szCs w:val="19"/>
              </w:rPr>
              <w:t xml:space="preserve">Meaning</w:t>
            </w:r>
          </w:p>
        </w:tc>
        <w:tc>
          <w:tcPr>
            <w:tcW w:type="dxa" w:w="3260"/>
            <w:shd w:fill="EEF2F6" w:val="clear"/>
            <w:tcMar>
              <w:top w:type="dxa" w:w="80"/>
              <w:left w:type="dxa" w:w="120"/>
              <w:bottom w:type="dxa" w:w="80"/>
              <w:right w:type="dxa" w:w="120"/>
            </w:tcMar>
          </w:tcPr>
          <w:p>
            <w:pPr>
              <w:spacing w:after="0" w:line="240"/>
            </w:pPr>
            <w:r>
              <w:rPr>
                <w:b/>
                <w:bCs/>
                <w:sz w:val="19"/>
                <w:szCs w:val="19"/>
              </w:rPr>
              <w:t xml:space="preserve">Observable signature</w:t>
            </w:r>
          </w:p>
        </w:tc>
      </w:tr>
      <w:tr>
        <w:tc>
          <w:tcPr>
            <w:tcW w:type="dxa" w:w="2800"/>
            <w:tcMar>
              <w:top w:type="dxa" w:w="80"/>
              <w:left w:type="dxa" w:w="120"/>
              <w:bottom w:type="dxa" w:w="80"/>
              <w:right w:type="dxa" w:w="120"/>
            </w:tcMar>
          </w:tcPr>
          <w:p>
            <w:pPr>
              <w:spacing w:after="0" w:line="240"/>
            </w:pPr>
            <w:r>
              <w:rPr>
                <w:sz w:val="19"/>
                <w:szCs w:val="19"/>
              </w:rPr>
              <w:t xml:space="preserve">LLI — loss of lithium inventory</w:t>
            </w:r>
          </w:p>
        </w:tc>
        <w:tc>
          <w:tcPr>
            <w:tcW w:type="dxa" w:w="3300"/>
            <w:tcMar>
              <w:top w:type="dxa" w:w="80"/>
              <w:left w:type="dxa" w:w="120"/>
              <w:bottom w:type="dxa" w:w="80"/>
              <w:right w:type="dxa" w:w="120"/>
            </w:tcMar>
          </w:tcPr>
          <w:p>
            <w:pPr>
              <w:spacing w:after="0" w:line="240"/>
            </w:pPr>
            <w:r>
              <w:rPr>
                <w:sz w:val="19"/>
                <w:szCs w:val="19"/>
              </w:rPr>
              <w:t xml:space="preserve">Cyclable lithium consumed by side reactions, chiefly SEI</w:t>
            </w:r>
          </w:p>
        </w:tc>
        <w:tc>
          <w:tcPr>
            <w:tcW w:type="dxa" w:w="3260"/>
            <w:tcMar>
              <w:top w:type="dxa" w:w="80"/>
              <w:left w:type="dxa" w:w="120"/>
              <w:bottom w:type="dxa" w:w="80"/>
              <w:right w:type="dxa" w:w="120"/>
            </w:tcMar>
          </w:tcPr>
          <w:p>
            <w:pPr>
              <w:spacing w:after="0" w:line="240"/>
            </w:pPr>
            <w:r>
              <w:rPr>
                <w:sz w:val="19"/>
                <w:szCs w:val="19"/>
              </w:rPr>
              <w:t xml:space="preserve">Capacity fade with electrode slippage; the usual dominant mode</w:t>
            </w:r>
          </w:p>
        </w:tc>
      </w:tr>
      <w:tr>
        <w:tc>
          <w:tcPr>
            <w:tcW w:type="dxa" w:w="2800"/>
            <w:tcMar>
              <w:top w:type="dxa" w:w="80"/>
              <w:left w:type="dxa" w:w="120"/>
              <w:bottom w:type="dxa" w:w="80"/>
              <w:right w:type="dxa" w:w="120"/>
            </w:tcMar>
          </w:tcPr>
          <w:p>
            <w:pPr>
              <w:spacing w:after="0" w:line="240"/>
            </w:pPr>
            <w:r>
              <w:rPr>
                <w:sz w:val="19"/>
                <w:szCs w:val="19"/>
              </w:rPr>
              <w:t xml:space="preserve">LAM — loss of active material</w:t>
            </w:r>
          </w:p>
        </w:tc>
        <w:tc>
          <w:tcPr>
            <w:tcW w:type="dxa" w:w="3300"/>
            <w:tcMar>
              <w:top w:type="dxa" w:w="80"/>
              <w:left w:type="dxa" w:w="120"/>
              <w:bottom w:type="dxa" w:w="80"/>
              <w:right w:type="dxa" w:w="120"/>
            </w:tcMar>
          </w:tcPr>
          <w:p>
            <w:pPr>
              <w:spacing w:after="0" w:line="240"/>
            </w:pPr>
            <w:r>
              <w:rPr>
                <w:sz w:val="19"/>
                <w:szCs w:val="19"/>
              </w:rPr>
              <w:t xml:space="preserve">Electrode material no longer electrochemically accessible</w:t>
            </w:r>
          </w:p>
        </w:tc>
        <w:tc>
          <w:tcPr>
            <w:tcW w:type="dxa" w:w="3260"/>
            <w:tcMar>
              <w:top w:type="dxa" w:w="80"/>
              <w:left w:type="dxa" w:w="120"/>
              <w:bottom w:type="dxa" w:w="80"/>
              <w:right w:type="dxa" w:w="120"/>
            </w:tcMar>
          </w:tcPr>
          <w:p>
            <w:pPr>
              <w:spacing w:after="0" w:line="240"/>
            </w:pPr>
            <w:r>
              <w:rPr>
                <w:sz w:val="19"/>
                <w:szCs w:val="19"/>
              </w:rPr>
              <w:t xml:space="preserve">Capacity fade with change in curve shape</w:t>
            </w:r>
          </w:p>
        </w:tc>
      </w:tr>
      <w:tr>
        <w:tc>
          <w:tcPr>
            <w:tcW w:type="dxa" w:w="2800"/>
            <w:tcMar>
              <w:top w:type="dxa" w:w="80"/>
              <w:left w:type="dxa" w:w="120"/>
              <w:bottom w:type="dxa" w:w="80"/>
              <w:right w:type="dxa" w:w="120"/>
            </w:tcMar>
          </w:tcPr>
          <w:p>
            <w:pPr>
              <w:spacing w:after="0" w:line="240"/>
            </w:pPr>
            <w:r>
              <w:rPr>
                <w:sz w:val="19"/>
                <w:szCs w:val="19"/>
              </w:rPr>
              <w:t xml:space="preserve">Resistance rise</w:t>
            </w:r>
          </w:p>
        </w:tc>
        <w:tc>
          <w:tcPr>
            <w:tcW w:type="dxa" w:w="3300"/>
            <w:tcMar>
              <w:top w:type="dxa" w:w="80"/>
              <w:left w:type="dxa" w:w="120"/>
              <w:bottom w:type="dxa" w:w="80"/>
              <w:right w:type="dxa" w:w="120"/>
            </w:tcMar>
          </w:tcPr>
          <w:p>
            <w:pPr>
              <w:spacing w:after="0" w:line="240"/>
            </w:pPr>
            <w:r>
              <w:rPr>
                <w:sz w:val="19"/>
                <w:szCs w:val="19"/>
              </w:rPr>
              <w:t xml:space="preserve">Impedance growth from film formation and contact loss</w:t>
            </w:r>
          </w:p>
        </w:tc>
        <w:tc>
          <w:tcPr>
            <w:tcW w:type="dxa" w:w="3260"/>
            <w:tcMar>
              <w:top w:type="dxa" w:w="80"/>
              <w:left w:type="dxa" w:w="120"/>
              <w:bottom w:type="dxa" w:w="80"/>
              <w:right w:type="dxa" w:w="120"/>
            </w:tcMar>
          </w:tcPr>
          <w:p>
            <w:pPr>
              <w:spacing w:after="0" w:line="240"/>
            </w:pPr>
            <w:r>
              <w:rPr>
                <w:sz w:val="19"/>
                <w:szCs w:val="19"/>
              </w:rPr>
              <w:t xml:space="preserve">Power fade; voltage sag under load; reduced usable capacity at a fixed cutoff</w:t>
            </w:r>
          </w:p>
        </w:tc>
      </w:tr>
    </w:tbl>
    <w:p>
      <w:pPr>
        <w:spacing w:after="180"/>
      </w:pPr>
    </w:p>
    <w:tbl>
      <w:tblPr>
        <w:tblW w:type="dxa" w:w="9360"/>
        <w:tblBorders>
          <w:top w:val="single" w:color="DDE5DF" w:sz="2"/>
          <w:left w:val="single" w:color="1E4E79" w:sz="18"/>
          <w:bottom w:val="single" w:color="DDE5DF" w:sz="2"/>
          <w:right w:val="single" w:color="DDE5DF" w:sz="2"/>
          <w:insideH w:val="none"/>
          <w:insideV w:val="none"/>
        </w:tblBorders>
      </w:tblPr>
      <w:tblGrid>
        <w:gridCol w:w="9360"/>
      </w:tblGrid>
      <w:tr>
        <w:tc>
          <w:tcPr>
            <w:tcW w:type="dxa" w:w="9360"/>
            <w:shd w:fill="EFF4F9" w:val="clear"/>
            <w:tcMar>
              <w:top w:type="dxa" w:w="140"/>
              <w:left w:type="dxa" w:w="200"/>
              <w:bottom w:type="dxa" w:w="140"/>
              <w:right w:type="dxa" w:w="200"/>
            </w:tcMar>
          </w:tcPr>
          <w:p>
            <w:pPr>
              <w:spacing w:after="0" w:line="276"/>
            </w:pPr>
            <w:r>
              <w:rPr>
                <w:b/>
                <w:bCs/>
                <w:sz w:val="21"/>
                <w:szCs w:val="21"/>
              </w:rPr>
              <w:t xml:space="preserve">Load-bearing for Part III. </w:t>
            </w:r>
            <w:r>
              <w:rPr>
                <w:sz w:val="21"/>
                <w:szCs w:val="21"/>
              </w:rPr>
              <w:t xml:space="preserve">The third row is the one to carry forward. Resistance rise reduces </w:t>
            </w:r>
            <w:r>
              <w:rPr>
                <w:i/>
                <w:iCs/>
                <w:sz w:val="21"/>
                <w:szCs w:val="21"/>
              </w:rPr>
              <w:t xml:space="preserve">measured</w:t>
            </w:r>
            <w:r>
              <w:rPr>
                <w:sz w:val="21"/>
                <w:szCs w:val="21"/>
              </w:rPr>
              <w:t xml:space="preserve"> capacity at a fixed cutoff voltage without any lithium having been lost — and impedance is strongly temperature dependent. A capacity measurement taken cold therefore understates the cell. Section 13 shows this effect at roughly 8 SOH points in the data used here, before any degradation has occurred.</w:t>
            </w:r>
          </w:p>
        </w:tc>
      </w:tr>
    </w:tbl>
    <w:p>
      <w:pPr>
        <w:pStyle w:val="Heading3"/>
        <w:spacing w:after="120" w:before="260"/>
      </w:pPr>
      <w:r>
        <w:rPr>
          <w:b/>
          <w:bCs/>
          <w:color w:val="2F3B4D"/>
          <w:sz w:val="23"/>
          <w:szCs w:val="23"/>
        </w:rPr>
        <w:t xml:space="preserve">2.4 The knee point</w:t>
      </w:r>
    </w:p>
    <w:p>
      <w:pPr>
        <w:spacing w:after="140" w:line="276"/>
      </w:pPr>
      <w:r>
        <w:rPr>
          <w:sz w:val="21"/>
          <w:szCs w:val="21"/>
        </w:rPr>
        <w:t xml:space="preserve">Capacity fade is typically near-linear for a long period and then accelerates, often sharply. The transition is called the knee. It matters commercially, because end-of-life is usually defined at 80% of rated capacity and the knee frequently sits near it, and it matters statistically, because a model fitted on pre-knee data extrapolates badly through it.</w:t>
      </w:r>
    </w:p>
    <w:p>
      <w:pPr>
        <w:pStyle w:val="Heading2"/>
        <w:spacing w:after="160" w:before="360"/>
      </w:pPr>
      <w:r>
        <w:rPr>
          <w:b/>
          <w:bCs/>
          <w:color w:val="111826"/>
          <w:sz w:val="28"/>
          <w:szCs w:val="28"/>
        </w:rPr>
        <w:t xml:space="preserve">3. What a Battery Management System Does</w:t>
      </w:r>
    </w:p>
    <w:p>
      <w:pPr>
        <w:spacing w:after="140" w:line="276"/>
      </w:pPr>
      <w:r>
        <w:rPr>
          <w:sz w:val="21"/>
          <w:szCs w:val="21"/>
        </w:rPr>
        <w:t xml:space="preserve">A BMS is not primarily an estimator. Its first duty is protection, and estimation is layered on top of a system that must remain safe when the estimation is wrong.</w:t>
      </w:r>
    </w:p>
    <w:tbl>
      <w:tblPr>
        <w:tblW w:type="dxa" w:w="9360"/>
        <w:tblBorders>
          <w:top w:val="single" w:color="B9C2CE" w:sz="4"/>
          <w:left w:val="none"/>
          <w:bottom w:val="single" w:color="B9C2CE" w:sz="4"/>
          <w:right w:val="none"/>
          <w:insideH w:val="single" w:color="E1E6EC" w:sz="2"/>
          <w:insideV w:val="none"/>
        </w:tblBorders>
      </w:tblPr>
      <w:tblGrid>
        <w:gridCol w:w="2200"/>
        <w:gridCol w:w="7160"/>
      </w:tblGrid>
      <w:tr>
        <w:trPr>
          <w:tblHeader/>
        </w:trPr>
        <w:tc>
          <w:tcPr>
            <w:tcW w:type="dxa" w:w="2200"/>
            <w:shd w:fill="EEF2F6" w:val="clear"/>
            <w:tcMar>
              <w:top w:type="dxa" w:w="80"/>
              <w:left w:type="dxa" w:w="120"/>
              <w:bottom w:type="dxa" w:w="80"/>
              <w:right w:type="dxa" w:w="120"/>
            </w:tcMar>
          </w:tcPr>
          <w:p>
            <w:pPr>
              <w:spacing w:after="0" w:line="240"/>
            </w:pPr>
            <w:r>
              <w:rPr>
                <w:b/>
                <w:bCs/>
                <w:sz w:val="19"/>
                <w:szCs w:val="19"/>
              </w:rPr>
              <w:t xml:space="preserve">Function</w:t>
            </w:r>
          </w:p>
        </w:tc>
        <w:tc>
          <w:tcPr>
            <w:tcW w:type="dxa" w:w="7160"/>
            <w:shd w:fill="EEF2F6" w:val="clear"/>
            <w:tcMar>
              <w:top w:type="dxa" w:w="80"/>
              <w:left w:type="dxa" w:w="120"/>
              <w:bottom w:type="dxa" w:w="80"/>
              <w:right w:type="dxa" w:w="120"/>
            </w:tcMar>
          </w:tcPr>
          <w:p>
            <w:pPr>
              <w:spacing w:after="0" w:line="240"/>
            </w:pPr>
            <w:r>
              <w:rPr>
                <w:b/>
                <w:bCs/>
                <w:sz w:val="19"/>
                <w:szCs w:val="19"/>
              </w:rPr>
              <w:t xml:space="preserve">Description</w:t>
            </w:r>
          </w:p>
        </w:tc>
      </w:tr>
      <w:tr>
        <w:tc>
          <w:tcPr>
            <w:tcW w:type="dxa" w:w="2200"/>
            <w:tcMar>
              <w:top w:type="dxa" w:w="80"/>
              <w:left w:type="dxa" w:w="120"/>
              <w:bottom w:type="dxa" w:w="80"/>
              <w:right w:type="dxa" w:w="120"/>
            </w:tcMar>
          </w:tcPr>
          <w:p>
            <w:pPr>
              <w:spacing w:after="0" w:line="240"/>
            </w:pPr>
            <w:r>
              <w:rPr>
                <w:sz w:val="19"/>
                <w:szCs w:val="19"/>
              </w:rPr>
              <w:t xml:space="preserve">Protection</w:t>
            </w:r>
          </w:p>
        </w:tc>
        <w:tc>
          <w:tcPr>
            <w:tcW w:type="dxa" w:w="7160"/>
            <w:tcMar>
              <w:top w:type="dxa" w:w="80"/>
              <w:left w:type="dxa" w:w="120"/>
              <w:bottom w:type="dxa" w:w="80"/>
              <w:right w:type="dxa" w:w="120"/>
            </w:tcMar>
          </w:tcPr>
          <w:p>
            <w:pPr>
              <w:spacing w:after="0" w:line="240"/>
            </w:pPr>
            <w:r>
              <w:rPr>
                <w:sz w:val="19"/>
                <w:szCs w:val="19"/>
              </w:rPr>
              <w:t xml:space="preserve">Over-voltage, under-voltage, over-current, over-temperature and short-circuit cutoff. Implemented in hardware, in series, independent of firmware.</w:t>
            </w:r>
          </w:p>
        </w:tc>
      </w:tr>
      <w:tr>
        <w:tc>
          <w:tcPr>
            <w:tcW w:type="dxa" w:w="2200"/>
            <w:tcMar>
              <w:top w:type="dxa" w:w="80"/>
              <w:left w:type="dxa" w:w="120"/>
              <w:bottom w:type="dxa" w:w="80"/>
              <w:right w:type="dxa" w:w="120"/>
            </w:tcMar>
          </w:tcPr>
          <w:p>
            <w:pPr>
              <w:spacing w:after="0" w:line="240"/>
            </w:pPr>
            <w:r>
              <w:rPr>
                <w:sz w:val="19"/>
                <w:szCs w:val="19"/>
              </w:rPr>
              <w:t xml:space="preserve">Measurement</w:t>
            </w:r>
          </w:p>
        </w:tc>
        <w:tc>
          <w:tcPr>
            <w:tcW w:type="dxa" w:w="7160"/>
            <w:tcMar>
              <w:top w:type="dxa" w:w="80"/>
              <w:left w:type="dxa" w:w="120"/>
              <w:bottom w:type="dxa" w:w="80"/>
              <w:right w:type="dxa" w:w="120"/>
            </w:tcMar>
          </w:tcPr>
          <w:p>
            <w:pPr>
              <w:spacing w:after="0" w:line="240"/>
            </w:pPr>
            <w:r>
              <w:rPr>
                <w:sz w:val="19"/>
                <w:szCs w:val="19"/>
              </w:rPr>
              <w:t xml:space="preserve">Per-cell voltage, pack current, multiple temperatures. The foundation everything else rests on.</w:t>
            </w:r>
          </w:p>
        </w:tc>
      </w:tr>
      <w:tr>
        <w:tc>
          <w:tcPr>
            <w:tcW w:type="dxa" w:w="2200"/>
            <w:tcMar>
              <w:top w:type="dxa" w:w="80"/>
              <w:left w:type="dxa" w:w="120"/>
              <w:bottom w:type="dxa" w:w="80"/>
              <w:right w:type="dxa" w:w="120"/>
            </w:tcMar>
          </w:tcPr>
          <w:p>
            <w:pPr>
              <w:spacing w:after="0" w:line="240"/>
            </w:pPr>
            <w:r>
              <w:rPr>
                <w:sz w:val="19"/>
                <w:szCs w:val="19"/>
              </w:rPr>
              <w:t xml:space="preserve">State estimation</w:t>
            </w:r>
          </w:p>
        </w:tc>
        <w:tc>
          <w:tcPr>
            <w:tcW w:type="dxa" w:w="7160"/>
            <w:tcMar>
              <w:top w:type="dxa" w:w="80"/>
              <w:left w:type="dxa" w:w="120"/>
              <w:bottom w:type="dxa" w:w="80"/>
              <w:right w:type="dxa" w:w="120"/>
            </w:tcMar>
          </w:tcPr>
          <w:p>
            <w:pPr>
              <w:spacing w:after="0" w:line="240"/>
            </w:pPr>
            <w:r>
              <w:rPr>
                <w:sz w:val="19"/>
                <w:szCs w:val="19"/>
              </w:rPr>
              <w:t xml:space="preserve">State of charge, state of health, remaining useful life, state of power.</w:t>
            </w:r>
          </w:p>
        </w:tc>
      </w:tr>
      <w:tr>
        <w:tc>
          <w:tcPr>
            <w:tcW w:type="dxa" w:w="2200"/>
            <w:tcMar>
              <w:top w:type="dxa" w:w="80"/>
              <w:left w:type="dxa" w:w="120"/>
              <w:bottom w:type="dxa" w:w="80"/>
              <w:right w:type="dxa" w:w="120"/>
            </w:tcMar>
          </w:tcPr>
          <w:p>
            <w:pPr>
              <w:spacing w:after="0" w:line="240"/>
            </w:pPr>
            <w:r>
              <w:rPr>
                <w:sz w:val="19"/>
                <w:szCs w:val="19"/>
              </w:rPr>
              <w:t xml:space="preserve">Cell balancing</w:t>
            </w:r>
          </w:p>
        </w:tc>
        <w:tc>
          <w:tcPr>
            <w:tcW w:type="dxa" w:w="7160"/>
            <w:tcMar>
              <w:top w:type="dxa" w:w="80"/>
              <w:left w:type="dxa" w:w="120"/>
              <w:bottom w:type="dxa" w:w="80"/>
              <w:right w:type="dxa" w:w="120"/>
            </w:tcMar>
          </w:tcPr>
          <w:p>
            <w:pPr>
              <w:spacing w:after="0" w:line="240"/>
            </w:pPr>
            <w:r>
              <w:rPr>
                <w:sz w:val="19"/>
                <w:szCs w:val="19"/>
              </w:rPr>
              <w:t xml:space="preserve">Passive (dissipative) or active (charge-shuttling) equalisation of cell states within a series string.</w:t>
            </w:r>
          </w:p>
        </w:tc>
      </w:tr>
      <w:tr>
        <w:tc>
          <w:tcPr>
            <w:tcW w:type="dxa" w:w="2200"/>
            <w:tcMar>
              <w:top w:type="dxa" w:w="80"/>
              <w:left w:type="dxa" w:w="120"/>
              <w:bottom w:type="dxa" w:w="80"/>
              <w:right w:type="dxa" w:w="120"/>
            </w:tcMar>
          </w:tcPr>
          <w:p>
            <w:pPr>
              <w:spacing w:after="0" w:line="240"/>
            </w:pPr>
            <w:r>
              <w:rPr>
                <w:sz w:val="19"/>
                <w:szCs w:val="19"/>
              </w:rPr>
              <w:t xml:space="preserve">Thermal management</w:t>
            </w:r>
          </w:p>
        </w:tc>
        <w:tc>
          <w:tcPr>
            <w:tcW w:type="dxa" w:w="7160"/>
            <w:tcMar>
              <w:top w:type="dxa" w:w="80"/>
              <w:left w:type="dxa" w:w="120"/>
              <w:bottom w:type="dxa" w:w="80"/>
              <w:right w:type="dxa" w:w="120"/>
            </w:tcMar>
          </w:tcPr>
          <w:p>
            <w:pPr>
              <w:spacing w:after="0" w:line="240"/>
            </w:pPr>
            <w:r>
              <w:rPr>
                <w:sz w:val="19"/>
                <w:szCs w:val="19"/>
              </w:rPr>
              <w:t xml:space="preserve">Control of heating and cooling to hold the pack in its safe and efficient window.</w:t>
            </w:r>
          </w:p>
        </w:tc>
      </w:tr>
      <w:tr>
        <w:tc>
          <w:tcPr>
            <w:tcW w:type="dxa" w:w="2200"/>
            <w:tcMar>
              <w:top w:type="dxa" w:w="80"/>
              <w:left w:type="dxa" w:w="120"/>
              <w:bottom w:type="dxa" w:w="80"/>
              <w:right w:type="dxa" w:w="120"/>
            </w:tcMar>
          </w:tcPr>
          <w:p>
            <w:pPr>
              <w:spacing w:after="0" w:line="240"/>
            </w:pPr>
            <w:r>
              <w:rPr>
                <w:sz w:val="19"/>
                <w:szCs w:val="19"/>
              </w:rPr>
              <w:t xml:space="preserve">Communication and logging</w:t>
            </w:r>
          </w:p>
        </w:tc>
        <w:tc>
          <w:tcPr>
            <w:tcW w:type="dxa" w:w="7160"/>
            <w:tcMar>
              <w:top w:type="dxa" w:w="80"/>
              <w:left w:type="dxa" w:w="120"/>
              <w:bottom w:type="dxa" w:w="80"/>
              <w:right w:type="dxa" w:w="120"/>
            </w:tcMar>
          </w:tcPr>
          <w:p>
            <w:pPr>
              <w:spacing w:after="0" w:line="240"/>
            </w:pPr>
            <w:r>
              <w:rPr>
                <w:sz w:val="19"/>
                <w:szCs w:val="19"/>
              </w:rPr>
              <w:t xml:space="preserve">Typically CAN in vehicles; the data source this project treats as its first-class transport.</w:t>
            </w:r>
          </w:p>
        </w:tc>
      </w:tr>
    </w:tbl>
    <w:p>
      <w:pPr>
        <w:spacing w:after="180"/>
      </w:pPr>
    </w:p>
    <w:tbl>
      <w:tblPr>
        <w:tblW w:type="dxa" w:w="9360"/>
        <w:tblBorders>
          <w:top w:val="single" w:color="DDE5DF" w:sz="2"/>
          <w:left w:val="single" w:color="1F6F4A" w:sz="18"/>
          <w:bottom w:val="single" w:color="DDE5DF" w:sz="2"/>
          <w:right w:val="single" w:color="DDE5DF" w:sz="2"/>
          <w:insideH w:val="none"/>
          <w:insideV w:val="none"/>
        </w:tblBorders>
      </w:tblPr>
      <w:tblGrid>
        <w:gridCol w:w="9360"/>
      </w:tblGrid>
      <w:tr>
        <w:tc>
          <w:tcPr>
            <w:tcW w:type="dxa" w:w="9360"/>
            <w:shd w:fill="F1F7F3" w:val="clear"/>
            <w:tcMar>
              <w:top w:type="dxa" w:w="140"/>
              <w:left w:type="dxa" w:w="200"/>
              <w:bottom w:type="dxa" w:w="140"/>
              <w:right w:type="dxa" w:w="200"/>
            </w:tcMar>
          </w:tcPr>
          <w:p>
            <w:pPr>
              <w:spacing w:after="0" w:line="276"/>
            </w:pPr>
            <w:r>
              <w:rPr>
                <w:b/>
                <w:bCs/>
                <w:sz w:val="21"/>
                <w:szCs w:val="21"/>
              </w:rPr>
              <w:t xml:space="preserve">Design position taken by this project. </w:t>
            </w:r>
            <w:r>
              <w:rPr>
                <w:sz w:val="21"/>
                <w:szCs w:val="21"/>
              </w:rPr>
              <w:t xml:space="preserve">The microcontroller is a monitor and is never the protection device. If the firmware hangs, crashes or is mid-reflash, the cell must still be safe. Every hardware configuration in Part IV places a protection circuit in series with the cell, independent of software.</w:t>
            </w:r>
          </w:p>
        </w:tc>
      </w:tr>
    </w:tbl>
    <w:p>
      <w:pPr>
        <w:pStyle w:val="Heading2"/>
        <w:spacing w:after="160" w:before="360"/>
      </w:pPr>
      <w:r>
        <w:rPr>
          <w:b/>
          <w:bCs/>
          <w:color w:val="111826"/>
          <w:sz w:val="28"/>
          <w:szCs w:val="28"/>
        </w:rPr>
        <w:t xml:space="preserve">4. State of Health, and Why It Is Hard</w:t>
      </w:r>
    </w:p>
    <w:p>
      <w:pPr>
        <w:pStyle w:val="Heading3"/>
        <w:spacing w:after="120" w:before="260"/>
      </w:pPr>
      <w:r>
        <w:rPr>
          <w:b/>
          <w:bCs/>
          <w:color w:val="2F3B4D"/>
          <w:sz w:val="23"/>
          <w:szCs w:val="23"/>
        </w:rPr>
        <w:t xml:space="preserve">4.1 Definitions</w:t>
      </w:r>
    </w:p>
    <w:p>
      <w:pPr>
        <w:spacing w:after="140" w:line="276"/>
      </w:pPr>
      <w:r>
        <w:rPr>
          <w:sz w:val="21"/>
          <w:szCs w:val="21"/>
        </w:rPr>
        <w:t xml:space="preserve">State of health has no single definition. Two are in common use and they do not agree with each other:</w:t>
      </w:r>
    </w:p>
    <w:p>
      <w:pPr>
        <w:pStyle w:val="ListParagraph"/>
        <w:numPr>
          <w:ilvl w:val="0"/>
          <w:numId w:val="2"/>
        </w:numPr>
        <w:spacing w:after="90" w:line="276"/>
      </w:pPr>
      <w:r>
        <w:rPr>
          <w:b/>
          <w:bCs/>
          <w:sz w:val="21"/>
          <w:szCs w:val="21"/>
        </w:rPr>
        <w:t xml:space="preserve">Capacity-based. </w:t>
      </w:r>
      <w:r>
        <w:rPr>
          <w:sz w:val="21"/>
          <w:szCs w:val="21"/>
        </w:rPr>
        <w:t xml:space="preserve">SOH = present usable capacity divided by rated capacity. The definition used throughout this report.</w:t>
      </w:r>
    </w:p>
    <w:p>
      <w:pPr>
        <w:pStyle w:val="ListParagraph"/>
        <w:numPr>
          <w:ilvl w:val="0"/>
          <w:numId w:val="2"/>
        </w:numPr>
        <w:spacing w:after="90" w:line="276"/>
      </w:pPr>
      <w:r>
        <w:rPr>
          <w:b/>
          <w:bCs/>
          <w:sz w:val="21"/>
          <w:szCs w:val="21"/>
        </w:rPr>
        <w:t xml:space="preserve">Resistance- or power-based. </w:t>
      </w:r>
      <w:r>
        <w:rPr>
          <w:sz w:val="21"/>
          <w:szCs w:val="21"/>
        </w:rPr>
        <w:t xml:space="preserve">SOH expressed through internal-resistance growth relative to a new cell. Relevant where power delivery, rather than range, is the binding constraint.</w:t>
      </w:r>
    </w:p>
    <w:p>
      <w:pPr>
        <w:spacing w:after="140" w:line="276"/>
      </w:pPr>
      <w:r>
        <w:rPr>
          <w:sz w:val="21"/>
          <w:szCs w:val="21"/>
        </w:rPr>
        <w:t xml:space="preserve">A cell can be healthy on one definition and degraded on the other. Any claim about SOH estimation should therefore state which definition it is estimating, and this report states capacity throughout.</w:t>
      </w:r>
    </w:p>
    <w:p>
      <w:pPr>
        <w:pStyle w:val="Heading3"/>
        <w:spacing w:after="120" w:before="260"/>
      </w:pPr>
      <w:r>
        <w:rPr>
          <w:b/>
          <w:bCs/>
          <w:color w:val="2F3B4D"/>
          <w:sz w:val="23"/>
          <w:szCs w:val="23"/>
        </w:rPr>
        <w:t xml:space="preserve">4.2 Why capacity is hard to measure in service</w:t>
      </w:r>
    </w:p>
    <w:p>
      <w:pPr>
        <w:spacing w:after="140" w:line="276"/>
      </w:pPr>
      <w:r>
        <w:rPr>
          <w:sz w:val="21"/>
          <w:szCs w:val="21"/>
        </w:rPr>
        <w:t xml:space="preserve">Four difficulties compound, and the first is the one this project ended up contributing to:</w:t>
      </w:r>
    </w:p>
    <w:p>
      <w:pPr>
        <w:pStyle w:val="ListParagraph"/>
        <w:numPr>
          <w:ilvl w:val="0"/>
          <w:numId w:val="3"/>
        </w:numPr>
        <w:spacing w:after="90" w:line="276"/>
      </w:pPr>
      <w:r>
        <w:rPr>
          <w:b/>
          <w:bCs/>
          <w:sz w:val="21"/>
          <w:szCs w:val="21"/>
        </w:rPr>
        <w:t xml:space="preserve">There is no sensor for it. </w:t>
      </w:r>
      <w:r>
        <w:rPr>
          <w:sz w:val="21"/>
          <w:szCs w:val="21"/>
        </w:rPr>
        <w:t xml:space="preserve">Capacity is not measured; it is inferred. A direct measurement requires a full controlled discharge between defined limits at a defined rate and temperature — which normal operation does not provide, and which a laboratory provides only at intervals.</w:t>
      </w:r>
    </w:p>
    <w:p>
      <w:pPr>
        <w:pStyle w:val="ListParagraph"/>
        <w:numPr>
          <w:ilvl w:val="0"/>
          <w:numId w:val="3"/>
        </w:numPr>
        <w:spacing w:after="90" w:line="276"/>
      </w:pPr>
      <w:r>
        <w:rPr>
          <w:b/>
          <w:bCs/>
          <w:sz w:val="21"/>
          <w:szCs w:val="21"/>
        </w:rPr>
        <w:t xml:space="preserve">The measurement is condition-dependent. </w:t>
      </w:r>
      <w:r>
        <w:rPr>
          <w:sz w:val="21"/>
          <w:szCs w:val="21"/>
        </w:rPr>
        <w:t xml:space="preserve">Measured capacity at a fixed cutoff depends on temperature and on discharge rate, because both affect the voltage drop that terminates the discharge. Two measurements of the same undegraded cell at different temperatures differ. Section 13 quantifies this for the data used here.</w:t>
      </w:r>
    </w:p>
    <w:p>
      <w:pPr>
        <w:pStyle w:val="ListParagraph"/>
        <w:numPr>
          <w:ilvl w:val="0"/>
          <w:numId w:val="3"/>
        </w:numPr>
        <w:spacing w:after="90" w:line="276"/>
      </w:pPr>
      <w:r>
        <w:rPr>
          <w:b/>
          <w:bCs/>
          <w:sz w:val="21"/>
          <w:szCs w:val="21"/>
        </w:rPr>
        <w:t xml:space="preserve">The signal is slow and the noise is not. </w:t>
      </w:r>
      <w:r>
        <w:rPr>
          <w:sz w:val="21"/>
          <w:szCs w:val="21"/>
        </w:rPr>
        <w:t xml:space="preserve">Fade over one cycle is far smaller than the repeatability of a capacity measurement, so a per-cycle fade label is dominated by noise. Section 11 measures exactly this and finds the target used in the original project design carries a maximum attainable R² of 0.044.</w:t>
      </w:r>
    </w:p>
    <w:p>
      <w:pPr>
        <w:pStyle w:val="ListParagraph"/>
        <w:numPr>
          <w:ilvl w:val="0"/>
          <w:numId w:val="3"/>
        </w:numPr>
        <w:spacing w:after="90" w:line="276"/>
      </w:pPr>
      <w:r>
        <w:rPr>
          <w:b/>
          <w:bCs/>
          <w:sz w:val="21"/>
          <w:szCs w:val="21"/>
        </w:rPr>
        <w:t xml:space="preserve">Validation leaks. </w:t>
      </w:r>
      <w:r>
        <w:rPr>
          <w:sz w:val="21"/>
          <w:szCs w:val="21"/>
        </w:rPr>
        <w:t xml:space="preserve">Because cycles from one cell are highly autocorrelated, a random train/test split over pooled cycles places near-duplicate rows on both sides. Reported skill under such splitting substantially overstates what the method would achieve on an unseen cell, and overstates it again for an unseen operating protocol. Part III is largely an account of how much.</w:t>
      </w:r>
    </w:p>
    <w:p>
      <w:pPr>
        <w:pStyle w:val="Heading3"/>
        <w:spacing w:after="120" w:before="260"/>
      </w:pPr>
      <w:r>
        <w:rPr>
          <w:b/>
          <w:bCs/>
          <w:color w:val="2F3B4D"/>
          <w:sz w:val="23"/>
          <w:szCs w:val="23"/>
        </w:rPr>
        <w:t xml:space="preserve">4.3 The validation ladder</w:t>
      </w:r>
    </w:p>
    <w:p>
      <w:pPr>
        <w:spacing w:after="140" w:line="276"/>
      </w:pPr>
      <w:r>
        <w:rPr>
          <w:sz w:val="21"/>
          <w:szCs w:val="21"/>
        </w:rPr>
        <w:t xml:space="preserve">Prior work forms a ladder in which each rung holds out a larger unit than the last, and each exposes inflation the rung below concealed. This framing, and the two findings in its right-hand column, are taken from the literature verified in this project’s reference list.</w:t>
      </w:r>
    </w:p>
    <w:tbl>
      <w:tblPr>
        <w:tblW w:type="dxa" w:w="9360"/>
        <w:tblBorders>
          <w:top w:val="single" w:color="B9C2CE" w:sz="4"/>
          <w:left w:val="none"/>
          <w:bottom w:val="single" w:color="B9C2CE" w:sz="4"/>
          <w:right w:val="none"/>
          <w:insideH w:val="single" w:color="E1E6EC" w:sz="2"/>
          <w:insideV w:val="none"/>
        </w:tblBorders>
      </w:tblPr>
      <w:tblGrid>
        <w:gridCol w:w="2700"/>
        <w:gridCol w:w="3100"/>
        <w:gridCol w:w="3560"/>
      </w:tblGrid>
      <w:tr>
        <w:trPr>
          <w:tblHeader/>
        </w:trPr>
        <w:tc>
          <w:tcPr>
            <w:tcW w:type="dxa" w:w="2700"/>
            <w:shd w:fill="EEF2F6" w:val="clear"/>
            <w:tcMar>
              <w:top w:type="dxa" w:w="80"/>
              <w:left w:type="dxa" w:w="120"/>
              <w:bottom w:type="dxa" w:w="80"/>
              <w:right w:type="dxa" w:w="120"/>
            </w:tcMar>
          </w:tcPr>
          <w:p>
            <w:pPr>
              <w:spacing w:after="0" w:line="240"/>
            </w:pPr>
            <w:r>
              <w:rPr>
                <w:b/>
                <w:bCs/>
                <w:sz w:val="19"/>
                <w:szCs w:val="19"/>
              </w:rPr>
              <w:t xml:space="preserve">Rung</w:t>
            </w:r>
          </w:p>
        </w:tc>
        <w:tc>
          <w:tcPr>
            <w:tcW w:type="dxa" w:w="3100"/>
            <w:shd w:fill="EEF2F6" w:val="clear"/>
            <w:tcMar>
              <w:top w:type="dxa" w:w="80"/>
              <w:left w:type="dxa" w:w="120"/>
              <w:bottom w:type="dxa" w:w="80"/>
              <w:right w:type="dxa" w:w="120"/>
            </w:tcMar>
          </w:tcPr>
          <w:p>
            <w:pPr>
              <w:spacing w:after="0" w:line="240"/>
            </w:pPr>
            <w:r>
              <w:rPr>
                <w:b/>
                <w:bCs/>
                <w:sz w:val="19"/>
                <w:szCs w:val="19"/>
              </w:rPr>
              <w:t xml:space="preserve">Holds out</w:t>
            </w:r>
          </w:p>
        </w:tc>
        <w:tc>
          <w:tcPr>
            <w:tcW w:type="dxa" w:w="3560"/>
            <w:shd w:fill="EEF2F6" w:val="clear"/>
            <w:tcMar>
              <w:top w:type="dxa" w:w="80"/>
              <w:left w:type="dxa" w:w="120"/>
              <w:bottom w:type="dxa" w:w="80"/>
              <w:right w:type="dxa" w:w="120"/>
            </w:tcMar>
          </w:tcPr>
          <w:p>
            <w:pPr>
              <w:spacing w:after="0" w:line="240"/>
            </w:pPr>
            <w:r>
              <w:rPr>
                <w:b/>
                <w:bCs/>
                <w:sz w:val="19"/>
                <w:szCs w:val="19"/>
              </w:rPr>
              <w:t xml:space="preserve">Representative finding</w:t>
            </w:r>
          </w:p>
        </w:tc>
      </w:tr>
      <w:tr>
        <w:tc>
          <w:tcPr>
            <w:tcW w:type="dxa" w:w="2700"/>
            <w:tcMar>
              <w:top w:type="dxa" w:w="80"/>
              <w:left w:type="dxa" w:w="120"/>
              <w:bottom w:type="dxa" w:w="80"/>
              <w:right w:type="dxa" w:w="120"/>
            </w:tcMar>
          </w:tcPr>
          <w:p>
            <w:pPr>
              <w:spacing w:after="0" w:line="240"/>
            </w:pPr>
            <w:r>
              <w:rPr>
                <w:sz w:val="19"/>
                <w:szCs w:val="19"/>
              </w:rPr>
              <w:t xml:space="preserve">Random / k-fold over cycles</w:t>
            </w:r>
          </w:p>
        </w:tc>
        <w:tc>
          <w:tcPr>
            <w:tcW w:type="dxa" w:w="3100"/>
            <w:tcMar>
              <w:top w:type="dxa" w:w="80"/>
              <w:left w:type="dxa" w:w="120"/>
              <w:bottom w:type="dxa" w:w="80"/>
              <w:right w:type="dxa" w:w="120"/>
            </w:tcMar>
          </w:tcPr>
          <w:p>
            <w:pPr>
              <w:spacing w:after="0" w:line="240"/>
            </w:pPr>
            <w:r>
              <w:rPr>
                <w:sz w:val="19"/>
                <w:szCs w:val="19"/>
              </w:rPr>
              <w:t xml:space="preserve">Nothing — cycles from one cell fall on both sides</w:t>
            </w:r>
          </w:p>
        </w:tc>
        <w:tc>
          <w:tcPr>
            <w:tcW w:type="dxa" w:w="3560"/>
            <w:tcMar>
              <w:top w:type="dxa" w:w="80"/>
              <w:left w:type="dxa" w:w="120"/>
              <w:bottom w:type="dxa" w:w="80"/>
              <w:right w:type="dxa" w:w="120"/>
            </w:tcMar>
          </w:tcPr>
          <w:p>
            <w:pPr>
              <w:spacing w:after="0" w:line="240"/>
            </w:pPr>
            <w:r>
              <w:rPr>
                <w:sz w:val="19"/>
                <w:szCs w:val="19"/>
              </w:rPr>
              <w:t xml:space="preserve">Maher &amp; Yerken (2025): R² = 0.9999 under random splitting</w:t>
            </w:r>
          </w:p>
        </w:tc>
      </w:tr>
      <w:tr>
        <w:tc>
          <w:tcPr>
            <w:tcW w:type="dxa" w:w="2700"/>
            <w:tcMar>
              <w:top w:type="dxa" w:w="80"/>
              <w:left w:type="dxa" w:w="120"/>
              <w:bottom w:type="dxa" w:w="80"/>
              <w:right w:type="dxa" w:w="120"/>
            </w:tcMar>
          </w:tcPr>
          <w:p>
            <w:pPr>
              <w:spacing w:after="0" w:line="240"/>
            </w:pPr>
            <w:r>
              <w:rPr>
                <w:sz w:val="19"/>
                <w:szCs w:val="19"/>
              </w:rPr>
              <w:t xml:space="preserve">Cell-wise (LOBO)</w:t>
            </w:r>
          </w:p>
        </w:tc>
        <w:tc>
          <w:tcPr>
            <w:tcW w:type="dxa" w:w="3100"/>
            <w:tcMar>
              <w:top w:type="dxa" w:w="80"/>
              <w:left w:type="dxa" w:w="120"/>
              <w:bottom w:type="dxa" w:w="80"/>
              <w:right w:type="dxa" w:w="120"/>
            </w:tcMar>
          </w:tcPr>
          <w:p>
            <w:pPr>
              <w:spacing w:after="0" w:line="240"/>
            </w:pPr>
            <w:r>
              <w:rPr>
                <w:sz w:val="19"/>
                <w:szCs w:val="19"/>
              </w:rPr>
              <w:t xml:space="preserve">One cell</w:t>
            </w:r>
          </w:p>
        </w:tc>
        <w:tc>
          <w:tcPr>
            <w:tcW w:type="dxa" w:w="3560"/>
            <w:tcMar>
              <w:top w:type="dxa" w:w="80"/>
              <w:left w:type="dxa" w:w="120"/>
              <w:bottom w:type="dxa" w:w="80"/>
              <w:right w:type="dxa" w:w="120"/>
            </w:tcMar>
          </w:tcPr>
          <w:p>
            <w:pPr>
              <w:spacing w:after="0" w:line="240"/>
            </w:pPr>
            <w:r>
              <w:rPr>
                <w:sz w:val="19"/>
                <w:szCs w:val="19"/>
              </w:rPr>
              <w:t xml:space="preserve">Maher &amp; Yerken (2025): the same data gives R² ≈ 0.91, described as optimistic bias</w:t>
            </w:r>
          </w:p>
        </w:tc>
      </w:tr>
      <w:tr>
        <w:tc>
          <w:tcPr>
            <w:tcW w:type="dxa" w:w="2700"/>
            <w:tcMar>
              <w:top w:type="dxa" w:w="80"/>
              <w:left w:type="dxa" w:w="120"/>
              <w:bottom w:type="dxa" w:w="80"/>
              <w:right w:type="dxa" w:w="120"/>
            </w:tcMar>
          </w:tcPr>
          <w:p>
            <w:pPr>
              <w:spacing w:after="0" w:line="240"/>
            </w:pPr>
            <w:r>
              <w:rPr>
                <w:sz w:val="19"/>
                <w:szCs w:val="19"/>
              </w:rPr>
              <w:t xml:space="preserve"/>
            </w:r>
          </w:p>
        </w:tc>
        <w:tc>
          <w:tcPr>
            <w:tcW w:type="dxa" w:w="3100"/>
            <w:tcMar>
              <w:top w:type="dxa" w:w="80"/>
              <w:left w:type="dxa" w:w="120"/>
              <w:bottom w:type="dxa" w:w="80"/>
              <w:right w:type="dxa" w:w="120"/>
            </w:tcMar>
          </w:tcPr>
          <w:p>
            <w:pPr>
              <w:spacing w:after="0" w:line="240"/>
            </w:pPr>
            <w:r>
              <w:rPr>
                <w:sz w:val="19"/>
                <w:szCs w:val="19"/>
              </w:rPr>
              <w:t xml:space="preserve"/>
            </w:r>
          </w:p>
        </w:tc>
        <w:tc>
          <w:tcPr>
            <w:tcW w:type="dxa" w:w="3560"/>
            <w:tcMar>
              <w:top w:type="dxa" w:w="80"/>
              <w:left w:type="dxa" w:w="120"/>
              <w:bottom w:type="dxa" w:w="80"/>
              <w:right w:type="dxa" w:w="120"/>
            </w:tcMar>
          </w:tcPr>
          <w:p>
            <w:pPr>
              <w:spacing w:after="0" w:line="240"/>
            </w:pPr>
            <w:r>
              <w:rPr>
                <w:sz w:val="19"/>
                <w:szCs w:val="19"/>
              </w:rPr>
              <w:t xml:space="preserve">Le &amp; Nguyen (2026): a 119% gap between 5-fold CV and LOBO on NASA</w:t>
            </w:r>
          </w:p>
        </w:tc>
      </w:tr>
      <w:tr>
        <w:tc>
          <w:tcPr>
            <w:tcW w:type="dxa" w:w="2700"/>
            <w:tcMar>
              <w:top w:type="dxa" w:w="80"/>
              <w:left w:type="dxa" w:w="120"/>
              <w:bottom w:type="dxa" w:w="80"/>
              <w:right w:type="dxa" w:w="120"/>
            </w:tcMar>
          </w:tcPr>
          <w:p>
            <w:pPr>
              <w:spacing w:after="0" w:line="240"/>
            </w:pPr>
            <w:r>
              <w:rPr>
                <w:sz w:val="19"/>
                <w:szCs w:val="19"/>
              </w:rPr>
              <w:t xml:space="preserve">Protocol-wise (LOCO)</w:t>
            </w:r>
          </w:p>
        </w:tc>
        <w:tc>
          <w:tcPr>
            <w:tcW w:type="dxa" w:w="3100"/>
            <w:tcMar>
              <w:top w:type="dxa" w:w="80"/>
              <w:left w:type="dxa" w:w="120"/>
              <w:bottom w:type="dxa" w:w="80"/>
              <w:right w:type="dxa" w:w="120"/>
            </w:tcMar>
          </w:tcPr>
          <w:p>
            <w:pPr>
              <w:spacing w:after="0" w:line="240"/>
            </w:pPr>
            <w:r>
              <w:rPr>
                <w:sz w:val="19"/>
                <w:szCs w:val="19"/>
              </w:rPr>
              <w:t xml:space="preserve">An entire operating protocol</w:t>
            </w:r>
          </w:p>
        </w:tc>
        <w:tc>
          <w:tcPr>
            <w:tcW w:type="dxa" w:w="3560"/>
            <w:tcMar>
              <w:top w:type="dxa" w:w="80"/>
              <w:left w:type="dxa" w:w="120"/>
              <w:bottom w:type="dxa" w:w="80"/>
              <w:right w:type="dxa" w:w="120"/>
            </w:tcMar>
          </w:tcPr>
          <w:p>
            <w:pPr>
              <w:spacing w:after="0" w:line="240"/>
            </w:pPr>
            <w:r>
              <w:rPr>
                <w:sz w:val="19"/>
                <w:szCs w:val="19"/>
              </w:rPr>
              <w:t xml:space="preserve">Rare in the literature. The contribution of this project.</w:t>
            </w:r>
          </w:p>
        </w:tc>
      </w:tr>
    </w:tbl>
    <w:p>
      <w:pPr>
        <w:spacing w:after="180"/>
      </w:pPr>
    </w:p>
    <w:p>
      <w:pPr>
        <w:spacing w:after="140" w:line="276"/>
      </w:pPr>
      <w:r>
        <w:rPr>
          <w:sz w:val="21"/>
          <w:szCs w:val="21"/>
        </w:rPr>
        <w:t xml:space="preserve">Maher and Yerken (2025) is the closest prior work. They show that pooling cycles within a cell inflates skill and recommend group-wise cross-validation as the remedy. This project takes their conclusion as its starting point and shows that pooling protocols within a cohort inflates it again — and, further, that the obvious correction is itself too noisy to rank methods with at these sample sizes. The two results are consecutive rather than competing.</w:t>
      </w:r>
    </w:p>
    <w:p>
      <w:pPr>
        <w:pStyle w:val="Heading1"/>
        <w:pageBreakBefore/>
        <w:spacing w:after="300" w:before="200"/>
      </w:pPr>
      <w:r>
        <w:rPr>
          <w:b/>
          <w:bCs/>
          <w:color w:val="1F6F4A"/>
          <w:sz w:val="19"/>
          <w:szCs w:val="19"/>
        </w:rPr>
        <w:t xml:space="preserve">PART II</w:t>
      </w:r>
      <w:r>
        <w:br/>
        <w:t xml:space="preserve"/>
      </w:r>
      <w:r>
        <w:rPr>
          <w:b/>
          <w:bCs/>
          <w:color w:val="111826"/>
          <w:sz w:val="38"/>
          <w:szCs w:val="38"/>
        </w:rPr>
        <w:t xml:space="preserve">The Project: What BEACON Is and What We Built</w:t>
      </w:r>
    </w:p>
    <w:p>
      <w:pPr>
        <w:pStyle w:val="Heading2"/>
        <w:spacing w:after="160" w:before="360"/>
      </w:pPr>
      <w:r>
        <w:rPr>
          <w:b/>
          <w:bCs/>
          <w:color w:val="111826"/>
          <w:sz w:val="28"/>
          <w:szCs w:val="28"/>
        </w:rPr>
        <w:t xml:space="preserve">5. Aims and Positioning</w:t>
      </w:r>
    </w:p>
    <w:p>
      <w:pPr>
        <w:pStyle w:val="Heading3"/>
        <w:spacing w:after="120" w:before="260"/>
      </w:pPr>
      <w:r>
        <w:rPr>
          <w:b/>
          <w:bCs/>
          <w:color w:val="2F3B4D"/>
          <w:sz w:val="23"/>
          <w:szCs w:val="23"/>
        </w:rPr>
        <w:t xml:space="preserve">5.1 The original premise</w:t>
      </w:r>
    </w:p>
    <w:p>
      <w:pPr>
        <w:spacing w:after="140" w:line="276"/>
      </w:pPr>
      <w:r>
        <w:rPr>
          <w:sz w:val="21"/>
          <w:szCs w:val="21"/>
        </w:rPr>
        <w:t xml:space="preserve">The project began from a plausible and widely held premise: that how a battery has been used — its thermal exposure, its charge and discharge rates, its depth-of-discharge distribution — should predict how fast it degrades, and that a monitoring system could therefore score a cell from behavioural aggregates rather than from laboratory characterisation.</w:t>
      </w:r>
    </w:p>
    <w:p>
      <w:pPr>
        <w:spacing w:after="140" w:line="276"/>
      </w:pPr>
      <w:r>
        <w:rPr>
          <w:sz w:val="21"/>
          <w:szCs w:val="21"/>
        </w:rPr>
        <w:t xml:space="preserve">The first implementation was a rule-based scoring layer with hand-picked weights and thresholds, entirely unvalidated against real degradation data. This report is substantially the account of what happened when it was validated.</w:t>
      </w:r>
    </w:p>
    <w:p>
      <w:pPr>
        <w:pStyle w:val="Heading3"/>
        <w:spacing w:after="120" w:before="260"/>
      </w:pPr>
      <w:r>
        <w:rPr>
          <w:b/>
          <w:bCs/>
          <w:color w:val="2F3B4D"/>
          <w:sz w:val="23"/>
          <w:szCs w:val="23"/>
        </w:rPr>
        <w:t xml:space="preserve">5.2 Objectives and outcomes</w:t>
      </w:r>
    </w:p>
    <w:tbl>
      <w:tblPr>
        <w:tblW w:type="dxa" w:w="9360"/>
        <w:tblBorders>
          <w:top w:val="single" w:color="B9C2CE" w:sz="4"/>
          <w:left w:val="none"/>
          <w:bottom w:val="single" w:color="B9C2CE" w:sz="4"/>
          <w:right w:val="none"/>
          <w:insideH w:val="single" w:color="E1E6EC" w:sz="2"/>
          <w:insideV w:val="none"/>
        </w:tblBorders>
      </w:tblPr>
      <w:tblGrid>
        <w:gridCol w:w="3400"/>
        <w:gridCol w:w="5960"/>
      </w:tblGrid>
      <w:tr>
        <w:trPr>
          <w:tblHeader/>
        </w:trPr>
        <w:tc>
          <w:tcPr>
            <w:tcW w:type="dxa" w:w="3400"/>
            <w:shd w:fill="EEF2F6" w:val="clear"/>
            <w:tcMar>
              <w:top w:type="dxa" w:w="80"/>
              <w:left w:type="dxa" w:w="120"/>
              <w:bottom w:type="dxa" w:w="80"/>
              <w:right w:type="dxa" w:w="120"/>
            </w:tcMar>
          </w:tcPr>
          <w:p>
            <w:pPr>
              <w:spacing w:after="0" w:line="240"/>
            </w:pPr>
            <w:r>
              <w:rPr>
                <w:b/>
                <w:bCs/>
                <w:sz w:val="19"/>
                <w:szCs w:val="19"/>
              </w:rPr>
              <w:t xml:space="preserve">Objective</w:t>
            </w:r>
          </w:p>
        </w:tc>
        <w:tc>
          <w:tcPr>
            <w:tcW w:type="dxa" w:w="5960"/>
            <w:shd w:fill="EEF2F6" w:val="clear"/>
            <w:tcMar>
              <w:top w:type="dxa" w:w="80"/>
              <w:left w:type="dxa" w:w="120"/>
              <w:bottom w:type="dxa" w:w="80"/>
              <w:right w:type="dxa" w:w="120"/>
            </w:tcMar>
          </w:tcPr>
          <w:p>
            <w:pPr>
              <w:spacing w:after="0" w:line="240"/>
            </w:pPr>
            <w:r>
              <w:rPr>
                <w:b/>
                <w:bCs/>
                <w:sz w:val="19"/>
                <w:szCs w:val="19"/>
              </w:rPr>
              <w:t xml:space="preserve">Outcome</w:t>
            </w:r>
          </w:p>
        </w:tc>
      </w:tr>
      <w:tr>
        <w:tc>
          <w:tcPr>
            <w:tcW w:type="dxa" w:w="3400"/>
            <w:tcMar>
              <w:top w:type="dxa" w:w="80"/>
              <w:left w:type="dxa" w:w="120"/>
              <w:bottom w:type="dxa" w:w="80"/>
              <w:right w:type="dxa" w:w="120"/>
            </w:tcMar>
          </w:tcPr>
          <w:p>
            <w:pPr>
              <w:spacing w:after="0" w:line="240"/>
            </w:pPr>
            <w:r>
              <w:rPr>
                <w:sz w:val="19"/>
                <w:szCs w:val="19"/>
              </w:rPr>
              <w:t xml:space="preserve">O1 — Ingest telemetry from heterogeneous transports onto one schema</w:t>
            </w:r>
          </w:p>
        </w:tc>
        <w:tc>
          <w:tcPr>
            <w:tcW w:type="dxa" w:w="5960"/>
            <w:tcMar>
              <w:top w:type="dxa" w:w="80"/>
              <w:left w:type="dxa" w:w="120"/>
              <w:bottom w:type="dxa" w:w="80"/>
              <w:right w:type="dxa" w:w="120"/>
            </w:tcMar>
          </w:tcPr>
          <w:p>
            <w:pPr>
              <w:spacing w:after="0" w:line="240"/>
            </w:pPr>
            <w:r>
              <w:rPr>
                <w:sz w:val="19"/>
                <w:szCs w:val="19"/>
              </w:rPr>
              <w:t xml:space="preserve">Met. CAN, USB serial and dataset replay converge on one schema and one pipeline.</w:t>
            </w:r>
          </w:p>
        </w:tc>
      </w:tr>
      <w:tr>
        <w:tc>
          <w:tcPr>
            <w:tcW w:type="dxa" w:w="3400"/>
            <w:tcMar>
              <w:top w:type="dxa" w:w="80"/>
              <w:left w:type="dxa" w:w="120"/>
              <w:bottom w:type="dxa" w:w="80"/>
              <w:right w:type="dxa" w:w="120"/>
            </w:tcMar>
          </w:tcPr>
          <w:p>
            <w:pPr>
              <w:spacing w:after="0" w:line="240"/>
            </w:pPr>
            <w:r>
              <w:rPr>
                <w:sz w:val="19"/>
                <w:szCs w:val="19"/>
              </w:rPr>
              <w:t xml:space="preserve">O2 — Derive behavioural features from usage telemetry</w:t>
            </w:r>
          </w:p>
        </w:tc>
        <w:tc>
          <w:tcPr>
            <w:tcW w:type="dxa" w:w="5960"/>
            <w:tcMar>
              <w:top w:type="dxa" w:w="80"/>
              <w:left w:type="dxa" w:w="120"/>
              <w:bottom w:type="dxa" w:w="80"/>
              <w:right w:type="dxa" w:w="120"/>
            </w:tcMar>
          </w:tcPr>
          <w:p>
            <w:pPr>
              <w:spacing w:after="0" w:line="240"/>
            </w:pPr>
            <w:r>
              <w:rPr>
                <w:sz w:val="19"/>
                <w:szCs w:val="19"/>
              </w:rPr>
              <w:t xml:space="preserve">Met. C-rate, depth of discharge, thermal exposure and cycle segmentation implemented and tested.</w:t>
            </w:r>
          </w:p>
        </w:tc>
      </w:tr>
      <w:tr>
        <w:tc>
          <w:tcPr>
            <w:tcW w:type="dxa" w:w="3400"/>
            <w:tcMar>
              <w:top w:type="dxa" w:w="80"/>
              <w:left w:type="dxa" w:w="120"/>
              <w:bottom w:type="dxa" w:w="80"/>
              <w:right w:type="dxa" w:w="120"/>
            </w:tcMar>
          </w:tcPr>
          <w:p>
            <w:pPr>
              <w:spacing w:after="0" w:line="240"/>
            </w:pPr>
            <w:r>
              <w:rPr>
                <w:sz w:val="19"/>
                <w:szCs w:val="19"/>
              </w:rPr>
              <w:t xml:space="preserve">O3 — Serve results through an API and dashboard</w:t>
            </w:r>
          </w:p>
        </w:tc>
        <w:tc>
          <w:tcPr>
            <w:tcW w:type="dxa" w:w="5960"/>
            <w:tcMar>
              <w:top w:type="dxa" w:w="80"/>
              <w:left w:type="dxa" w:w="120"/>
              <w:bottom w:type="dxa" w:w="80"/>
              <w:right w:type="dxa" w:w="120"/>
            </w:tcMar>
          </w:tcPr>
          <w:p>
            <w:pPr>
              <w:spacing w:after="0" w:line="240"/>
            </w:pPr>
            <w:r>
              <w:rPr>
                <w:sz w:val="19"/>
                <w:szCs w:val="19"/>
              </w:rPr>
              <w:t xml:space="preserve">Met. FastAPI service, Express gateway, React client.</w:t>
            </w:r>
          </w:p>
        </w:tc>
      </w:tr>
      <w:tr>
        <w:tc>
          <w:tcPr>
            <w:tcW w:type="dxa" w:w="3400"/>
            <w:tcMar>
              <w:top w:type="dxa" w:w="80"/>
              <w:left w:type="dxa" w:w="120"/>
              <w:bottom w:type="dxa" w:w="80"/>
              <w:right w:type="dxa" w:w="120"/>
            </w:tcMar>
          </w:tcPr>
          <w:p>
            <w:pPr>
              <w:spacing w:after="0" w:line="240"/>
            </w:pPr>
            <w:r>
              <w:rPr>
                <w:sz w:val="19"/>
                <w:szCs w:val="19"/>
              </w:rPr>
              <w:t xml:space="preserve">O4 — Demonstrate that behavioural scores predict capacity fade</w:t>
            </w:r>
          </w:p>
        </w:tc>
        <w:tc>
          <w:tcPr>
            <w:tcW w:type="dxa" w:w="5960"/>
            <w:tcMar>
              <w:top w:type="dxa" w:w="80"/>
              <w:left w:type="dxa" w:w="120"/>
              <w:bottom w:type="dxa" w:w="80"/>
              <w:right w:type="dxa" w:w="120"/>
            </w:tcMar>
          </w:tcPr>
          <w:p>
            <w:pPr>
              <w:spacing w:after="0" w:line="240"/>
            </w:pPr>
            <w:r>
              <w:rPr>
                <w:sz w:val="19"/>
                <w:szCs w:val="19"/>
              </w:rPr>
              <w:t xml:space="preserve">Not met, and the reason is the project’s main result. See Part III.</w:t>
            </w:r>
          </w:p>
        </w:tc>
      </w:tr>
      <w:tr>
        <w:tc>
          <w:tcPr>
            <w:tcW w:type="dxa" w:w="3400"/>
            <w:tcMar>
              <w:top w:type="dxa" w:w="80"/>
              <w:left w:type="dxa" w:w="120"/>
              <w:bottom w:type="dxa" w:w="80"/>
              <w:right w:type="dxa" w:w="120"/>
            </w:tcMar>
          </w:tcPr>
          <w:p>
            <w:pPr>
              <w:spacing w:after="0" w:line="240"/>
            </w:pPr>
            <w:r>
              <w:rPr>
                <w:sz w:val="19"/>
                <w:szCs w:val="19"/>
              </w:rPr>
              <w:t xml:space="preserve">O5 — Validate the ingest path on physical hardware</w:t>
            </w:r>
          </w:p>
        </w:tc>
        <w:tc>
          <w:tcPr>
            <w:tcW w:type="dxa" w:w="5960"/>
            <w:tcMar>
              <w:top w:type="dxa" w:w="80"/>
              <w:left w:type="dxa" w:w="120"/>
              <w:bottom w:type="dxa" w:w="80"/>
              <w:right w:type="dxa" w:w="120"/>
            </w:tcMar>
          </w:tcPr>
          <w:p>
            <w:pPr>
              <w:spacing w:after="0" w:line="240"/>
            </w:pPr>
            <w:r>
              <w:rPr>
                <w:sz w:val="19"/>
                <w:szCs w:val="19"/>
              </w:rPr>
              <w:t xml:space="preserve">Met for voltage and current; temperature channel absent. See Part IV.</w:t>
            </w:r>
          </w:p>
        </w:tc>
      </w:tr>
    </w:tbl>
    <w:p>
      <w:pPr>
        <w:spacing w:after="180"/>
      </w:pPr>
    </w:p>
    <w:tbl>
      <w:tblPr>
        <w:tblW w:type="dxa" w:w="9360"/>
        <w:tblBorders>
          <w:top w:val="single" w:color="DDE5DF" w:sz="2"/>
          <w:left w:val="single" w:color="1F6F4A" w:sz="18"/>
          <w:bottom w:val="single" w:color="DDE5DF" w:sz="2"/>
          <w:right w:val="single" w:color="DDE5DF" w:sz="2"/>
          <w:insideH w:val="none"/>
          <w:insideV w:val="none"/>
        </w:tblBorders>
      </w:tblPr>
      <w:tblGrid>
        <w:gridCol w:w="9360"/>
      </w:tblGrid>
      <w:tr>
        <w:tc>
          <w:tcPr>
            <w:tcW w:type="dxa" w:w="9360"/>
            <w:shd w:fill="F1F7F3" w:val="clear"/>
            <w:tcMar>
              <w:top w:type="dxa" w:w="140"/>
              <w:left w:type="dxa" w:w="200"/>
              <w:bottom w:type="dxa" w:w="140"/>
              <w:right w:type="dxa" w:w="200"/>
            </w:tcMar>
          </w:tcPr>
          <w:p>
            <w:pPr>
              <w:spacing w:after="0" w:line="276"/>
            </w:pPr>
            <w:r>
              <w:rPr>
                <w:b/>
                <w:bCs/>
                <w:sz w:val="21"/>
                <w:szCs w:val="21"/>
              </w:rPr>
              <w:t xml:space="preserve">On O4. </w:t>
            </w:r>
            <w:r>
              <w:rPr>
                <w:sz w:val="21"/>
                <w:szCs w:val="21"/>
              </w:rPr>
              <w:t xml:space="preserve">A project reporting O4 as met would have had to ignore the evidence in Sections 11 and 14. This report treats not meeting it as the finding. What replaced it — that the standard validation protocol in this field cannot support the claims routinely made on it at these sample sizes — does not depend on batteries and is testable by anyone with two protocols and a held-out group.</w:t>
            </w:r>
          </w:p>
        </w:tc>
      </w:tr>
    </w:tbl>
    <w:p>
      <w:pPr>
        <w:pStyle w:val="Heading2"/>
        <w:spacing w:after="160" w:before="360"/>
      </w:pPr>
      <w:r>
        <w:rPr>
          <w:b/>
          <w:bCs/>
          <w:color w:val="111826"/>
          <w:sz w:val="28"/>
          <w:szCs w:val="28"/>
        </w:rPr>
        <w:t xml:space="preserve">6. System Architecture</w:t>
      </w:r>
    </w:p>
    <w:p>
      <w:pPr>
        <w:spacing w:after="140" w:line="276"/>
      </w:pPr>
      <w:r>
        <w:rPr>
          <w:sz w:val="21"/>
          <w:szCs w:val="21"/>
        </w:rPr>
        <w:t xml:space="preserve">Python (FastAPI, pandas, scikit-learn), Node (Express), React (Vite) and C++ firmware. Approximately 27,500 lines across 33 test modules with a seven-job continuous-integration pipeline.</w:t>
      </w:r>
    </w:p>
    <w:p>
      <w:pPr>
        <w:pStyle w:val="Heading3"/>
        <w:spacing w:after="120" w:before="260"/>
      </w:pPr>
      <w:r>
        <w:rPr>
          <w:b/>
          <w:bCs/>
          <w:color w:val="2F3B4D"/>
          <w:sz w:val="23"/>
          <w:szCs w:val="23"/>
        </w:rPr>
        <w:t xml:space="preserve">6.1 Data flow</w:t>
      </w:r>
    </w:p>
    <w:p>
      <w:pPr>
        <w:spacing w:after="30" w:line="276"/>
      </w:pPr>
      <w:r>
        <w:rPr>
          <w:rFonts w:ascii="Consolas" w:cs="Consolas" w:eastAsia="Consolas" w:hAnsi="Consolas"/>
          <w:sz w:val="19"/>
          <w:szCs w:val="19"/>
        </w:rPr>
        <w:t xml:space="preserve">CAN bus  ─┐</w:t>
      </w:r>
    </w:p>
    <w:p>
      <w:pPr>
        <w:spacing w:after="30" w:line="276"/>
      </w:pPr>
      <w:r>
        <w:rPr>
          <w:rFonts w:ascii="Consolas" w:cs="Consolas" w:eastAsia="Consolas" w:hAnsi="Consolas"/>
          <w:sz w:val="19"/>
          <w:szCs w:val="19"/>
        </w:rPr>
        <w:t xml:space="preserve">USB rig  ─┼─► schema ─► features ─► coverage gate ─► scoring ─► API ─► dashboard</w:t>
      </w:r>
    </w:p>
    <w:p>
      <w:pPr>
        <w:spacing w:after="200" w:line="276"/>
      </w:pPr>
      <w:r>
        <w:rPr>
          <w:rFonts w:ascii="Consolas" w:cs="Consolas" w:eastAsia="Consolas" w:hAnsi="Consolas"/>
          <w:sz w:val="19"/>
          <w:szCs w:val="19"/>
        </w:rPr>
        <w:t xml:space="preserve">datasets ─┘</w:t>
      </w:r>
    </w:p>
    <w:p>
      <w:pPr>
        <w:spacing w:after="140" w:line="276"/>
      </w:pPr>
      <w:r>
        <w:rPr>
          <w:sz w:val="21"/>
          <w:szCs w:val="21"/>
        </w:rPr>
        <w:t xml:space="preserve">The coverage gate sits between the feature layer and scoring. Everything that reaches the dashboard has passed it, or arrives as a refusal carrying its reason.</w:t>
      </w:r>
    </w:p>
    <w:p>
      <w:pPr>
        <w:pStyle w:val="Heading3"/>
        <w:spacing w:after="120" w:before="260"/>
      </w:pPr>
      <w:r>
        <w:rPr>
          <w:b/>
          <w:bCs/>
          <w:color w:val="2F3B4D"/>
          <w:sz w:val="23"/>
          <w:szCs w:val="23"/>
        </w:rPr>
        <w:t xml:space="preserve">6.2 Refusals as return values</w:t>
      </w:r>
    </w:p>
    <w:p>
      <w:pPr>
        <w:spacing w:after="140" w:line="276"/>
      </w:pPr>
      <w:r>
        <w:rPr>
          <w:sz w:val="21"/>
          <w:szCs w:val="21"/>
        </w:rPr>
        <w:t xml:space="preserve">Refusals are returned inside the result object rather than raised as exceptions. An exception would become an HTTP 500 and lose the reason; a refusal travels through the pipeline and reaches the interface intact, where it is rendered in place of the value it replaces. The governing rule, recorded as Architecture Decision Record 0004:</w:t>
      </w:r>
    </w:p>
    <w:tbl>
      <w:tblPr>
        <w:tblW w:type="dxa" w:w="9360"/>
        <w:tblBorders>
          <w:top w:val="single" w:color="DDE5DF" w:sz="2"/>
          <w:left w:val="single" w:color="1F6F4A" w:sz="18"/>
          <w:bottom w:val="single" w:color="DDE5DF" w:sz="2"/>
          <w:right w:val="single" w:color="DDE5DF" w:sz="2"/>
          <w:insideH w:val="none"/>
          <w:insideV w:val="none"/>
        </w:tblBorders>
      </w:tblPr>
      <w:tblGrid>
        <w:gridCol w:w="9360"/>
      </w:tblGrid>
      <w:tr>
        <w:tc>
          <w:tcPr>
            <w:tcW w:type="dxa" w:w="9360"/>
            <w:shd w:fill="F1F7F3" w:val="clear"/>
            <w:tcMar>
              <w:top w:type="dxa" w:w="140"/>
              <w:left w:type="dxa" w:w="200"/>
              <w:bottom w:type="dxa" w:w="140"/>
              <w:right w:type="dxa" w:w="200"/>
            </w:tcMar>
          </w:tcPr>
          <w:p>
            <w:pPr>
              <w:spacing w:after="0" w:line="276"/>
            </w:pPr>
            <w:r>
              <w:rPr>
                <w:sz w:val="21"/>
                <w:szCs w:val="21"/>
              </w:rPr>
              <w:t xml:space="preserve">Any metric the input data cannot support is rendered as unavailable, with its reason, and is never replaced by a substituted or default value.</w:t>
            </w:r>
          </w:p>
        </w:tc>
      </w:tr>
    </w:tbl>
    <w:p>
      <w:pPr>
        <w:spacing w:after="160"/>
      </w:pPr>
    </w:p>
    <w:p>
      <w:pPr>
        <w:spacing w:after="140" w:line="276"/>
      </w:pPr>
      <w:r>
        <w:rPr>
          <w:sz w:val="21"/>
          <w:szCs w:val="21"/>
        </w:rPr>
        <w:t xml:space="preserve">The practical consequence for anyone maintaining the system: a refusal in the output is not a defect. Making a number appear where the system has declined to produce one would defeat its purpose.</w:t>
      </w:r>
    </w:p>
    <w:p>
      <w:pPr>
        <w:pStyle w:val="Heading3"/>
        <w:spacing w:after="120" w:before="260"/>
      </w:pPr>
      <w:r>
        <w:rPr>
          <w:b/>
          <w:bCs/>
          <w:color w:val="2F3B4D"/>
          <w:sz w:val="23"/>
          <w:szCs w:val="23"/>
        </w:rPr>
        <w:t xml:space="preserve">6.3 Decision records and evidence pinning</w:t>
      </w:r>
    </w:p>
    <w:p>
      <w:pPr>
        <w:spacing w:after="140" w:line="276"/>
      </w:pPr>
      <w:r>
        <w:rPr>
          <w:sz w:val="21"/>
          <w:szCs w:val="21"/>
        </w:rPr>
        <w:t xml:space="preserve">Fourteen Architecture Decision Records under docs/adr/ record each significant decision and what forced it. Separately, tests/test_reported_numbers.py pins every figure quoted in the documentation to the artefact it came from, with two assertions per claim: that the number is still present in the prose, and that the artefact still yields it.</w:t>
      </w:r>
    </w:p>
    <w:p>
      <w:pPr>
        <w:spacing w:after="140" w:line="276"/>
      </w:pPr>
      <w:r>
        <w:rPr>
          <w:sz w:val="21"/>
          <w:szCs w:val="21"/>
        </w:rPr>
        <w:t xml:space="preserve">This exists because figures went stale silently during development. The SOH ceiling moved from 0.612 to 0.569 when one cell left the screening criteria, and the NASA benchmark table was superseded twice; each was caught only by a human noticing. Derived figures are recomputed inside the test from recorded recipes rather than read from a stored column, so a changed recipe fails with the recipe stated.</w:t>
      </w:r>
    </w:p>
    <w:p>
      <w:pPr>
        <w:pStyle w:val="Heading2"/>
        <w:spacing w:after="160" w:before="360"/>
      </w:pPr>
      <w:r>
        <w:rPr>
          <w:b/>
          <w:bCs/>
          <w:color w:val="111826"/>
          <w:sz w:val="28"/>
          <w:szCs w:val="28"/>
        </w:rPr>
        <w:t xml:space="preserve">7. Datasets and Experimental Frame</w:t>
      </w:r>
    </w:p>
    <w:tbl>
      <w:tblPr>
        <w:tblW w:type="dxa" w:w="9360"/>
        <w:tblBorders>
          <w:top w:val="single" w:color="B9C2CE" w:sz="4"/>
          <w:left w:val="none"/>
          <w:bottom w:val="single" w:color="B9C2CE" w:sz="4"/>
          <w:right w:val="none"/>
          <w:insideH w:val="single" w:color="E1E6EC" w:sz="2"/>
          <w:insideV w:val="none"/>
        </w:tblBorders>
      </w:tblPr>
      <w:tblGrid>
        <w:gridCol w:w="2700"/>
        <w:gridCol w:w="1800"/>
        <w:gridCol w:w="2560"/>
        <w:gridCol w:w="2300"/>
      </w:tblGrid>
      <w:tr>
        <w:trPr>
          <w:tblHeader/>
        </w:trPr>
        <w:tc>
          <w:tcPr>
            <w:tcW w:type="dxa" w:w="2700"/>
            <w:shd w:fill="EEF2F6" w:val="clear"/>
            <w:tcMar>
              <w:top w:type="dxa" w:w="80"/>
              <w:left w:type="dxa" w:w="120"/>
              <w:bottom w:type="dxa" w:w="80"/>
              <w:right w:type="dxa" w:w="120"/>
            </w:tcMar>
          </w:tcPr>
          <w:p>
            <w:pPr>
              <w:spacing w:after="0" w:line="240"/>
            </w:pPr>
            <w:r>
              <w:rPr>
                <w:b/>
                <w:bCs/>
                <w:sz w:val="19"/>
                <w:szCs w:val="19"/>
              </w:rPr>
              <w:t xml:space="preserve">Dataset</w:t>
            </w:r>
          </w:p>
        </w:tc>
        <w:tc>
          <w:tcPr>
            <w:tcW w:type="dxa" w:w="1800"/>
            <w:shd w:fill="EEF2F6" w:val="clear"/>
            <w:tcMar>
              <w:top w:type="dxa" w:w="80"/>
              <w:left w:type="dxa" w:w="120"/>
              <w:bottom w:type="dxa" w:w="80"/>
              <w:right w:type="dxa" w:w="120"/>
            </w:tcMar>
          </w:tcPr>
          <w:p>
            <w:pPr>
              <w:spacing w:after="0" w:line="240"/>
            </w:pPr>
            <w:r>
              <w:rPr>
                <w:b/>
                <w:bCs/>
                <w:sz w:val="19"/>
                <w:szCs w:val="19"/>
              </w:rPr>
              <w:t xml:space="preserve">Cells</w:t>
            </w:r>
          </w:p>
        </w:tc>
        <w:tc>
          <w:tcPr>
            <w:tcW w:type="dxa" w:w="2560"/>
            <w:shd w:fill="EEF2F6" w:val="clear"/>
            <w:tcMar>
              <w:top w:type="dxa" w:w="80"/>
              <w:left w:type="dxa" w:w="120"/>
              <w:bottom w:type="dxa" w:w="80"/>
              <w:right w:type="dxa" w:w="120"/>
            </w:tcMar>
          </w:tcPr>
          <w:p>
            <w:pPr>
              <w:spacing w:after="0" w:line="240"/>
            </w:pPr>
            <w:r>
              <w:rPr>
                <w:b/>
                <w:bCs/>
                <w:sz w:val="19"/>
                <w:szCs w:val="19"/>
              </w:rPr>
              <w:t xml:space="preserve">Cohort axis</w:t>
            </w:r>
          </w:p>
        </w:tc>
        <w:tc>
          <w:tcPr>
            <w:tcW w:type="dxa" w:w="2300"/>
            <w:shd w:fill="EEF2F6" w:val="clear"/>
            <w:tcMar>
              <w:top w:type="dxa" w:w="80"/>
              <w:left w:type="dxa" w:w="120"/>
              <w:bottom w:type="dxa" w:w="80"/>
              <w:right w:type="dxa" w:w="120"/>
            </w:tcMar>
          </w:tcPr>
          <w:p>
            <w:pPr>
              <w:spacing w:after="0" w:line="240"/>
            </w:pPr>
            <w:r>
              <w:rPr>
                <w:b/>
                <w:bCs/>
                <w:sz w:val="19"/>
                <w:szCs w:val="19"/>
              </w:rPr>
              <w:t xml:space="preserve">Role</w:t>
            </w:r>
          </w:p>
        </w:tc>
      </w:tr>
      <w:tr>
        <w:tc>
          <w:tcPr>
            <w:tcW w:type="dxa" w:w="2700"/>
            <w:tcMar>
              <w:top w:type="dxa" w:w="80"/>
              <w:left w:type="dxa" w:w="120"/>
              <w:bottom w:type="dxa" w:w="80"/>
              <w:right w:type="dxa" w:w="120"/>
            </w:tcMar>
          </w:tcPr>
          <w:p>
            <w:pPr>
              <w:spacing w:after="0" w:line="240"/>
            </w:pPr>
            <w:r>
              <w:rPr>
                <w:sz w:val="19"/>
                <w:szCs w:val="19"/>
              </w:rPr>
              <w:t xml:space="preserve">NASA Li-ion cycling (Saha &amp; Goebel, 2007)</w:t>
            </w:r>
          </w:p>
        </w:tc>
        <w:tc>
          <w:tcPr>
            <w:tcW w:type="dxa" w:w="1800"/>
            <w:tcMar>
              <w:top w:type="dxa" w:w="80"/>
              <w:left w:type="dxa" w:w="120"/>
              <w:bottom w:type="dxa" w:w="80"/>
              <w:right w:type="dxa" w:w="120"/>
            </w:tcMar>
          </w:tcPr>
          <w:p>
            <w:pPr>
              <w:spacing w:after="0" w:line="240"/>
            </w:pPr>
            <w:r>
              <w:rPr>
                <w:sz w:val="19"/>
                <w:szCs w:val="19"/>
              </w:rPr>
              <w:t xml:space="preserve">34 (33 after screening)</w:t>
            </w:r>
          </w:p>
        </w:tc>
        <w:tc>
          <w:tcPr>
            <w:tcW w:type="dxa" w:w="2560"/>
            <w:tcMar>
              <w:top w:type="dxa" w:w="80"/>
              <w:left w:type="dxa" w:w="120"/>
              <w:bottom w:type="dxa" w:w="80"/>
              <w:right w:type="dxa" w:w="120"/>
            </w:tcMar>
          </w:tcPr>
          <w:p>
            <w:pPr>
              <w:spacing w:after="0" w:line="240"/>
            </w:pPr>
            <w:r>
              <w:rPr>
                <w:sz w:val="19"/>
                <w:szCs w:val="19"/>
              </w:rPr>
              <w:t xml:space="preserve">Ambient temperature, 9 protocols</w:t>
            </w:r>
          </w:p>
        </w:tc>
        <w:tc>
          <w:tcPr>
            <w:tcW w:type="dxa" w:w="2300"/>
            <w:tcMar>
              <w:top w:type="dxa" w:w="80"/>
              <w:left w:type="dxa" w:w="120"/>
              <w:bottom w:type="dxa" w:w="80"/>
              <w:right w:type="dxa" w:w="120"/>
            </w:tcMar>
          </w:tcPr>
          <w:p>
            <w:pPr>
              <w:spacing w:after="0" w:line="240"/>
            </w:pPr>
            <w:r>
              <w:rPr>
                <w:sz w:val="19"/>
                <w:szCs w:val="19"/>
              </w:rPr>
              <w:t xml:space="preserve">Primary calibration and validation</w:t>
            </w:r>
          </w:p>
        </w:tc>
      </w:tr>
      <w:tr>
        <w:tc>
          <w:tcPr>
            <w:tcW w:type="dxa" w:w="2700"/>
            <w:tcMar>
              <w:top w:type="dxa" w:w="80"/>
              <w:left w:type="dxa" w:w="120"/>
              <w:bottom w:type="dxa" w:w="80"/>
              <w:right w:type="dxa" w:w="120"/>
            </w:tcMar>
          </w:tcPr>
          <w:p>
            <w:pPr>
              <w:spacing w:after="0" w:line="240"/>
            </w:pPr>
            <w:r>
              <w:rPr>
                <w:sz w:val="19"/>
                <w:szCs w:val="19"/>
              </w:rPr>
              <w:t xml:space="preserve">CALCE CS2 / CX2 prismatic series</w:t>
            </w:r>
          </w:p>
        </w:tc>
        <w:tc>
          <w:tcPr>
            <w:tcW w:type="dxa" w:w="1800"/>
            <w:tcMar>
              <w:top w:type="dxa" w:w="80"/>
              <w:left w:type="dxa" w:w="120"/>
              <w:bottom w:type="dxa" w:w="80"/>
              <w:right w:type="dxa" w:w="120"/>
            </w:tcMar>
          </w:tcPr>
          <w:p>
            <w:pPr>
              <w:spacing w:after="0" w:line="240"/>
            </w:pPr>
            <w:r>
              <w:rPr>
                <w:sz w:val="19"/>
                <w:szCs w:val="19"/>
              </w:rPr>
              <w:t xml:space="preserve">19–22 depending on derivation</w:t>
            </w:r>
          </w:p>
        </w:tc>
        <w:tc>
          <w:tcPr>
            <w:tcW w:type="dxa" w:w="2560"/>
            <w:tcMar>
              <w:top w:type="dxa" w:w="80"/>
              <w:left w:type="dxa" w:w="120"/>
              <w:bottom w:type="dxa" w:w="80"/>
              <w:right w:type="dxa" w:w="120"/>
            </w:tcMar>
          </w:tcPr>
          <w:p>
            <w:pPr>
              <w:spacing w:after="0" w:line="240"/>
            </w:pPr>
            <w:r>
              <w:rPr>
                <w:sz w:val="19"/>
                <w:szCs w:val="19"/>
              </w:rPr>
              <w:t xml:space="preserve">Depth of discharge, 8–10 cohorts, 2 cell families</w:t>
            </w:r>
          </w:p>
        </w:tc>
        <w:tc>
          <w:tcPr>
            <w:tcW w:type="dxa" w:w="2300"/>
            <w:tcMar>
              <w:top w:type="dxa" w:w="80"/>
              <w:left w:type="dxa" w:w="120"/>
              <w:bottom w:type="dxa" w:w="80"/>
              <w:right w:type="dxa" w:w="120"/>
            </w:tcMar>
          </w:tcPr>
          <w:p>
            <w:pPr>
              <w:spacing w:after="0" w:line="240"/>
            </w:pPr>
            <w:r>
              <w:rPr>
                <w:sz w:val="19"/>
                <w:szCs w:val="19"/>
              </w:rPr>
              <w:t xml:space="preserve">Independent replication</w:t>
            </w:r>
          </w:p>
        </w:tc>
      </w:tr>
    </w:tbl>
    <w:p>
      <w:pPr>
        <w:spacing w:after="180"/>
      </w:pPr>
    </w:p>
    <w:p>
      <w:pPr>
        <w:spacing w:after="140" w:line="276"/>
      </w:pPr>
      <w:r>
        <w:rPr>
          <w:sz w:val="21"/>
          <w:szCs w:val="21"/>
        </w:rPr>
        <w:t xml:space="preserve">A cohort is a group of cells sharing an operating protocol. The cohort axis differs deliberately between the two datasets: reproducing a result on the same axis would establish only that the analysis is repeatable, whereas reproducing it on a different axis establishes that the effect is a property of protocol shift rather than of temperature specifically.</w:t>
      </w:r>
    </w:p>
    <w:p>
      <w:pPr>
        <w:pStyle w:val="Heading2"/>
        <w:spacing w:after="160" w:before="360"/>
      </w:pPr>
      <w:r>
        <w:rPr>
          <w:b/>
          <w:bCs/>
          <w:color w:val="111826"/>
          <w:sz w:val="28"/>
          <w:szCs w:val="28"/>
        </w:rPr>
        <w:t xml:space="preserve">8. Feature Layer and Scoring</w:t>
      </w:r>
    </w:p>
    <w:p>
      <w:pPr>
        <w:spacing w:after="140" w:line="276"/>
      </w:pPr>
      <w:r>
        <w:rPr>
          <w:sz w:val="21"/>
          <w:szCs w:val="21"/>
        </w:rPr>
        <w:t xml:space="preserve">Behavioural features are computed per cycle after segmentation into charge, discharge and rest phases. The segmentation thresholds are explicit and, being properties of the instrumentation rather than of the physics, are exposed as parameters:</w:t>
      </w:r>
    </w:p>
    <w:tbl>
      <w:tblPr>
        <w:tblW w:type="dxa" w:w="9360"/>
        <w:tblBorders>
          <w:top w:val="single" w:color="B9C2CE" w:sz="4"/>
          <w:left w:val="none"/>
          <w:bottom w:val="single" w:color="B9C2CE" w:sz="4"/>
          <w:right w:val="none"/>
          <w:insideH w:val="single" w:color="E1E6EC" w:sz="2"/>
          <w:insideV w:val="none"/>
        </w:tblBorders>
      </w:tblPr>
      <w:tblGrid>
        <w:gridCol w:w="2900"/>
        <w:gridCol w:w="1200"/>
        <w:gridCol w:w="5260"/>
      </w:tblGrid>
      <w:tr>
        <w:trPr>
          <w:tblHeader/>
        </w:trPr>
        <w:tc>
          <w:tcPr>
            <w:tcW w:type="dxa" w:w="2900"/>
            <w:shd w:fill="EEF2F6" w:val="clear"/>
            <w:tcMar>
              <w:top w:type="dxa" w:w="80"/>
              <w:left w:type="dxa" w:w="120"/>
              <w:bottom w:type="dxa" w:w="80"/>
              <w:right w:type="dxa" w:w="120"/>
            </w:tcMar>
          </w:tcPr>
          <w:p>
            <w:pPr>
              <w:spacing w:after="0" w:line="240"/>
            </w:pPr>
            <w:r>
              <w:rPr>
                <w:b/>
                <w:bCs/>
                <w:sz w:val="19"/>
                <w:szCs w:val="19"/>
              </w:rPr>
              <w:t xml:space="preserve">Constant</w:t>
            </w:r>
          </w:p>
        </w:tc>
        <w:tc>
          <w:tcPr>
            <w:tcW w:type="dxa" w:w="1200"/>
            <w:shd w:fill="EEF2F6" w:val="clear"/>
            <w:tcMar>
              <w:top w:type="dxa" w:w="80"/>
              <w:left w:type="dxa" w:w="120"/>
              <w:bottom w:type="dxa" w:w="80"/>
              <w:right w:type="dxa" w:w="120"/>
            </w:tcMar>
          </w:tcPr>
          <w:p>
            <w:pPr>
              <w:spacing w:after="0" w:line="240"/>
              <w:jc w:val="right"/>
            </w:pPr>
            <w:r>
              <w:rPr>
                <w:b/>
                <w:bCs/>
                <w:sz w:val="19"/>
                <w:szCs w:val="19"/>
              </w:rPr>
              <w:t xml:space="preserve">Value</w:t>
            </w:r>
          </w:p>
        </w:tc>
        <w:tc>
          <w:tcPr>
            <w:tcW w:type="dxa" w:w="5260"/>
            <w:shd w:fill="EEF2F6" w:val="clear"/>
            <w:tcMar>
              <w:top w:type="dxa" w:w="80"/>
              <w:left w:type="dxa" w:w="120"/>
              <w:bottom w:type="dxa" w:w="80"/>
              <w:right w:type="dxa" w:w="120"/>
            </w:tcMar>
          </w:tcPr>
          <w:p>
            <w:pPr>
              <w:spacing w:after="0" w:line="240"/>
            </w:pPr>
            <w:r>
              <w:rPr>
                <w:b/>
                <w:bCs/>
                <w:sz w:val="19"/>
                <w:szCs w:val="19"/>
              </w:rPr>
              <w:t xml:space="preserve">Meaning</w:t>
            </w:r>
          </w:p>
        </w:tc>
      </w:tr>
      <w:tr>
        <w:tc>
          <w:tcPr>
            <w:tcW w:type="dxa" w:w="2900"/>
            <w:tcMar>
              <w:top w:type="dxa" w:w="80"/>
              <w:left w:type="dxa" w:w="120"/>
              <w:bottom w:type="dxa" w:w="80"/>
              <w:right w:type="dxa" w:w="120"/>
            </w:tcMar>
          </w:tcPr>
          <w:p>
            <w:pPr>
              <w:spacing w:after="0" w:line="240"/>
            </w:pPr>
            <w:r>
              <w:rPr>
                <w:rFonts w:ascii="Consolas" w:cs="Consolas" w:eastAsia="Consolas" w:hAnsi="Consolas"/>
                <w:sz w:val="19"/>
                <w:szCs w:val="19"/>
              </w:rPr>
              <w:t xml:space="preserve">REST_THRESHOLD_A</w:t>
            </w:r>
          </w:p>
        </w:tc>
        <w:tc>
          <w:tcPr>
            <w:tcW w:type="dxa" w:w="1200"/>
            <w:tcMar>
              <w:top w:type="dxa" w:w="80"/>
              <w:left w:type="dxa" w:w="120"/>
              <w:bottom w:type="dxa" w:w="80"/>
              <w:right w:type="dxa" w:w="120"/>
            </w:tcMar>
          </w:tcPr>
          <w:p>
            <w:pPr>
              <w:spacing w:after="0" w:line="240"/>
              <w:jc w:val="right"/>
            </w:pPr>
            <w:r>
              <w:rPr>
                <w:sz w:val="19"/>
                <w:szCs w:val="19"/>
              </w:rPr>
              <w:t xml:space="preserve">0.5 A</w:t>
            </w:r>
          </w:p>
        </w:tc>
        <w:tc>
          <w:tcPr>
            <w:tcW w:type="dxa" w:w="5260"/>
            <w:tcMar>
              <w:top w:type="dxa" w:w="80"/>
              <w:left w:type="dxa" w:w="120"/>
              <w:bottom w:type="dxa" w:w="80"/>
              <w:right w:type="dxa" w:w="120"/>
            </w:tcMar>
          </w:tcPr>
          <w:p>
            <w:pPr>
              <w:spacing w:after="0" w:line="240"/>
            </w:pPr>
            <w:r>
              <w:rPr>
                <w:sz w:val="19"/>
                <w:szCs w:val="19"/>
              </w:rPr>
              <w:t xml:space="preserve">Below this magnitude current is treated as rest, not charge or discharge</w:t>
            </w:r>
          </w:p>
        </w:tc>
      </w:tr>
      <w:tr>
        <w:tc>
          <w:tcPr>
            <w:tcW w:type="dxa" w:w="2900"/>
            <w:tcMar>
              <w:top w:type="dxa" w:w="80"/>
              <w:left w:type="dxa" w:w="120"/>
              <w:bottom w:type="dxa" w:w="80"/>
              <w:right w:type="dxa" w:w="120"/>
            </w:tcMar>
          </w:tcPr>
          <w:p>
            <w:pPr>
              <w:spacing w:after="0" w:line="240"/>
            </w:pPr>
            <w:r>
              <w:rPr>
                <w:rFonts w:ascii="Consolas" w:cs="Consolas" w:eastAsia="Consolas" w:hAnsi="Consolas"/>
                <w:sz w:val="19"/>
                <w:szCs w:val="19"/>
              </w:rPr>
              <w:t xml:space="preserve">MIN_PHASE_SAMPLES</w:t>
            </w:r>
          </w:p>
        </w:tc>
        <w:tc>
          <w:tcPr>
            <w:tcW w:type="dxa" w:w="1200"/>
            <w:tcMar>
              <w:top w:type="dxa" w:w="80"/>
              <w:left w:type="dxa" w:w="120"/>
              <w:bottom w:type="dxa" w:w="80"/>
              <w:right w:type="dxa" w:w="120"/>
            </w:tcMar>
          </w:tcPr>
          <w:p>
            <w:pPr>
              <w:spacing w:after="0" w:line="240"/>
              <w:jc w:val="right"/>
            </w:pPr>
            <w:r>
              <w:rPr>
                <w:sz w:val="19"/>
                <w:szCs w:val="19"/>
              </w:rPr>
              <w:t xml:space="preserve">3</w:t>
            </w:r>
          </w:p>
        </w:tc>
        <w:tc>
          <w:tcPr>
            <w:tcW w:type="dxa" w:w="5260"/>
            <w:tcMar>
              <w:top w:type="dxa" w:w="80"/>
              <w:left w:type="dxa" w:w="120"/>
              <w:bottom w:type="dxa" w:w="80"/>
              <w:right w:type="dxa" w:w="120"/>
            </w:tcMar>
          </w:tcPr>
          <w:p>
            <w:pPr>
              <w:spacing w:after="0" w:line="240"/>
            </w:pPr>
            <w:r>
              <w:rPr>
                <w:sz w:val="19"/>
                <w:szCs w:val="19"/>
              </w:rPr>
              <w:t xml:space="preserve">Consecutive samples past threshold before a phase change is accepted</w:t>
            </w:r>
          </w:p>
        </w:tc>
      </w:tr>
      <w:tr>
        <w:tc>
          <w:tcPr>
            <w:tcW w:type="dxa" w:w="2900"/>
            <w:tcMar>
              <w:top w:type="dxa" w:w="80"/>
              <w:left w:type="dxa" w:w="120"/>
              <w:bottom w:type="dxa" w:w="80"/>
              <w:right w:type="dxa" w:w="120"/>
            </w:tcMar>
          </w:tcPr>
          <w:p>
            <w:pPr>
              <w:spacing w:after="0" w:line="240"/>
            </w:pPr>
            <w:r>
              <w:rPr>
                <w:rFonts w:ascii="Consolas" w:cs="Consolas" w:eastAsia="Consolas" w:hAnsi="Consolas"/>
                <w:sz w:val="19"/>
                <w:szCs w:val="19"/>
              </w:rPr>
              <w:t xml:space="preserve">COMPLETE_CYCLE_FRACTION</w:t>
            </w:r>
          </w:p>
        </w:tc>
        <w:tc>
          <w:tcPr>
            <w:tcW w:type="dxa" w:w="1200"/>
            <w:tcMar>
              <w:top w:type="dxa" w:w="80"/>
              <w:left w:type="dxa" w:w="120"/>
              <w:bottom w:type="dxa" w:w="80"/>
              <w:right w:type="dxa" w:w="120"/>
            </w:tcMar>
          </w:tcPr>
          <w:p>
            <w:pPr>
              <w:spacing w:after="0" w:line="240"/>
              <w:jc w:val="right"/>
            </w:pPr>
            <w:r>
              <w:rPr>
                <w:sz w:val="19"/>
                <w:szCs w:val="19"/>
              </w:rPr>
              <w:t xml:space="preserve">0.80</w:t>
            </w:r>
          </w:p>
        </w:tc>
        <w:tc>
          <w:tcPr>
            <w:tcW w:type="dxa" w:w="5260"/>
            <w:tcMar>
              <w:top w:type="dxa" w:w="80"/>
              <w:left w:type="dxa" w:w="120"/>
              <w:bottom w:type="dxa" w:w="80"/>
              <w:right w:type="dxa" w:w="120"/>
            </w:tcMar>
          </w:tcPr>
          <w:p>
            <w:pPr>
              <w:spacing w:after="0" w:line="240"/>
            </w:pPr>
            <w:r>
              <w:rPr>
                <w:sz w:val="19"/>
                <w:szCs w:val="19"/>
              </w:rPr>
              <w:t xml:space="preserve">A discharge must move this fraction of the largest observed for that cell to count as complete</w:t>
            </w:r>
          </w:p>
        </w:tc>
      </w:tr>
    </w:tbl>
    <w:p>
      <w:pPr>
        <w:spacing w:after="180"/>
      </w:pPr>
    </w:p>
    <w:p>
      <w:pPr>
        <w:spacing w:after="140" w:line="276"/>
      </w:pPr>
      <w:r>
        <w:rPr>
          <w:sz w:val="21"/>
          <w:szCs w:val="21"/>
        </w:rPr>
        <w:t xml:space="preserve">Derived features include C-rate (current divided by declared rated capacity), aggressive-discharge and fast-charge flags defined by C-rate thresholds, deep-discharge flags from state of charge, and rolling thermal statistics. The rated capacity used as the C-rate denominator is declared by the measuring device rather than assumed by the host; if it is not supplied, scoring refuses rather than defaulting, because a wrong denominator silently rescales every behavioural feature.</w:t>
      </w:r>
    </w:p>
    <w:p>
      <w:pPr>
        <w:pStyle w:val="Heading1"/>
        <w:pageBreakBefore/>
        <w:spacing w:after="300" w:before="200"/>
      </w:pPr>
      <w:r>
        <w:rPr>
          <w:b/>
          <w:bCs/>
          <w:color w:val="1F6F4A"/>
          <w:sz w:val="19"/>
          <w:szCs w:val="19"/>
        </w:rPr>
        <w:t xml:space="preserve">PART III</w:t>
      </w:r>
      <w:r>
        <w:br/>
        <w:t xml:space="preserve"/>
      </w:r>
      <w:r>
        <w:rPr>
          <w:b/>
          <w:bCs/>
          <w:color w:val="111826"/>
          <w:sz w:val="38"/>
          <w:szCs w:val="38"/>
        </w:rPr>
        <w:t xml:space="preserve">What We Found</w:t>
      </w:r>
    </w:p>
    <w:p>
      <w:pPr>
        <w:spacing w:after="140" w:line="276"/>
      </w:pPr>
      <w:r>
        <w:rPr>
          <w:sz w:val="21"/>
          <w:szCs w:val="21"/>
        </w:rPr>
        <w:t xml:space="preserve">This part reports the calibration results. They are, in summary, negative for the project’s original premise and positive for a methodological question the project did not set out to answer.</w:t>
      </w:r>
    </w:p>
    <w:p>
      <w:pPr>
        <w:pStyle w:val="Heading2"/>
        <w:spacing w:after="160" w:before="360"/>
      </w:pPr>
      <w:r>
        <w:rPr>
          <w:b/>
          <w:bCs/>
          <w:color w:val="111826"/>
          <w:sz w:val="28"/>
          <w:szCs w:val="28"/>
        </w:rPr>
        <w:t xml:space="preserve">9. Summary of Findings</w:t>
      </w:r>
    </w:p>
    <w:p>
      <w:pPr>
        <w:pStyle w:val="ListParagraph"/>
        <w:numPr>
          <w:ilvl w:val="0"/>
          <w:numId w:val="4"/>
        </w:numPr>
        <w:spacing w:after="90" w:line="276"/>
      </w:pPr>
      <w:r>
        <w:rPr>
          <w:sz w:val="21"/>
          <w:szCs w:val="21"/>
        </w:rPr>
        <w:t xml:space="preserve">The original heuristic health index shows no statistically significant relationship with measured capacity fade: Spearman ρ = −0.269, p = 0.124, n = 33.</w:t>
      </w:r>
    </w:p>
    <w:p>
      <w:pPr>
        <w:pStyle w:val="ListParagraph"/>
        <w:numPr>
          <w:ilvl w:val="0"/>
          <w:numId w:val="4"/>
        </w:numPr>
        <w:spacing w:after="90" w:line="276"/>
      </w:pPr>
      <w:r>
        <w:rPr>
          <w:sz w:val="21"/>
          <w:szCs w:val="21"/>
        </w:rPr>
        <w:t xml:space="preserve">Temperature exposure shows a real, cohort-controlled, statistically significant relationship with fade — but does not transfer across ambient conditions, for a measurement reason given in Section 13.</w:t>
      </w:r>
    </w:p>
    <w:p>
      <w:pPr>
        <w:pStyle w:val="ListParagraph"/>
        <w:numPr>
          <w:ilvl w:val="0"/>
          <w:numId w:val="4"/>
        </w:numPr>
        <w:spacing w:after="90" w:line="276"/>
      </w:pPr>
      <w:r>
        <w:rPr>
          <w:sz w:val="21"/>
          <w:szCs w:val="21"/>
        </w:rPr>
        <w:t xml:space="preserve">The original prediction target, per-cycle capacity delta, has a signal fraction of 0.044. No method could have exceeded that R² against it.</w:t>
      </w:r>
    </w:p>
    <w:p>
      <w:pPr>
        <w:pStyle w:val="ListParagraph"/>
        <w:numPr>
          <w:ilvl w:val="0"/>
          <w:numId w:val="4"/>
        </w:numPr>
        <w:spacing w:after="90" w:line="276"/>
      </w:pPr>
      <w:r>
        <w:rPr>
          <w:sz w:val="21"/>
          <w:szCs w:val="21"/>
        </w:rPr>
        <w:t xml:space="preserve">Leave-one-battery-out rank carries essentially no information about leave-one-cohort-out rank (ρ = +0.084, p = 0.795, n = 12).</w:t>
      </w:r>
    </w:p>
    <w:p>
      <w:pPr>
        <w:pStyle w:val="ListParagraph"/>
        <w:numPr>
          <w:ilvl w:val="0"/>
          <w:numId w:val="4"/>
        </w:numPr>
        <w:spacing w:after="90" w:line="276"/>
      </w:pPr>
      <w:r>
        <w:rPr>
          <w:sz w:val="21"/>
          <w:szCs w:val="21"/>
        </w:rPr>
        <w:t xml:space="preserve">Across twelve methods, a straight line on cycle count is the most robust under protocol shift; all behavioural and nonlinear modelling buys approximately 0.05 R² over it.</w:t>
      </w:r>
    </w:p>
    <w:p>
      <w:pPr>
        <w:pStyle w:val="ListParagraph"/>
        <w:numPr>
          <w:ilvl w:val="0"/>
          <w:numId w:val="4"/>
        </w:numPr>
        <w:spacing w:after="90" w:line="276"/>
      </w:pPr>
      <w:r>
        <w:rPr>
          <w:sz w:val="21"/>
          <w:szCs w:val="21"/>
        </w:rPr>
        <w:t xml:space="preserve">The leave-one-cohort-out estimator is approximately 2.7 times noisier than the effect it is used to rank. Six ranking claims were made and all six were withdrawn.</w:t>
      </w:r>
    </w:p>
    <w:p>
      <w:pPr>
        <w:pStyle w:val="ListParagraph"/>
        <w:numPr>
          <w:ilvl w:val="0"/>
          <w:numId w:val="4"/>
        </w:numPr>
        <w:spacing w:after="90" w:line="276"/>
      </w:pPr>
      <w:r>
        <w:rPr>
          <w:sz w:val="21"/>
          <w:szCs w:val="21"/>
        </w:rPr>
        <w:t xml:space="preserve">61% of the mean rule-based risk score comes from terms that are constant across the entire calibration set.</w:t>
      </w:r>
    </w:p>
    <w:p>
      <w:pPr>
        <w:pStyle w:val="Heading2"/>
        <w:spacing w:after="160" w:before="360"/>
      </w:pPr>
      <w:r>
        <w:rPr>
          <w:b/>
          <w:bCs/>
          <w:color w:val="111826"/>
          <w:sz w:val="28"/>
          <w:szCs w:val="28"/>
        </w:rPr>
        <w:t xml:space="preserve">10. The Original Heuristic</w:t>
      </w:r>
    </w:p>
    <w:p>
      <w:pPr>
        <w:spacing w:after="140" w:line="276"/>
      </w:pPr>
      <w:r>
        <w:rPr>
          <w:sz w:val="21"/>
          <w:szCs w:val="21"/>
        </w:rPr>
        <w:t xml:space="preserve">The v1 health index was evaluated by ranking the 33 screened NASA cells by measured fade rate and correlating against the index. The result was ρ = −0.269 at p = 0.124 — not significant, and of the wrong sign. The index also produced only 6 distinct values across 33 cells, so most cells were indistinguishable to it.</w:t>
      </w:r>
    </w:p>
    <w:p>
      <w:pPr>
        <w:spacing w:after="140" w:line="276"/>
      </w:pPr>
      <w:r>
        <w:rPr>
          <w:sz w:val="21"/>
          <w:szCs w:val="21"/>
        </w:rPr>
        <w:t xml:space="preserve">Section 15 explains mechanically why: the majority of the score came from terms whose thresholds the data never crossed.</w:t>
      </w:r>
    </w:p>
    <w:p>
      <w:pPr>
        <w:pStyle w:val="Heading2"/>
        <w:spacing w:after="160" w:before="360"/>
      </w:pPr>
      <w:r>
        <w:rPr>
          <w:b/>
          <w:bCs/>
          <w:color w:val="111826"/>
          <w:sz w:val="28"/>
          <w:szCs w:val="28"/>
        </w:rPr>
        <w:t xml:space="preserve">11. The Target-Definition Problem</w:t>
      </w:r>
    </w:p>
    <w:p>
      <w:pPr>
        <w:spacing w:after="140" w:line="276"/>
      </w:pPr>
      <w:r>
        <w:rPr>
          <w:sz w:val="21"/>
          <w:szCs w:val="21"/>
        </w:rPr>
        <w:t xml:space="preserve">This section should be read before interpreting any other result here. It determines what the other numbers mean.</w:t>
      </w:r>
    </w:p>
    <w:p>
      <w:pPr>
        <w:pStyle w:val="Heading3"/>
        <w:spacing w:after="120" w:before="260"/>
      </w:pPr>
      <w:r>
        <w:rPr>
          <w:b/>
          <w:bCs/>
          <w:color w:val="2F3B4D"/>
          <w:sz w:val="23"/>
          <w:szCs w:val="23"/>
        </w:rPr>
        <w:t xml:space="preserve">11.1 Method</w:t>
      </w:r>
    </w:p>
    <w:p>
      <w:pPr>
        <w:spacing w:after="140" w:line="276"/>
      </w:pPr>
      <w:r>
        <w:rPr>
          <w:sz w:val="21"/>
          <w:szCs w:val="21"/>
        </w:rPr>
        <w:t xml:space="preserve">Each candidate target’s within-cell variance is decomposed into monotone trend and residual using isotonic regression against cycle index. A monotone fit assumes only that degradation does not reverse — the weakest assumption that still defines a trend — and was chosen over a polynomial, which would bend to absorb noise and overstate the recoverable signal. The trend fraction is a ceiling on attainable R², since nothing can predict the residual.</w:t>
      </w:r>
    </w:p>
    <w:p>
      <w:pPr>
        <w:pStyle w:val="Heading3"/>
        <w:spacing w:after="120" w:before="260"/>
      </w:pPr>
      <w:r>
        <w:rPr>
          <w:b/>
          <w:bCs/>
          <w:color w:val="2F3B4D"/>
          <w:sz w:val="23"/>
          <w:szCs w:val="23"/>
        </w:rPr>
        <w:t xml:space="preserve">11.2 Results</w:t>
      </w:r>
    </w:p>
    <w:tbl>
      <w:tblPr>
        <w:tblW w:type="dxa" w:w="9360"/>
        <w:tblBorders>
          <w:top w:val="single" w:color="B9C2CE" w:sz="4"/>
          <w:left w:val="none"/>
          <w:bottom w:val="single" w:color="B9C2CE" w:sz="4"/>
          <w:right w:val="none"/>
          <w:insideH w:val="single" w:color="E1E6EC" w:sz="2"/>
          <w:insideV w:val="none"/>
        </w:tblBorders>
      </w:tblPr>
      <w:tblGrid>
        <w:gridCol w:w="2700"/>
        <w:gridCol w:w="3560"/>
        <w:gridCol w:w="1500"/>
        <w:gridCol w:w="1600"/>
      </w:tblGrid>
      <w:tr>
        <w:trPr>
          <w:tblHeader/>
        </w:trPr>
        <w:tc>
          <w:tcPr>
            <w:tcW w:type="dxa" w:w="2700"/>
            <w:shd w:fill="EEF2F6" w:val="clear"/>
            <w:tcMar>
              <w:top w:type="dxa" w:w="80"/>
              <w:left w:type="dxa" w:w="120"/>
              <w:bottom w:type="dxa" w:w="80"/>
              <w:right w:type="dxa" w:w="120"/>
            </w:tcMar>
          </w:tcPr>
          <w:p>
            <w:pPr>
              <w:spacing w:after="0" w:line="240"/>
            </w:pPr>
            <w:r>
              <w:rPr>
                <w:b/>
                <w:bCs/>
                <w:sz w:val="19"/>
                <w:szCs w:val="19"/>
              </w:rPr>
              <w:t xml:space="preserve">Target</w:t>
            </w:r>
          </w:p>
        </w:tc>
        <w:tc>
          <w:tcPr>
            <w:tcW w:type="dxa" w:w="3560"/>
            <w:shd w:fill="EEF2F6" w:val="clear"/>
            <w:tcMar>
              <w:top w:type="dxa" w:w="80"/>
              <w:left w:type="dxa" w:w="120"/>
              <w:bottom w:type="dxa" w:w="80"/>
              <w:right w:type="dxa" w:w="120"/>
            </w:tcMar>
          </w:tcPr>
          <w:p>
            <w:pPr>
              <w:spacing w:after="0" w:line="240"/>
              <w:jc w:val="right"/>
            </w:pPr>
            <w:r>
              <w:rPr>
                <w:b/>
                <w:bCs/>
                <w:sz w:val="19"/>
                <w:szCs w:val="19"/>
              </w:rPr>
              <w:t xml:space="preserve">Signal fraction (max attainable R²)</w:t>
            </w:r>
          </w:p>
        </w:tc>
        <w:tc>
          <w:tcPr>
            <w:tcW w:type="dxa" w:w="1500"/>
            <w:shd w:fill="EEF2F6" w:val="clear"/>
            <w:tcMar>
              <w:top w:type="dxa" w:w="80"/>
              <w:left w:type="dxa" w:w="120"/>
              <w:bottom w:type="dxa" w:w="80"/>
              <w:right w:type="dxa" w:w="120"/>
            </w:tcMar>
          </w:tcPr>
          <w:p>
            <w:pPr>
              <w:spacing w:after="0" w:line="240"/>
              <w:jc w:val="right"/>
            </w:pPr>
            <w:r>
              <w:rPr>
                <w:b/>
                <w:bCs/>
                <w:sz w:val="19"/>
                <w:szCs w:val="19"/>
              </w:rPr>
              <w:t xml:space="preserve">Cells</w:t>
            </w:r>
          </w:p>
        </w:tc>
        <w:tc>
          <w:tcPr>
            <w:tcW w:type="dxa" w:w="1600"/>
            <w:shd w:fill="EEF2F6" w:val="clear"/>
            <w:tcMar>
              <w:top w:type="dxa" w:w="80"/>
              <w:left w:type="dxa" w:w="120"/>
              <w:bottom w:type="dxa" w:w="80"/>
              <w:right w:type="dxa" w:w="120"/>
            </w:tcMar>
          </w:tcPr>
          <w:p>
            <w:pPr>
              <w:spacing w:after="0" w:line="240"/>
              <w:jc w:val="right"/>
            </w:pPr>
            <w:r>
              <w:rPr>
                <w:b/>
                <w:bCs/>
                <w:sz w:val="19"/>
                <w:szCs w:val="19"/>
              </w:rPr>
              <w:t xml:space="preserve">Rows</w:t>
            </w:r>
          </w:p>
        </w:tc>
      </w:tr>
      <w:tr>
        <w:tc>
          <w:tcPr>
            <w:tcW w:type="dxa" w:w="2700"/>
            <w:tcMar>
              <w:top w:type="dxa" w:w="80"/>
              <w:left w:type="dxa" w:w="120"/>
              <w:bottom w:type="dxa" w:w="80"/>
              <w:right w:type="dxa" w:w="120"/>
            </w:tcMar>
          </w:tcPr>
          <w:p>
            <w:pPr>
              <w:spacing w:after="0" w:line="240"/>
            </w:pPr>
            <w:r>
              <w:rPr>
                <w:rFonts w:ascii="Consolas" w:cs="Consolas" w:eastAsia="Consolas" w:hAnsi="Consolas"/>
                <w:sz w:val="19"/>
                <w:szCs w:val="19"/>
              </w:rPr>
              <w:t xml:space="preserve">capacity_loss</w:t>
            </w:r>
          </w:p>
        </w:tc>
        <w:tc>
          <w:tcPr>
            <w:tcW w:type="dxa" w:w="3560"/>
            <w:tcMar>
              <w:top w:type="dxa" w:w="80"/>
              <w:left w:type="dxa" w:w="120"/>
              <w:bottom w:type="dxa" w:w="80"/>
              <w:right w:type="dxa" w:w="120"/>
            </w:tcMar>
          </w:tcPr>
          <w:p>
            <w:pPr>
              <w:spacing w:after="0" w:line="240"/>
              <w:jc w:val="right"/>
            </w:pPr>
            <w:r>
              <w:rPr>
                <w:sz w:val="19"/>
                <w:szCs w:val="19"/>
              </w:rPr>
              <w:t xml:space="preserve">0.044</w:t>
            </w:r>
          </w:p>
        </w:tc>
        <w:tc>
          <w:tcPr>
            <w:tcW w:type="dxa" w:w="1500"/>
            <w:tcMar>
              <w:top w:type="dxa" w:w="80"/>
              <w:left w:type="dxa" w:w="120"/>
              <w:bottom w:type="dxa" w:w="80"/>
              <w:right w:type="dxa" w:w="120"/>
            </w:tcMar>
          </w:tcPr>
          <w:p>
            <w:pPr>
              <w:spacing w:after="0" w:line="240"/>
              <w:jc w:val="right"/>
            </w:pPr>
            <w:r>
              <w:rPr>
                <w:sz w:val="19"/>
                <w:szCs w:val="19"/>
              </w:rPr>
              <w:t xml:space="preserve">33</w:t>
            </w:r>
          </w:p>
        </w:tc>
        <w:tc>
          <w:tcPr>
            <w:tcW w:type="dxa" w:w="1600"/>
            <w:tcMar>
              <w:top w:type="dxa" w:w="80"/>
              <w:left w:type="dxa" w:w="120"/>
              <w:bottom w:type="dxa" w:w="80"/>
              <w:right w:type="dxa" w:w="120"/>
            </w:tcMar>
          </w:tcPr>
          <w:p>
            <w:pPr>
              <w:spacing w:after="0" w:line="240"/>
              <w:jc w:val="right"/>
            </w:pPr>
            <w:r>
              <w:rPr>
                <w:sz w:val="19"/>
                <w:szCs w:val="19"/>
              </w:rPr>
              <w:t xml:space="preserve">2,680</w:t>
            </w:r>
          </w:p>
        </w:tc>
      </w:tr>
      <w:tr>
        <w:tc>
          <w:tcPr>
            <w:tcW w:type="dxa" w:w="2700"/>
            <w:tcMar>
              <w:top w:type="dxa" w:w="80"/>
              <w:left w:type="dxa" w:w="120"/>
              <w:bottom w:type="dxa" w:w="80"/>
              <w:right w:type="dxa" w:w="120"/>
            </w:tcMar>
          </w:tcPr>
          <w:p>
            <w:pPr>
              <w:spacing w:after="0" w:line="240"/>
            </w:pPr>
            <w:r>
              <w:rPr>
                <w:rFonts w:ascii="Consolas" w:cs="Consolas" w:eastAsia="Consolas" w:hAnsi="Consolas"/>
                <w:sz w:val="19"/>
                <w:szCs w:val="19"/>
              </w:rPr>
              <w:t xml:space="preserve">soh / cumulative_fade</w:t>
            </w:r>
          </w:p>
        </w:tc>
        <w:tc>
          <w:tcPr>
            <w:tcW w:type="dxa" w:w="3560"/>
            <w:tcMar>
              <w:top w:type="dxa" w:w="80"/>
              <w:left w:type="dxa" w:w="120"/>
              <w:bottom w:type="dxa" w:w="80"/>
              <w:right w:type="dxa" w:w="120"/>
            </w:tcMar>
          </w:tcPr>
          <w:p>
            <w:pPr>
              <w:spacing w:after="0" w:line="240"/>
              <w:jc w:val="right"/>
            </w:pPr>
            <w:r>
              <w:rPr>
                <w:sz w:val="19"/>
                <w:szCs w:val="19"/>
              </w:rPr>
              <w:t xml:space="preserve">0.569</w:t>
            </w:r>
          </w:p>
        </w:tc>
        <w:tc>
          <w:tcPr>
            <w:tcW w:type="dxa" w:w="1500"/>
            <w:tcMar>
              <w:top w:type="dxa" w:w="80"/>
              <w:left w:type="dxa" w:w="120"/>
              <w:bottom w:type="dxa" w:w="80"/>
              <w:right w:type="dxa" w:w="120"/>
            </w:tcMar>
          </w:tcPr>
          <w:p>
            <w:pPr>
              <w:spacing w:after="0" w:line="240"/>
              <w:jc w:val="right"/>
            </w:pPr>
            <w:r>
              <w:rPr>
                <w:sz w:val="19"/>
                <w:szCs w:val="19"/>
              </w:rPr>
              <w:t xml:space="preserve">31</w:t>
            </w:r>
          </w:p>
        </w:tc>
        <w:tc>
          <w:tcPr>
            <w:tcW w:type="dxa" w:w="1600"/>
            <w:tcMar>
              <w:top w:type="dxa" w:w="80"/>
              <w:left w:type="dxa" w:w="120"/>
              <w:bottom w:type="dxa" w:w="80"/>
              <w:right w:type="dxa" w:w="120"/>
            </w:tcMar>
          </w:tcPr>
          <w:p>
            <w:pPr>
              <w:spacing w:after="0" w:line="240"/>
              <w:jc w:val="right"/>
            </w:pPr>
            <w:r>
              <w:rPr>
                <w:sz w:val="19"/>
                <w:szCs w:val="19"/>
              </w:rPr>
              <w:t xml:space="preserve">2,585</w:t>
            </w:r>
          </w:p>
        </w:tc>
      </w:tr>
      <w:tr>
        <w:tc>
          <w:tcPr>
            <w:tcW w:type="dxa" w:w="2700"/>
            <w:tcMar>
              <w:top w:type="dxa" w:w="80"/>
              <w:left w:type="dxa" w:w="120"/>
              <w:bottom w:type="dxa" w:w="80"/>
              <w:right w:type="dxa" w:w="120"/>
            </w:tcMar>
          </w:tcPr>
          <w:p>
            <w:pPr>
              <w:spacing w:after="0" w:line="240"/>
            </w:pPr>
            <w:r>
              <w:rPr>
                <w:rFonts w:ascii="Consolas" w:cs="Consolas" w:eastAsia="Consolas" w:hAnsi="Consolas"/>
                <w:sz w:val="19"/>
                <w:szCs w:val="19"/>
              </w:rPr>
              <w:t xml:space="preserve">horizon_fade_10</w:t>
            </w:r>
          </w:p>
        </w:tc>
        <w:tc>
          <w:tcPr>
            <w:tcW w:type="dxa" w:w="3560"/>
            <w:tcMar>
              <w:top w:type="dxa" w:w="80"/>
              <w:left w:type="dxa" w:w="120"/>
              <w:bottom w:type="dxa" w:w="80"/>
              <w:right w:type="dxa" w:w="120"/>
            </w:tcMar>
          </w:tcPr>
          <w:p>
            <w:pPr>
              <w:spacing w:after="0" w:line="240"/>
              <w:jc w:val="right"/>
            </w:pPr>
            <w:r>
              <w:rPr>
                <w:sz w:val="19"/>
                <w:szCs w:val="19"/>
              </w:rPr>
              <w:t xml:space="preserve">0.389</w:t>
            </w:r>
          </w:p>
        </w:tc>
        <w:tc>
          <w:tcPr>
            <w:tcW w:type="dxa" w:w="1500"/>
            <w:tcMar>
              <w:top w:type="dxa" w:w="80"/>
              <w:left w:type="dxa" w:w="120"/>
              <w:bottom w:type="dxa" w:w="80"/>
              <w:right w:type="dxa" w:w="120"/>
            </w:tcMar>
          </w:tcPr>
          <w:p>
            <w:pPr>
              <w:spacing w:after="0" w:line="240"/>
              <w:jc w:val="right"/>
            </w:pPr>
            <w:r>
              <w:rPr>
                <w:sz w:val="19"/>
                <w:szCs w:val="19"/>
              </w:rPr>
              <w:t xml:space="preserve">31</w:t>
            </w:r>
          </w:p>
        </w:tc>
        <w:tc>
          <w:tcPr>
            <w:tcW w:type="dxa" w:w="1600"/>
            <w:tcMar>
              <w:top w:type="dxa" w:w="80"/>
              <w:left w:type="dxa" w:w="120"/>
              <w:bottom w:type="dxa" w:w="80"/>
              <w:right w:type="dxa" w:w="120"/>
            </w:tcMar>
          </w:tcPr>
          <w:p>
            <w:pPr>
              <w:spacing w:after="0" w:line="240"/>
              <w:jc w:val="right"/>
            </w:pPr>
            <w:r>
              <w:rPr>
                <w:sz w:val="19"/>
                <w:szCs w:val="19"/>
              </w:rPr>
              <w:t xml:space="preserve">2,268</w:t>
            </w:r>
          </w:p>
        </w:tc>
      </w:tr>
      <w:tr>
        <w:tc>
          <w:tcPr>
            <w:tcW w:type="dxa" w:w="2700"/>
            <w:tcMar>
              <w:top w:type="dxa" w:w="80"/>
              <w:left w:type="dxa" w:w="120"/>
              <w:bottom w:type="dxa" w:w="80"/>
              <w:right w:type="dxa" w:w="120"/>
            </w:tcMar>
          </w:tcPr>
          <w:p>
            <w:pPr>
              <w:spacing w:after="0" w:line="240"/>
            </w:pPr>
            <w:r>
              <w:rPr>
                <w:rFonts w:ascii="Consolas" w:cs="Consolas" w:eastAsia="Consolas" w:hAnsi="Consolas"/>
                <w:sz w:val="19"/>
                <w:szCs w:val="19"/>
              </w:rPr>
              <w:t xml:space="preserve">horizon_fade_20</w:t>
            </w:r>
          </w:p>
        </w:tc>
        <w:tc>
          <w:tcPr>
            <w:tcW w:type="dxa" w:w="3560"/>
            <w:tcMar>
              <w:top w:type="dxa" w:w="80"/>
              <w:left w:type="dxa" w:w="120"/>
              <w:bottom w:type="dxa" w:w="80"/>
              <w:right w:type="dxa" w:w="120"/>
            </w:tcMar>
          </w:tcPr>
          <w:p>
            <w:pPr>
              <w:spacing w:after="0" w:line="240"/>
              <w:jc w:val="right"/>
            </w:pPr>
            <w:r>
              <w:rPr>
                <w:sz w:val="19"/>
                <w:szCs w:val="19"/>
              </w:rPr>
              <w:t xml:space="preserve">0.639</w:t>
            </w:r>
          </w:p>
        </w:tc>
        <w:tc>
          <w:tcPr>
            <w:tcW w:type="dxa" w:w="1500"/>
            <w:tcMar>
              <w:top w:type="dxa" w:w="80"/>
              <w:left w:type="dxa" w:w="120"/>
              <w:bottom w:type="dxa" w:w="80"/>
              <w:right w:type="dxa" w:w="120"/>
            </w:tcMar>
          </w:tcPr>
          <w:p>
            <w:pPr>
              <w:spacing w:after="0" w:line="240"/>
              <w:jc w:val="right"/>
            </w:pPr>
            <w:r>
              <w:rPr>
                <w:sz w:val="19"/>
                <w:szCs w:val="19"/>
              </w:rPr>
              <w:t xml:space="preserve">25</w:t>
            </w:r>
          </w:p>
        </w:tc>
        <w:tc>
          <w:tcPr>
            <w:tcW w:type="dxa" w:w="1600"/>
            <w:tcMar>
              <w:top w:type="dxa" w:w="80"/>
              <w:left w:type="dxa" w:w="120"/>
              <w:bottom w:type="dxa" w:w="80"/>
              <w:right w:type="dxa" w:w="120"/>
            </w:tcMar>
          </w:tcPr>
          <w:p>
            <w:pPr>
              <w:spacing w:after="0" w:line="240"/>
              <w:jc w:val="right"/>
            </w:pPr>
            <w:r>
              <w:rPr>
                <w:sz w:val="19"/>
                <w:szCs w:val="19"/>
              </w:rPr>
              <w:t xml:space="preserve">1,933</w:t>
            </w:r>
          </w:p>
        </w:tc>
      </w:tr>
      <w:tr>
        <w:tc>
          <w:tcPr>
            <w:tcW w:type="dxa" w:w="2700"/>
            <w:tcMar>
              <w:top w:type="dxa" w:w="80"/>
              <w:left w:type="dxa" w:w="120"/>
              <w:bottom w:type="dxa" w:w="80"/>
              <w:right w:type="dxa" w:w="120"/>
            </w:tcMar>
          </w:tcPr>
          <w:p>
            <w:pPr>
              <w:spacing w:after="0" w:line="240"/>
            </w:pPr>
            <w:r>
              <w:rPr>
                <w:rFonts w:ascii="Consolas" w:cs="Consolas" w:eastAsia="Consolas" w:hAnsi="Consolas"/>
                <w:sz w:val="19"/>
                <w:szCs w:val="19"/>
              </w:rPr>
              <w:t xml:space="preserve">horizon_fade_50</w:t>
            </w:r>
          </w:p>
        </w:tc>
        <w:tc>
          <w:tcPr>
            <w:tcW w:type="dxa" w:w="3560"/>
            <w:tcMar>
              <w:top w:type="dxa" w:w="80"/>
              <w:left w:type="dxa" w:w="120"/>
              <w:bottom w:type="dxa" w:w="80"/>
              <w:right w:type="dxa" w:w="120"/>
            </w:tcMar>
          </w:tcPr>
          <w:p>
            <w:pPr>
              <w:spacing w:after="0" w:line="240"/>
              <w:jc w:val="right"/>
            </w:pPr>
            <w:r>
              <w:rPr>
                <w:sz w:val="19"/>
                <w:szCs w:val="19"/>
              </w:rPr>
              <w:t xml:space="preserve">0.967</w:t>
            </w:r>
          </w:p>
        </w:tc>
        <w:tc>
          <w:tcPr>
            <w:tcW w:type="dxa" w:w="1500"/>
            <w:tcMar>
              <w:top w:type="dxa" w:w="80"/>
              <w:left w:type="dxa" w:w="120"/>
              <w:bottom w:type="dxa" w:w="80"/>
              <w:right w:type="dxa" w:w="120"/>
            </w:tcMar>
          </w:tcPr>
          <w:p>
            <w:pPr>
              <w:spacing w:after="0" w:line="240"/>
              <w:jc w:val="right"/>
            </w:pPr>
            <w:r>
              <w:rPr>
                <w:sz w:val="19"/>
                <w:szCs w:val="19"/>
              </w:rPr>
              <w:t xml:space="preserve">17</w:t>
            </w:r>
          </w:p>
        </w:tc>
        <w:tc>
          <w:tcPr>
            <w:tcW w:type="dxa" w:w="1600"/>
            <w:tcMar>
              <w:top w:type="dxa" w:w="80"/>
              <w:left w:type="dxa" w:w="120"/>
              <w:bottom w:type="dxa" w:w="80"/>
              <w:right w:type="dxa" w:w="120"/>
            </w:tcMar>
          </w:tcPr>
          <w:p>
            <w:pPr>
              <w:spacing w:after="0" w:line="240"/>
              <w:jc w:val="right"/>
            </w:pPr>
            <w:r>
              <w:rPr>
                <w:sz w:val="19"/>
                <w:szCs w:val="19"/>
              </w:rPr>
              <w:t xml:space="preserve">1,246</w:t>
            </w:r>
          </w:p>
        </w:tc>
      </w:tr>
    </w:tbl>
    <w:p>
      <w:pPr>
        <w:spacing w:after="180"/>
      </w:pPr>
    </w:p>
    <w:tbl>
      <w:tblPr>
        <w:tblW w:type="dxa" w:w="9360"/>
        <w:tblBorders>
          <w:top w:val="single" w:color="DDE5DF" w:sz="2"/>
          <w:left w:val="single" w:color="B3261E" w:sz="18"/>
          <w:bottom w:val="single" w:color="DDE5DF" w:sz="2"/>
          <w:right w:val="single" w:color="DDE5DF" w:sz="2"/>
          <w:insideH w:val="none"/>
          <w:insideV w:val="none"/>
        </w:tblBorders>
      </w:tblPr>
      <w:tblGrid>
        <w:gridCol w:w="9360"/>
      </w:tblGrid>
      <w:tr>
        <w:tc>
          <w:tcPr>
            <w:tcW w:type="dxa" w:w="9360"/>
            <w:shd w:fill="FBF0EF" w:val="clear"/>
            <w:tcMar>
              <w:top w:type="dxa" w:w="140"/>
              <w:left w:type="dxa" w:w="200"/>
              <w:bottom w:type="dxa" w:w="140"/>
              <w:right w:type="dxa" w:w="200"/>
            </w:tcMar>
          </w:tcPr>
          <w:p>
            <w:pPr>
              <w:spacing w:after="0" w:line="276"/>
            </w:pPr>
            <w:r>
              <w:rPr>
                <w:b/>
                <w:bCs/>
                <w:sz w:val="21"/>
                <w:szCs w:val="21"/>
              </w:rPr>
              <w:t xml:space="preserve">An R² of 0.044 was the best score obtainable on the target against which this project’s central negative result was originally measured. Roughly 96% of that target is measurement noise.</w:t>
            </w:r>
          </w:p>
        </w:tc>
      </w:tr>
    </w:tbl>
    <w:p>
      <w:pPr>
        <w:spacing w:after="180"/>
      </w:pPr>
    </w:p>
    <w:p>
      <w:pPr>
        <w:pStyle w:val="Heading3"/>
        <w:spacing w:after="120" w:before="260"/>
      </w:pPr>
      <w:r>
        <w:rPr>
          <w:b/>
          <w:bCs/>
          <w:color w:val="2F3B4D"/>
          <w:sz w:val="23"/>
          <w:szCs w:val="23"/>
        </w:rPr>
        <w:t xml:space="preserve">11.3 Mechanism</w:t>
      </w:r>
    </w:p>
    <w:p>
      <w:pPr>
        <w:spacing w:after="140" w:line="276"/>
      </w:pPr>
      <w:r>
        <w:rPr>
          <w:sz w:val="21"/>
          <w:szCs w:val="21"/>
        </w:rPr>
        <w:t xml:space="preserve">The mechanism is arithmetic. A per-cycle capacity delta is the difference of two noisy measurements: it inherits both error terms while cancelling almost all of the underlying trend. The empirical distribution confirms it — mean 0.003 Ah, standard deviation 0.132 Ah, minimum −2.61 Ah. A cell does not recover 2.61 Ah in a single cycle; that value is noise, and it is in the labels.</w:t>
      </w:r>
    </w:p>
    <w:p>
      <w:pPr>
        <w:pStyle w:val="Heading3"/>
        <w:spacing w:after="120" w:before="260"/>
      </w:pPr>
      <w:r>
        <w:rPr>
          <w:b/>
          <w:bCs/>
          <w:color w:val="2F3B4D"/>
          <w:sz w:val="23"/>
          <w:szCs w:val="23"/>
        </w:rPr>
        <w:t xml:space="preserve">11.4 Consequence</w:t>
      </w:r>
    </w:p>
    <w:p>
      <w:pPr>
        <w:spacing w:after="140" w:line="276"/>
      </w:pPr>
      <w:r>
        <w:rPr>
          <w:sz w:val="21"/>
          <w:szCs w:val="21"/>
        </w:rPr>
        <w:t xml:space="preserve">The original negative result — that no method beat a constant predictor — was real. Its scope was wrong.</w:t>
      </w:r>
    </w:p>
    <w:p>
      <w:pPr>
        <w:pStyle w:val="ListParagraph"/>
        <w:numPr>
          <w:ilvl w:val="0"/>
          <w:numId w:val="2"/>
        </w:numPr>
        <w:spacing w:after="90" w:line="276"/>
      </w:pPr>
      <w:r>
        <w:rPr>
          <w:b/>
          <w:bCs/>
          <w:sz w:val="21"/>
          <w:szCs w:val="21"/>
        </w:rPr>
        <w:t xml:space="preserve">Defensible: </w:t>
      </w:r>
      <w:r>
        <w:rPr>
          <w:sz w:val="21"/>
          <w:szCs w:val="21"/>
        </w:rPr>
        <w:t xml:space="preserve">these scores do not predict per-cycle capacity delta, which is mostly measurement noise.</w:t>
      </w:r>
    </w:p>
    <w:p>
      <w:pPr>
        <w:pStyle w:val="ListParagraph"/>
        <w:numPr>
          <w:ilvl w:val="0"/>
          <w:numId w:val="2"/>
        </w:numPr>
        <w:spacing w:after="90" w:line="276"/>
      </w:pPr>
      <w:r>
        <w:rPr>
          <w:b/>
          <w:bCs/>
          <w:sz w:val="21"/>
          <w:szCs w:val="21"/>
        </w:rPr>
        <w:t xml:space="preserve">Not defensible: </w:t>
      </w:r>
      <w:r>
        <w:rPr>
          <w:sz w:val="21"/>
          <w:szCs w:val="21"/>
        </w:rPr>
        <w:t xml:space="preserve">these scores do not predict degradation.</w:t>
      </w:r>
    </w:p>
    <w:p>
      <w:pPr>
        <w:spacing w:after="140" w:line="276"/>
      </w:pPr>
      <w:r>
        <w:rPr>
          <w:sz w:val="21"/>
          <w:szCs w:val="21"/>
        </w:rPr>
        <w:t xml:space="preserve">Against the cleaner soh target (ceiling 0.569) four candidate methods clear the bar the original target rejected. The methods were never as uninformative as the first framing suggested; the target was unsuitable.</w:t>
      </w:r>
    </w:p>
    <w:p>
      <w:pPr>
        <w:pStyle w:val="Heading2"/>
        <w:spacing w:after="160" w:before="360"/>
      </w:pPr>
      <w:r>
        <w:rPr>
          <w:b/>
          <w:bCs/>
          <w:color w:val="111826"/>
          <w:sz w:val="28"/>
          <w:szCs w:val="28"/>
        </w:rPr>
        <w:t xml:space="preserve">12. Validation: LOBO versus LOCO</w:t>
      </w:r>
    </w:p>
    <w:p>
      <w:pPr>
        <w:pStyle w:val="ListParagraph"/>
        <w:numPr>
          <w:ilvl w:val="0"/>
          <w:numId w:val="2"/>
        </w:numPr>
        <w:spacing w:after="90" w:line="276"/>
      </w:pPr>
      <w:r>
        <w:rPr>
          <w:b/>
          <w:bCs/>
          <w:sz w:val="21"/>
          <w:szCs w:val="21"/>
        </w:rPr>
        <w:t xml:space="preserve">LOBO — leave-one-battery-out. </w:t>
      </w:r>
      <w:r>
        <w:rPr>
          <w:sz w:val="21"/>
          <w:szCs w:val="21"/>
        </w:rPr>
        <w:t xml:space="preserve">One cell held out; its protocol remains represented in training.</w:t>
      </w:r>
    </w:p>
    <w:p>
      <w:pPr>
        <w:pStyle w:val="ListParagraph"/>
        <w:numPr>
          <w:ilvl w:val="0"/>
          <w:numId w:val="2"/>
        </w:numPr>
        <w:spacing w:after="90" w:line="276"/>
      </w:pPr>
      <w:r>
        <w:rPr>
          <w:b/>
          <w:bCs/>
          <w:sz w:val="21"/>
          <w:szCs w:val="21"/>
        </w:rPr>
        <w:t xml:space="preserve">LOCO — leave-one-cohort-out. </w:t>
      </w:r>
      <w:r>
        <w:rPr>
          <w:sz w:val="21"/>
          <w:szCs w:val="21"/>
        </w:rPr>
        <w:t xml:space="preserve">An entire operating protocol held out. Substantially harder, and rare in the applied literature.</w:t>
      </w:r>
    </w:p>
    <w:p>
      <w:pPr>
        <w:pStyle w:val="Heading3"/>
        <w:spacing w:after="120" w:before="260"/>
      </w:pPr>
      <w:r>
        <w:rPr>
          <w:b/>
          <w:bCs/>
          <w:color w:val="2F3B4D"/>
          <w:sz w:val="23"/>
          <w:szCs w:val="23"/>
        </w:rPr>
        <w:t xml:space="preserve">12.1 The collapse</w:t>
      </w:r>
    </w:p>
    <w:p>
      <w:pPr>
        <w:spacing w:after="140" w:line="276"/>
      </w:pPr>
      <w:r>
        <w:rPr>
          <w:sz w:val="21"/>
          <w:szCs w:val="21"/>
        </w:rPr>
        <w:t xml:space="preserve">Ranking 33 cells by measured fade rate, Spearman ρ, permutation-tested with 5,000 resamples:</w:t>
      </w:r>
    </w:p>
    <w:tbl>
      <w:tblPr>
        <w:tblW w:type="dxa" w:w="9360"/>
        <w:tblBorders>
          <w:top w:val="single" w:color="B9C2CE" w:sz="4"/>
          <w:left w:val="none"/>
          <w:bottom w:val="single" w:color="B9C2CE" w:sz="4"/>
          <w:right w:val="none"/>
          <w:insideH w:val="single" w:color="E1E6EC" w:sz="2"/>
          <w:insideV w:val="none"/>
        </w:tblBorders>
      </w:tblPr>
      <w:tblGrid>
        <w:gridCol w:w="4200"/>
        <w:gridCol w:w="1500"/>
        <w:gridCol w:w="1400"/>
        <w:gridCol w:w="2260"/>
      </w:tblGrid>
      <w:tr>
        <w:trPr>
          <w:tblHeader/>
        </w:trPr>
        <w:tc>
          <w:tcPr>
            <w:tcW w:type="dxa" w:w="4200"/>
            <w:shd w:fill="EEF2F6" w:val="clear"/>
            <w:tcMar>
              <w:top w:type="dxa" w:w="80"/>
              <w:left w:type="dxa" w:w="120"/>
              <w:bottom w:type="dxa" w:w="80"/>
              <w:right w:type="dxa" w:w="120"/>
            </w:tcMar>
          </w:tcPr>
          <w:p>
            <w:pPr>
              <w:spacing w:after="0" w:line="240"/>
            </w:pPr>
            <w:r>
              <w:rPr>
                <w:b/>
                <w:bCs/>
                <w:sz w:val="19"/>
                <w:szCs w:val="19"/>
              </w:rPr>
              <w:t xml:space="preserve">Candidate</w:t>
            </w:r>
          </w:p>
        </w:tc>
        <w:tc>
          <w:tcPr>
            <w:tcW w:type="dxa" w:w="1500"/>
            <w:shd w:fill="EEF2F6" w:val="clear"/>
            <w:tcMar>
              <w:top w:type="dxa" w:w="80"/>
              <w:left w:type="dxa" w:w="120"/>
              <w:bottom w:type="dxa" w:w="80"/>
              <w:right w:type="dxa" w:w="120"/>
            </w:tcMar>
          </w:tcPr>
          <w:p>
            <w:pPr>
              <w:spacing w:after="0" w:line="240"/>
              <w:jc w:val="right"/>
            </w:pPr>
            <w:r>
              <w:rPr>
                <w:b/>
                <w:bCs/>
                <w:sz w:val="19"/>
                <w:szCs w:val="19"/>
              </w:rPr>
              <w:t xml:space="preserve">ρ</w:t>
            </w:r>
          </w:p>
        </w:tc>
        <w:tc>
          <w:tcPr>
            <w:tcW w:type="dxa" w:w="1400"/>
            <w:shd w:fill="EEF2F6" w:val="clear"/>
            <w:tcMar>
              <w:top w:type="dxa" w:w="80"/>
              <w:left w:type="dxa" w:w="120"/>
              <w:bottom w:type="dxa" w:w="80"/>
              <w:right w:type="dxa" w:w="120"/>
            </w:tcMar>
          </w:tcPr>
          <w:p>
            <w:pPr>
              <w:spacing w:after="0" w:line="240"/>
              <w:jc w:val="right"/>
            </w:pPr>
            <w:r>
              <w:rPr>
                <w:b/>
                <w:bCs/>
                <w:sz w:val="19"/>
                <w:szCs w:val="19"/>
              </w:rPr>
              <w:t xml:space="preserve">p</w:t>
            </w:r>
          </w:p>
        </w:tc>
        <w:tc>
          <w:tcPr>
            <w:tcW w:type="dxa" w:w="2260"/>
            <w:shd w:fill="EEF2F6" w:val="clear"/>
            <w:tcMar>
              <w:top w:type="dxa" w:w="80"/>
              <w:left w:type="dxa" w:w="120"/>
              <w:bottom w:type="dxa" w:w="80"/>
              <w:right w:type="dxa" w:w="120"/>
            </w:tcMar>
          </w:tcPr>
          <w:p>
            <w:pPr>
              <w:spacing w:after="0" w:line="240"/>
              <w:jc w:val="right"/>
            </w:pPr>
            <w:r>
              <w:rPr>
                <w:b/>
                <w:bCs/>
                <w:sz w:val="19"/>
                <w:szCs w:val="19"/>
              </w:rPr>
              <w:t xml:space="preserve">Distinct outputs</w:t>
            </w:r>
          </w:p>
        </w:tc>
      </w:tr>
      <w:tr>
        <w:tc>
          <w:tcPr>
            <w:tcW w:type="dxa" w:w="4200"/>
            <w:tcMar>
              <w:top w:type="dxa" w:w="80"/>
              <w:left w:type="dxa" w:w="120"/>
              <w:bottom w:type="dxa" w:w="80"/>
              <w:right w:type="dxa" w:w="120"/>
            </w:tcMar>
          </w:tcPr>
          <w:p>
            <w:pPr>
              <w:spacing w:after="0" w:line="240"/>
            </w:pPr>
            <w:r>
              <w:rPr>
                <w:sz w:val="19"/>
                <w:szCs w:val="19"/>
              </w:rPr>
              <w:t xml:space="preserve">v1 rule-based health index</w:t>
            </w:r>
          </w:p>
        </w:tc>
        <w:tc>
          <w:tcPr>
            <w:tcW w:type="dxa" w:w="1500"/>
            <w:tcMar>
              <w:top w:type="dxa" w:w="80"/>
              <w:left w:type="dxa" w:w="120"/>
              <w:bottom w:type="dxa" w:w="80"/>
              <w:right w:type="dxa" w:w="120"/>
            </w:tcMar>
          </w:tcPr>
          <w:p>
            <w:pPr>
              <w:spacing w:after="0" w:line="240"/>
              <w:jc w:val="right"/>
            </w:pPr>
            <w:r>
              <w:rPr>
                <w:sz w:val="19"/>
                <w:szCs w:val="19"/>
              </w:rPr>
              <w:t xml:space="preserve">−0.269</w:t>
            </w:r>
          </w:p>
        </w:tc>
        <w:tc>
          <w:tcPr>
            <w:tcW w:type="dxa" w:w="1400"/>
            <w:tcMar>
              <w:top w:type="dxa" w:w="80"/>
              <w:left w:type="dxa" w:w="120"/>
              <w:bottom w:type="dxa" w:w="80"/>
              <w:right w:type="dxa" w:w="120"/>
            </w:tcMar>
          </w:tcPr>
          <w:p>
            <w:pPr>
              <w:spacing w:after="0" w:line="240"/>
              <w:jc w:val="right"/>
            </w:pPr>
            <w:r>
              <w:rPr>
                <w:sz w:val="19"/>
                <w:szCs w:val="19"/>
              </w:rPr>
              <w:t xml:space="preserve">0.124</w:t>
            </w:r>
          </w:p>
        </w:tc>
        <w:tc>
          <w:tcPr>
            <w:tcW w:type="dxa" w:w="2260"/>
            <w:tcMar>
              <w:top w:type="dxa" w:w="80"/>
              <w:left w:type="dxa" w:w="120"/>
              <w:bottom w:type="dxa" w:w="80"/>
              <w:right w:type="dxa" w:w="120"/>
            </w:tcMar>
          </w:tcPr>
          <w:p>
            <w:pPr>
              <w:spacing w:after="0" w:line="240"/>
              <w:jc w:val="right"/>
            </w:pPr>
            <w:r>
              <w:rPr>
                <w:sz w:val="19"/>
                <w:szCs w:val="19"/>
              </w:rPr>
              <w:t xml:space="preserve">6 of 33</w:t>
            </w:r>
          </w:p>
        </w:tc>
      </w:tr>
      <w:tr>
        <w:tc>
          <w:tcPr>
            <w:tcW w:type="dxa" w:w="4200"/>
            <w:tcMar>
              <w:top w:type="dxa" w:w="80"/>
              <w:left w:type="dxa" w:w="120"/>
              <w:bottom w:type="dxa" w:w="80"/>
              <w:right w:type="dxa" w:w="120"/>
            </w:tcMar>
          </w:tcPr>
          <w:p>
            <w:pPr>
              <w:spacing w:after="0" w:line="240"/>
            </w:pPr>
            <w:r>
              <w:rPr>
                <w:sz w:val="19"/>
                <w:szCs w:val="19"/>
              </w:rPr>
              <w:t xml:space="preserve">v2 fitted OLS, in-sample</w:t>
            </w:r>
          </w:p>
        </w:tc>
        <w:tc>
          <w:tcPr>
            <w:tcW w:type="dxa" w:w="1500"/>
            <w:tcMar>
              <w:top w:type="dxa" w:w="80"/>
              <w:left w:type="dxa" w:w="120"/>
              <w:bottom w:type="dxa" w:w="80"/>
              <w:right w:type="dxa" w:w="120"/>
            </w:tcMar>
          </w:tcPr>
          <w:p>
            <w:pPr>
              <w:spacing w:after="0" w:line="240"/>
              <w:jc w:val="right"/>
            </w:pPr>
            <w:r>
              <w:rPr>
                <w:sz w:val="19"/>
                <w:szCs w:val="19"/>
              </w:rPr>
              <w:t xml:space="preserve">0.870</w:t>
            </w:r>
          </w:p>
        </w:tc>
        <w:tc>
          <w:tcPr>
            <w:tcW w:type="dxa" w:w="1400"/>
            <w:tcMar>
              <w:top w:type="dxa" w:w="80"/>
              <w:left w:type="dxa" w:w="120"/>
              <w:bottom w:type="dxa" w:w="80"/>
              <w:right w:type="dxa" w:w="120"/>
            </w:tcMar>
          </w:tcPr>
          <w:p>
            <w:pPr>
              <w:spacing w:after="0" w:line="240"/>
              <w:jc w:val="right"/>
            </w:pPr>
            <w:r>
              <w:rPr>
                <w:sz w:val="19"/>
                <w:szCs w:val="19"/>
              </w:rPr>
              <w:t xml:space="preserve">0.0002</w:t>
            </w:r>
          </w:p>
        </w:tc>
        <w:tc>
          <w:tcPr>
            <w:tcW w:type="dxa" w:w="2260"/>
            <w:tcMar>
              <w:top w:type="dxa" w:w="80"/>
              <w:left w:type="dxa" w:w="120"/>
              <w:bottom w:type="dxa" w:w="80"/>
              <w:right w:type="dxa" w:w="120"/>
            </w:tcMar>
          </w:tcPr>
          <w:p>
            <w:pPr>
              <w:spacing w:after="0" w:line="240"/>
              <w:jc w:val="right"/>
            </w:pPr>
            <w:r>
              <w:rPr>
                <w:sz w:val="19"/>
                <w:szCs w:val="19"/>
              </w:rPr>
              <w:t xml:space="preserve">33</w:t>
            </w:r>
          </w:p>
        </w:tc>
      </w:tr>
      <w:tr>
        <w:tc>
          <w:tcPr>
            <w:tcW w:type="dxa" w:w="4200"/>
            <w:tcMar>
              <w:top w:type="dxa" w:w="80"/>
              <w:left w:type="dxa" w:w="120"/>
              <w:bottom w:type="dxa" w:w="80"/>
              <w:right w:type="dxa" w:w="120"/>
            </w:tcMar>
          </w:tcPr>
          <w:p>
            <w:pPr>
              <w:spacing w:after="0" w:line="240"/>
            </w:pPr>
            <w:r>
              <w:rPr>
                <w:sz w:val="19"/>
                <w:szCs w:val="19"/>
              </w:rPr>
              <w:t xml:space="preserve">v2, LOBO-refit (unseen cell, known protocol)</w:t>
            </w:r>
          </w:p>
        </w:tc>
        <w:tc>
          <w:tcPr>
            <w:tcW w:type="dxa" w:w="1500"/>
            <w:tcMar>
              <w:top w:type="dxa" w:w="80"/>
              <w:left w:type="dxa" w:w="120"/>
              <w:bottom w:type="dxa" w:w="80"/>
              <w:right w:type="dxa" w:w="120"/>
            </w:tcMar>
          </w:tcPr>
          <w:p>
            <w:pPr>
              <w:spacing w:after="0" w:line="240"/>
              <w:jc w:val="right"/>
            </w:pPr>
            <w:r>
              <w:rPr>
                <w:sz w:val="19"/>
                <w:szCs w:val="19"/>
              </w:rPr>
              <w:t xml:space="preserve">0.841</w:t>
            </w:r>
          </w:p>
        </w:tc>
        <w:tc>
          <w:tcPr>
            <w:tcW w:type="dxa" w:w="1400"/>
            <w:tcMar>
              <w:top w:type="dxa" w:w="80"/>
              <w:left w:type="dxa" w:w="120"/>
              <w:bottom w:type="dxa" w:w="80"/>
              <w:right w:type="dxa" w:w="120"/>
            </w:tcMar>
          </w:tcPr>
          <w:p>
            <w:pPr>
              <w:spacing w:after="0" w:line="240"/>
              <w:jc w:val="right"/>
            </w:pPr>
            <w:r>
              <w:rPr>
                <w:sz w:val="19"/>
                <w:szCs w:val="19"/>
              </w:rPr>
              <w:t xml:space="preserve">0.0002</w:t>
            </w:r>
          </w:p>
        </w:tc>
        <w:tc>
          <w:tcPr>
            <w:tcW w:type="dxa" w:w="2260"/>
            <w:tcMar>
              <w:top w:type="dxa" w:w="80"/>
              <w:left w:type="dxa" w:w="120"/>
              <w:bottom w:type="dxa" w:w="80"/>
              <w:right w:type="dxa" w:w="120"/>
            </w:tcMar>
          </w:tcPr>
          <w:p>
            <w:pPr>
              <w:spacing w:after="0" w:line="240"/>
              <w:jc w:val="right"/>
            </w:pPr>
            <w:r>
              <w:rPr>
                <w:sz w:val="19"/>
                <w:szCs w:val="19"/>
              </w:rPr>
              <w:t xml:space="preserve">33</w:t>
            </w:r>
          </w:p>
        </w:tc>
      </w:tr>
      <w:tr>
        <w:tc>
          <w:tcPr>
            <w:tcW w:type="dxa" w:w="4200"/>
            <w:tcMar>
              <w:top w:type="dxa" w:w="80"/>
              <w:left w:type="dxa" w:w="120"/>
              <w:bottom w:type="dxa" w:w="80"/>
              <w:right w:type="dxa" w:w="120"/>
            </w:tcMar>
          </w:tcPr>
          <w:p>
            <w:pPr>
              <w:spacing w:after="0" w:line="240"/>
            </w:pPr>
            <w:r>
              <w:rPr>
                <w:sz w:val="19"/>
                <w:szCs w:val="19"/>
              </w:rPr>
              <w:t xml:space="preserve">v2, LOCO-refit (unseen protocol)</w:t>
            </w:r>
          </w:p>
        </w:tc>
        <w:tc>
          <w:tcPr>
            <w:tcW w:type="dxa" w:w="1500"/>
            <w:tcMar>
              <w:top w:type="dxa" w:w="80"/>
              <w:left w:type="dxa" w:w="120"/>
              <w:bottom w:type="dxa" w:w="80"/>
              <w:right w:type="dxa" w:w="120"/>
            </w:tcMar>
          </w:tcPr>
          <w:p>
            <w:pPr>
              <w:spacing w:after="0" w:line="240"/>
              <w:jc w:val="right"/>
            </w:pPr>
            <w:r>
              <w:rPr>
                <w:sz w:val="19"/>
                <w:szCs w:val="19"/>
              </w:rPr>
              <w:t xml:space="preserve">−0.295</w:t>
            </w:r>
          </w:p>
        </w:tc>
        <w:tc>
          <w:tcPr>
            <w:tcW w:type="dxa" w:w="1400"/>
            <w:tcMar>
              <w:top w:type="dxa" w:w="80"/>
              <w:left w:type="dxa" w:w="120"/>
              <w:bottom w:type="dxa" w:w="80"/>
              <w:right w:type="dxa" w:w="120"/>
            </w:tcMar>
          </w:tcPr>
          <w:p>
            <w:pPr>
              <w:spacing w:after="0" w:line="240"/>
              <w:jc w:val="right"/>
            </w:pPr>
            <w:r>
              <w:rPr>
                <w:sz w:val="19"/>
                <w:szCs w:val="19"/>
              </w:rPr>
              <w:t xml:space="preserve">0.097</w:t>
            </w:r>
          </w:p>
        </w:tc>
        <w:tc>
          <w:tcPr>
            <w:tcW w:type="dxa" w:w="2260"/>
            <w:tcMar>
              <w:top w:type="dxa" w:w="80"/>
              <w:left w:type="dxa" w:w="120"/>
              <w:bottom w:type="dxa" w:w="80"/>
              <w:right w:type="dxa" w:w="120"/>
            </w:tcMar>
          </w:tcPr>
          <w:p>
            <w:pPr>
              <w:spacing w:after="0" w:line="240"/>
              <w:jc w:val="right"/>
            </w:pPr>
            <w:r>
              <w:rPr>
                <w:sz w:val="19"/>
                <w:szCs w:val="19"/>
              </w:rPr>
              <w:t xml:space="preserve">33</w:t>
            </w:r>
          </w:p>
        </w:tc>
      </w:tr>
    </w:tbl>
    <w:p>
      <w:pPr>
        <w:spacing w:after="180"/>
      </w:pPr>
    </w:p>
    <w:p>
      <w:pPr>
        <w:spacing w:after="140" w:line="276"/>
      </w:pPr>
      <w:r>
        <w:rPr>
          <w:sz w:val="21"/>
          <w:szCs w:val="21"/>
        </w:rPr>
        <w:t xml:space="preserve">The in-sample row is inadmissible and shown only to make the gap visible: the shipped v2 coefficients include a fitted intercept per cohort estimated on these same cells, and fade rate varies strongly by cohort. Refitting inside each fold is what makes the remaining rows meaningful.</w:t>
      </w:r>
    </w:p>
    <w:tbl>
      <w:tblPr>
        <w:tblW w:type="dxa" w:w="9360"/>
        <w:tblBorders>
          <w:top w:val="single" w:color="DDE5DF" w:sz="2"/>
          <w:left w:val="single" w:color="B3261E" w:sz="18"/>
          <w:bottom w:val="single" w:color="DDE5DF" w:sz="2"/>
          <w:right w:val="single" w:color="DDE5DF" w:sz="2"/>
          <w:insideH w:val="none"/>
          <w:insideV w:val="none"/>
        </w:tblBorders>
      </w:tblPr>
      <w:tblGrid>
        <w:gridCol w:w="9360"/>
      </w:tblGrid>
      <w:tr>
        <w:tc>
          <w:tcPr>
            <w:tcW w:type="dxa" w:w="9360"/>
            <w:shd w:fill="FBF0EF" w:val="clear"/>
            <w:tcMar>
              <w:top w:type="dxa" w:w="140"/>
              <w:left w:type="dxa" w:w="200"/>
              <w:bottom w:type="dxa" w:w="140"/>
              <w:right w:type="dxa" w:w="200"/>
            </w:tcMar>
          </w:tcPr>
          <w:p>
            <w:pPr>
              <w:spacing w:after="0" w:line="276"/>
            </w:pPr>
            <w:r>
              <w:rPr>
                <w:b/>
                <w:bCs/>
                <w:sz w:val="21"/>
                <w:szCs w:val="21"/>
              </w:rPr>
              <w:t xml:space="preserve">ρ = 0.841 becomes ρ = −0.295 when the held-out axis changes from cell to protocol. Same model, same data, same features.</w:t>
            </w:r>
          </w:p>
        </w:tc>
      </w:tr>
    </w:tbl>
    <w:p>
      <w:pPr>
        <w:spacing w:after="180"/>
      </w:pPr>
    </w:p>
    <w:p>
      <w:pPr>
        <w:pStyle w:val="Heading3"/>
        <w:spacing w:after="120" w:before="260"/>
      </w:pPr>
      <w:r>
        <w:rPr>
          <w:b/>
          <w:bCs/>
          <w:color w:val="2F3B4D"/>
          <w:sz w:val="23"/>
          <w:szCs w:val="23"/>
        </w:rPr>
        <w:t xml:space="preserve">12.2 Selecting on LOBO selects the wrong model</w:t>
      </w:r>
    </w:p>
    <w:p>
      <w:pPr>
        <w:spacing w:after="140" w:line="276"/>
      </w:pPr>
      <w:r>
        <w:rPr>
          <w:sz w:val="21"/>
          <w:szCs w:val="21"/>
        </w:rPr>
        <w:t xml:space="preserve">Twelve published methods, including a genuine XGBoost and a genuine LSTM over ten consecutive cycles per cell, were evaluated under both protocols. LOBO rank carries essentially no information about LOCO rank: ρ = +0.084, p = 0.795, n = 12. Selecting a method by LOBO costs 0.309 R² relative to selecting by LOCO.</w:t>
      </w:r>
    </w:p>
    <w:p>
      <w:pPr>
        <w:pStyle w:val="Heading2"/>
        <w:spacing w:after="160" w:before="360"/>
      </w:pPr>
      <w:r>
        <w:rPr>
          <w:b/>
          <w:bCs/>
          <w:color w:val="111826"/>
          <w:sz w:val="28"/>
          <w:szCs w:val="28"/>
        </w:rPr>
        <w:t xml:space="preserve">13. Benchmark Results</w:t>
      </w:r>
    </w:p>
    <w:p>
      <w:pPr>
        <w:spacing w:after="140" w:line="276"/>
      </w:pPr>
      <w:r>
        <w:rPr>
          <w:sz w:val="21"/>
          <w:szCs w:val="21"/>
        </w:rPr>
        <w:t xml:space="preserve">Target soh, 2,585 rows, 31 cells, 9 cohorts, ceiling 0.569. Sorted by LOCO R².</w:t>
      </w:r>
    </w:p>
    <w:tbl>
      <w:tblPr>
        <w:tblW w:type="dxa" w:w="9360"/>
        <w:tblBorders>
          <w:top w:val="single" w:color="B9C2CE" w:sz="4"/>
          <w:left w:val="none"/>
          <w:bottom w:val="single" w:color="B9C2CE" w:sz="4"/>
          <w:right w:val="none"/>
          <w:insideH w:val="single" w:color="E1E6EC" w:sz="2"/>
          <w:insideV w:val="none"/>
        </w:tblBorders>
      </w:tblPr>
      <w:tblGrid>
        <w:gridCol w:w="2760"/>
        <w:gridCol w:w="1320"/>
        <w:gridCol w:w="1320"/>
        <w:gridCol w:w="1320"/>
        <w:gridCol w:w="1320"/>
        <w:gridCol w:w="1320"/>
      </w:tblGrid>
      <w:tr>
        <w:trPr>
          <w:tblHeader/>
        </w:trPr>
        <w:tc>
          <w:tcPr>
            <w:tcW w:type="dxa" w:w="2760"/>
            <w:shd w:fill="EEF2F6" w:val="clear"/>
            <w:tcMar>
              <w:top w:type="dxa" w:w="80"/>
              <w:left w:type="dxa" w:w="120"/>
              <w:bottom w:type="dxa" w:w="80"/>
              <w:right w:type="dxa" w:w="120"/>
            </w:tcMar>
          </w:tcPr>
          <w:p>
            <w:pPr>
              <w:spacing w:after="0" w:line="240"/>
            </w:pPr>
            <w:r>
              <w:rPr>
                <w:b/>
                <w:bCs/>
                <w:sz w:val="19"/>
                <w:szCs w:val="19"/>
              </w:rPr>
              <w:t xml:space="preserve">Method</w:t>
            </w:r>
          </w:p>
        </w:tc>
        <w:tc>
          <w:tcPr>
            <w:tcW w:type="dxa" w:w="1320"/>
            <w:shd w:fill="EEF2F6" w:val="clear"/>
            <w:tcMar>
              <w:top w:type="dxa" w:w="80"/>
              <w:left w:type="dxa" w:w="120"/>
              <w:bottom w:type="dxa" w:w="80"/>
              <w:right w:type="dxa" w:w="120"/>
            </w:tcMar>
          </w:tcPr>
          <w:p>
            <w:pPr>
              <w:spacing w:after="0" w:line="240"/>
              <w:jc w:val="right"/>
            </w:pPr>
            <w:r>
              <w:rPr>
                <w:b/>
                <w:bCs/>
                <w:sz w:val="19"/>
                <w:szCs w:val="19"/>
              </w:rPr>
              <w:t xml:space="preserve">LOBO MAE</w:t>
            </w:r>
          </w:p>
        </w:tc>
        <w:tc>
          <w:tcPr>
            <w:tcW w:type="dxa" w:w="1320"/>
            <w:shd w:fill="EEF2F6" w:val="clear"/>
            <w:tcMar>
              <w:top w:type="dxa" w:w="80"/>
              <w:left w:type="dxa" w:w="120"/>
              <w:bottom w:type="dxa" w:w="80"/>
              <w:right w:type="dxa" w:w="120"/>
            </w:tcMar>
          </w:tcPr>
          <w:p>
            <w:pPr>
              <w:spacing w:after="0" w:line="240"/>
              <w:jc w:val="right"/>
            </w:pPr>
            <w:r>
              <w:rPr>
                <w:b/>
                <w:bCs/>
                <w:sz w:val="19"/>
                <w:szCs w:val="19"/>
              </w:rPr>
              <w:t xml:space="preserve">LOCO MAE</w:t>
            </w:r>
          </w:p>
        </w:tc>
        <w:tc>
          <w:tcPr>
            <w:tcW w:type="dxa" w:w="1320"/>
            <w:shd w:fill="EEF2F6" w:val="clear"/>
            <w:tcMar>
              <w:top w:type="dxa" w:w="80"/>
              <w:left w:type="dxa" w:w="120"/>
              <w:bottom w:type="dxa" w:w="80"/>
              <w:right w:type="dxa" w:w="120"/>
            </w:tcMar>
          </w:tcPr>
          <w:p>
            <w:pPr>
              <w:spacing w:after="0" w:line="240"/>
              <w:jc w:val="right"/>
            </w:pPr>
            <w:r>
              <w:rPr>
                <w:b/>
                <w:bCs/>
                <w:sz w:val="19"/>
                <w:szCs w:val="19"/>
              </w:rPr>
              <w:t xml:space="preserve">LOBO R²</w:t>
            </w:r>
          </w:p>
        </w:tc>
        <w:tc>
          <w:tcPr>
            <w:tcW w:type="dxa" w:w="1320"/>
            <w:shd w:fill="EEF2F6" w:val="clear"/>
            <w:tcMar>
              <w:top w:type="dxa" w:w="80"/>
              <w:left w:type="dxa" w:w="120"/>
              <w:bottom w:type="dxa" w:w="80"/>
              <w:right w:type="dxa" w:w="120"/>
            </w:tcMar>
          </w:tcPr>
          <w:p>
            <w:pPr>
              <w:spacing w:after="0" w:line="240"/>
              <w:jc w:val="right"/>
            </w:pPr>
            <w:r>
              <w:rPr>
                <w:b/>
                <w:bCs/>
                <w:sz w:val="19"/>
                <w:szCs w:val="19"/>
              </w:rPr>
              <w:t xml:space="preserve">LOCO R²</w:t>
            </w:r>
          </w:p>
        </w:tc>
        <w:tc>
          <w:tcPr>
            <w:tcW w:type="dxa" w:w="1320"/>
            <w:shd w:fill="EEF2F6" w:val="clear"/>
            <w:tcMar>
              <w:top w:type="dxa" w:w="80"/>
              <w:left w:type="dxa" w:w="120"/>
              <w:bottom w:type="dxa" w:w="80"/>
              <w:right w:type="dxa" w:w="120"/>
            </w:tcMar>
          </w:tcPr>
          <w:p>
            <w:pPr>
              <w:spacing w:after="0" w:line="240"/>
              <w:jc w:val="right"/>
            </w:pPr>
            <w:r>
              <w:rPr>
                <w:b/>
                <w:bCs/>
                <w:sz w:val="19"/>
                <w:szCs w:val="19"/>
              </w:rPr>
              <w:t xml:space="preserve">Δ</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xgboost</w:t>
            </w:r>
          </w:p>
        </w:tc>
        <w:tc>
          <w:tcPr>
            <w:tcW w:type="dxa" w:w="1320"/>
            <w:tcMar>
              <w:top w:type="dxa" w:w="80"/>
              <w:left w:type="dxa" w:w="120"/>
              <w:bottom w:type="dxa" w:w="80"/>
              <w:right w:type="dxa" w:w="120"/>
            </w:tcMar>
          </w:tcPr>
          <w:p>
            <w:pPr>
              <w:spacing w:after="0" w:line="240"/>
              <w:jc w:val="right"/>
            </w:pPr>
            <w:r>
              <w:rPr>
                <w:sz w:val="19"/>
                <w:szCs w:val="19"/>
              </w:rPr>
              <w:t xml:space="preserve">4.21%</w:t>
            </w:r>
          </w:p>
        </w:tc>
        <w:tc>
          <w:tcPr>
            <w:tcW w:type="dxa" w:w="1320"/>
            <w:tcMar>
              <w:top w:type="dxa" w:w="80"/>
              <w:left w:type="dxa" w:w="120"/>
              <w:bottom w:type="dxa" w:w="80"/>
              <w:right w:type="dxa" w:w="120"/>
            </w:tcMar>
          </w:tcPr>
          <w:p>
            <w:pPr>
              <w:spacing w:after="0" w:line="240"/>
              <w:jc w:val="right"/>
            </w:pPr>
            <w:r>
              <w:rPr>
                <w:sz w:val="19"/>
                <w:szCs w:val="19"/>
              </w:rPr>
              <w:t xml:space="preserve">7.62%</w:t>
            </w:r>
          </w:p>
        </w:tc>
        <w:tc>
          <w:tcPr>
            <w:tcW w:type="dxa" w:w="1320"/>
            <w:tcMar>
              <w:top w:type="dxa" w:w="80"/>
              <w:left w:type="dxa" w:w="120"/>
              <w:bottom w:type="dxa" w:w="80"/>
              <w:right w:type="dxa" w:w="120"/>
            </w:tcMar>
          </w:tcPr>
          <w:p>
            <w:pPr>
              <w:spacing w:after="0" w:line="240"/>
              <w:jc w:val="right"/>
            </w:pPr>
            <w:r>
              <w:rPr>
                <w:sz w:val="19"/>
                <w:szCs w:val="19"/>
              </w:rPr>
              <w:t xml:space="preserve">0.732</w:t>
            </w:r>
          </w:p>
        </w:tc>
        <w:tc>
          <w:tcPr>
            <w:tcW w:type="dxa" w:w="1320"/>
            <w:tcMar>
              <w:top w:type="dxa" w:w="80"/>
              <w:left w:type="dxa" w:w="120"/>
              <w:bottom w:type="dxa" w:w="80"/>
              <w:right w:type="dxa" w:w="120"/>
            </w:tcMar>
          </w:tcPr>
          <w:p>
            <w:pPr>
              <w:spacing w:after="0" w:line="240"/>
              <w:jc w:val="right"/>
            </w:pPr>
            <w:r>
              <w:rPr>
                <w:sz w:val="19"/>
                <w:szCs w:val="19"/>
              </w:rPr>
              <w:t xml:space="preserve">0.459</w:t>
            </w:r>
          </w:p>
        </w:tc>
        <w:tc>
          <w:tcPr>
            <w:tcW w:type="dxa" w:w="1320"/>
            <w:tcMar>
              <w:top w:type="dxa" w:w="80"/>
              <w:left w:type="dxa" w:w="120"/>
              <w:bottom w:type="dxa" w:w="80"/>
              <w:right w:type="dxa" w:w="120"/>
            </w:tcMar>
          </w:tcPr>
          <w:p>
            <w:pPr>
              <w:spacing w:after="0" w:line="240"/>
              <w:jc w:val="right"/>
            </w:pPr>
            <w:r>
              <w:rPr>
                <w:sz w:val="19"/>
                <w:szCs w:val="19"/>
              </w:rPr>
              <w:t xml:space="preserve">−0.273</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age_linear</w:t>
            </w:r>
          </w:p>
        </w:tc>
        <w:tc>
          <w:tcPr>
            <w:tcW w:type="dxa" w:w="1320"/>
            <w:tcMar>
              <w:top w:type="dxa" w:w="80"/>
              <w:left w:type="dxa" w:w="120"/>
              <w:bottom w:type="dxa" w:w="80"/>
              <w:right w:type="dxa" w:w="120"/>
            </w:tcMar>
          </w:tcPr>
          <w:p>
            <w:pPr>
              <w:spacing w:after="0" w:line="240"/>
              <w:jc w:val="right"/>
            </w:pPr>
            <w:r>
              <w:rPr>
                <w:sz w:val="19"/>
                <w:szCs w:val="19"/>
              </w:rPr>
              <w:t xml:space="preserve">8.54%</w:t>
            </w:r>
          </w:p>
        </w:tc>
        <w:tc>
          <w:tcPr>
            <w:tcW w:type="dxa" w:w="1320"/>
            <w:tcMar>
              <w:top w:type="dxa" w:w="80"/>
              <w:left w:type="dxa" w:w="120"/>
              <w:bottom w:type="dxa" w:w="80"/>
              <w:right w:type="dxa" w:w="120"/>
            </w:tcMar>
          </w:tcPr>
          <w:p>
            <w:pPr>
              <w:spacing w:after="0" w:line="240"/>
              <w:jc w:val="right"/>
            </w:pPr>
            <w:r>
              <w:rPr>
                <w:sz w:val="19"/>
                <w:szCs w:val="19"/>
              </w:rPr>
              <w:t xml:space="preserve">10.71%</w:t>
            </w:r>
          </w:p>
        </w:tc>
        <w:tc>
          <w:tcPr>
            <w:tcW w:type="dxa" w:w="1320"/>
            <w:tcMar>
              <w:top w:type="dxa" w:w="80"/>
              <w:left w:type="dxa" w:w="120"/>
              <w:bottom w:type="dxa" w:w="80"/>
              <w:right w:type="dxa" w:w="120"/>
            </w:tcMar>
          </w:tcPr>
          <w:p>
            <w:pPr>
              <w:spacing w:after="0" w:line="240"/>
              <w:jc w:val="right"/>
            </w:pPr>
            <w:r>
              <w:rPr>
                <w:sz w:val="19"/>
                <w:szCs w:val="19"/>
              </w:rPr>
              <w:t xml:space="preserve">0.483</w:t>
            </w:r>
          </w:p>
        </w:tc>
        <w:tc>
          <w:tcPr>
            <w:tcW w:type="dxa" w:w="1320"/>
            <w:tcMar>
              <w:top w:type="dxa" w:w="80"/>
              <w:left w:type="dxa" w:w="120"/>
              <w:bottom w:type="dxa" w:w="80"/>
              <w:right w:type="dxa" w:w="120"/>
            </w:tcMar>
          </w:tcPr>
          <w:p>
            <w:pPr>
              <w:spacing w:after="0" w:line="240"/>
              <w:jc w:val="right"/>
            </w:pPr>
            <w:r>
              <w:rPr>
                <w:sz w:val="19"/>
                <w:szCs w:val="19"/>
              </w:rPr>
              <w:t xml:space="preserve">0.406</w:t>
            </w:r>
          </w:p>
        </w:tc>
        <w:tc>
          <w:tcPr>
            <w:tcW w:type="dxa" w:w="1320"/>
            <w:tcMar>
              <w:top w:type="dxa" w:w="80"/>
              <w:left w:type="dxa" w:w="120"/>
              <w:bottom w:type="dxa" w:w="80"/>
              <w:right w:type="dxa" w:w="120"/>
            </w:tcMar>
          </w:tcPr>
          <w:p>
            <w:pPr>
              <w:spacing w:after="0" w:line="240"/>
              <w:jc w:val="right"/>
            </w:pPr>
            <w:r>
              <w:rPr>
                <w:sz w:val="19"/>
                <w:szCs w:val="19"/>
              </w:rPr>
              <w:t xml:space="preserve">−0.076</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elasticnet</w:t>
            </w:r>
          </w:p>
        </w:tc>
        <w:tc>
          <w:tcPr>
            <w:tcW w:type="dxa" w:w="1320"/>
            <w:tcMar>
              <w:top w:type="dxa" w:w="80"/>
              <w:left w:type="dxa" w:w="120"/>
              <w:bottom w:type="dxa" w:w="80"/>
              <w:right w:type="dxa" w:w="120"/>
            </w:tcMar>
          </w:tcPr>
          <w:p>
            <w:pPr>
              <w:spacing w:after="0" w:line="240"/>
              <w:jc w:val="right"/>
            </w:pPr>
            <w:r>
              <w:rPr>
                <w:sz w:val="19"/>
                <w:szCs w:val="19"/>
              </w:rPr>
              <w:t xml:space="preserve">7.61%</w:t>
            </w:r>
          </w:p>
        </w:tc>
        <w:tc>
          <w:tcPr>
            <w:tcW w:type="dxa" w:w="1320"/>
            <w:tcMar>
              <w:top w:type="dxa" w:w="80"/>
              <w:left w:type="dxa" w:w="120"/>
              <w:bottom w:type="dxa" w:w="80"/>
              <w:right w:type="dxa" w:w="120"/>
            </w:tcMar>
          </w:tcPr>
          <w:p>
            <w:pPr>
              <w:spacing w:after="0" w:line="240"/>
              <w:jc w:val="right"/>
            </w:pPr>
            <w:r>
              <w:rPr>
                <w:sz w:val="19"/>
                <w:szCs w:val="19"/>
              </w:rPr>
              <w:t xml:space="preserve">10.31%</w:t>
            </w:r>
          </w:p>
        </w:tc>
        <w:tc>
          <w:tcPr>
            <w:tcW w:type="dxa" w:w="1320"/>
            <w:tcMar>
              <w:top w:type="dxa" w:w="80"/>
              <w:left w:type="dxa" w:w="120"/>
              <w:bottom w:type="dxa" w:w="80"/>
              <w:right w:type="dxa" w:w="120"/>
            </w:tcMar>
          </w:tcPr>
          <w:p>
            <w:pPr>
              <w:spacing w:after="0" w:line="240"/>
              <w:jc w:val="right"/>
            </w:pPr>
            <w:r>
              <w:rPr>
                <w:sz w:val="19"/>
                <w:szCs w:val="19"/>
              </w:rPr>
              <w:t xml:space="preserve">0.609</w:t>
            </w:r>
          </w:p>
        </w:tc>
        <w:tc>
          <w:tcPr>
            <w:tcW w:type="dxa" w:w="1320"/>
            <w:tcMar>
              <w:top w:type="dxa" w:w="80"/>
              <w:left w:type="dxa" w:w="120"/>
              <w:bottom w:type="dxa" w:w="80"/>
              <w:right w:type="dxa" w:w="120"/>
            </w:tcMar>
          </w:tcPr>
          <w:p>
            <w:pPr>
              <w:spacing w:after="0" w:line="240"/>
              <w:jc w:val="right"/>
            </w:pPr>
            <w:r>
              <w:rPr>
                <w:sz w:val="19"/>
                <w:szCs w:val="19"/>
              </w:rPr>
              <w:t xml:space="preserve">0.355</w:t>
            </w:r>
          </w:p>
        </w:tc>
        <w:tc>
          <w:tcPr>
            <w:tcW w:type="dxa" w:w="1320"/>
            <w:tcMar>
              <w:top w:type="dxa" w:w="80"/>
              <w:left w:type="dxa" w:w="120"/>
              <w:bottom w:type="dxa" w:w="80"/>
              <w:right w:type="dxa" w:w="120"/>
            </w:tcMar>
          </w:tcPr>
          <w:p>
            <w:pPr>
              <w:spacing w:after="0" w:line="240"/>
              <w:jc w:val="right"/>
            </w:pPr>
            <w:r>
              <w:rPr>
                <w:sz w:val="19"/>
                <w:szCs w:val="19"/>
              </w:rPr>
              <w:t xml:space="preserve">−0.254</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gpr_matern</w:t>
            </w:r>
          </w:p>
        </w:tc>
        <w:tc>
          <w:tcPr>
            <w:tcW w:type="dxa" w:w="1320"/>
            <w:tcMar>
              <w:top w:type="dxa" w:w="80"/>
              <w:left w:type="dxa" w:w="120"/>
              <w:bottom w:type="dxa" w:w="80"/>
              <w:right w:type="dxa" w:w="120"/>
            </w:tcMar>
          </w:tcPr>
          <w:p>
            <w:pPr>
              <w:spacing w:after="0" w:line="240"/>
              <w:jc w:val="right"/>
            </w:pPr>
            <w:r>
              <w:rPr>
                <w:sz w:val="19"/>
                <w:szCs w:val="19"/>
              </w:rPr>
              <w:t xml:space="preserve">4.48%</w:t>
            </w:r>
          </w:p>
        </w:tc>
        <w:tc>
          <w:tcPr>
            <w:tcW w:type="dxa" w:w="1320"/>
            <w:tcMar>
              <w:top w:type="dxa" w:w="80"/>
              <w:left w:type="dxa" w:w="120"/>
              <w:bottom w:type="dxa" w:w="80"/>
              <w:right w:type="dxa" w:w="120"/>
            </w:tcMar>
          </w:tcPr>
          <w:p>
            <w:pPr>
              <w:spacing w:after="0" w:line="240"/>
              <w:jc w:val="right"/>
            </w:pPr>
            <w:r>
              <w:rPr>
                <w:sz w:val="19"/>
                <w:szCs w:val="19"/>
              </w:rPr>
              <w:t xml:space="preserve">17.06%</w:t>
            </w:r>
          </w:p>
        </w:tc>
        <w:tc>
          <w:tcPr>
            <w:tcW w:type="dxa" w:w="1320"/>
            <w:tcMar>
              <w:top w:type="dxa" w:w="80"/>
              <w:left w:type="dxa" w:w="120"/>
              <w:bottom w:type="dxa" w:w="80"/>
              <w:right w:type="dxa" w:w="120"/>
            </w:tcMar>
          </w:tcPr>
          <w:p>
            <w:pPr>
              <w:spacing w:after="0" w:line="240"/>
              <w:jc w:val="right"/>
            </w:pPr>
            <w:r>
              <w:rPr>
                <w:sz w:val="19"/>
                <w:szCs w:val="19"/>
              </w:rPr>
              <w:t xml:space="preserve">0.725</w:t>
            </w:r>
          </w:p>
        </w:tc>
        <w:tc>
          <w:tcPr>
            <w:tcW w:type="dxa" w:w="1320"/>
            <w:tcMar>
              <w:top w:type="dxa" w:w="80"/>
              <w:left w:type="dxa" w:w="120"/>
              <w:bottom w:type="dxa" w:w="80"/>
              <w:right w:type="dxa" w:w="120"/>
            </w:tcMar>
          </w:tcPr>
          <w:p>
            <w:pPr>
              <w:spacing w:after="0" w:line="240"/>
              <w:jc w:val="right"/>
            </w:pPr>
            <w:r>
              <w:rPr>
                <w:sz w:val="19"/>
                <w:szCs w:val="19"/>
              </w:rPr>
              <w:t xml:space="preserve">0.207</w:t>
            </w:r>
          </w:p>
        </w:tc>
        <w:tc>
          <w:tcPr>
            <w:tcW w:type="dxa" w:w="1320"/>
            <w:tcMar>
              <w:top w:type="dxa" w:w="80"/>
              <w:left w:type="dxa" w:w="120"/>
              <w:bottom w:type="dxa" w:w="80"/>
              <w:right w:type="dxa" w:w="120"/>
            </w:tcMar>
          </w:tcPr>
          <w:p>
            <w:pPr>
              <w:spacing w:after="0" w:line="240"/>
              <w:jc w:val="right"/>
            </w:pPr>
            <w:r>
              <w:rPr>
                <w:sz w:val="19"/>
                <w:szCs w:val="19"/>
              </w:rPr>
              <w:t xml:space="preserve">−0.518</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random_forest</w:t>
            </w:r>
          </w:p>
        </w:tc>
        <w:tc>
          <w:tcPr>
            <w:tcW w:type="dxa" w:w="1320"/>
            <w:tcMar>
              <w:top w:type="dxa" w:w="80"/>
              <w:left w:type="dxa" w:w="120"/>
              <w:bottom w:type="dxa" w:w="80"/>
              <w:right w:type="dxa" w:w="120"/>
            </w:tcMar>
          </w:tcPr>
          <w:p>
            <w:pPr>
              <w:spacing w:after="0" w:line="240"/>
              <w:jc w:val="right"/>
            </w:pPr>
            <w:r>
              <w:rPr>
                <w:sz w:val="19"/>
                <w:szCs w:val="19"/>
              </w:rPr>
              <w:t xml:space="preserve">4.90%</w:t>
            </w:r>
          </w:p>
        </w:tc>
        <w:tc>
          <w:tcPr>
            <w:tcW w:type="dxa" w:w="1320"/>
            <w:tcMar>
              <w:top w:type="dxa" w:w="80"/>
              <w:left w:type="dxa" w:w="120"/>
              <w:bottom w:type="dxa" w:w="80"/>
              <w:right w:type="dxa" w:w="120"/>
            </w:tcMar>
          </w:tcPr>
          <w:p>
            <w:pPr>
              <w:spacing w:after="0" w:line="240"/>
              <w:jc w:val="right"/>
            </w:pPr>
            <w:r>
              <w:rPr>
                <w:sz w:val="19"/>
                <w:szCs w:val="19"/>
              </w:rPr>
              <w:t xml:space="preserve">10.67%</w:t>
            </w:r>
          </w:p>
        </w:tc>
        <w:tc>
          <w:tcPr>
            <w:tcW w:type="dxa" w:w="1320"/>
            <w:tcMar>
              <w:top w:type="dxa" w:w="80"/>
              <w:left w:type="dxa" w:w="120"/>
              <w:bottom w:type="dxa" w:w="80"/>
              <w:right w:type="dxa" w:w="120"/>
            </w:tcMar>
          </w:tcPr>
          <w:p>
            <w:pPr>
              <w:spacing w:after="0" w:line="240"/>
              <w:jc w:val="right"/>
            </w:pPr>
            <w:r>
              <w:rPr>
                <w:sz w:val="19"/>
                <w:szCs w:val="19"/>
              </w:rPr>
              <w:t xml:space="preserve">0.773</w:t>
            </w:r>
          </w:p>
        </w:tc>
        <w:tc>
          <w:tcPr>
            <w:tcW w:type="dxa" w:w="1320"/>
            <w:tcMar>
              <w:top w:type="dxa" w:w="80"/>
              <w:left w:type="dxa" w:w="120"/>
              <w:bottom w:type="dxa" w:w="80"/>
              <w:right w:type="dxa" w:w="120"/>
            </w:tcMar>
          </w:tcPr>
          <w:p>
            <w:pPr>
              <w:spacing w:after="0" w:line="240"/>
              <w:jc w:val="right"/>
            </w:pPr>
            <w:r>
              <w:rPr>
                <w:sz w:val="19"/>
                <w:szCs w:val="19"/>
              </w:rPr>
              <w:t xml:space="preserve">0.150</w:t>
            </w:r>
          </w:p>
        </w:tc>
        <w:tc>
          <w:tcPr>
            <w:tcW w:type="dxa" w:w="1320"/>
            <w:tcMar>
              <w:top w:type="dxa" w:w="80"/>
              <w:left w:type="dxa" w:w="120"/>
              <w:bottom w:type="dxa" w:w="80"/>
              <w:right w:type="dxa" w:w="120"/>
            </w:tcMar>
          </w:tcPr>
          <w:p>
            <w:pPr>
              <w:spacing w:after="0" w:line="240"/>
              <w:jc w:val="right"/>
            </w:pPr>
            <w:r>
              <w:rPr>
                <w:sz w:val="19"/>
                <w:szCs w:val="19"/>
              </w:rPr>
              <w:t xml:space="preserve">−0.623</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svr_rbf</w:t>
            </w:r>
          </w:p>
        </w:tc>
        <w:tc>
          <w:tcPr>
            <w:tcW w:type="dxa" w:w="1320"/>
            <w:tcMar>
              <w:top w:type="dxa" w:w="80"/>
              <w:left w:type="dxa" w:w="120"/>
              <w:bottom w:type="dxa" w:w="80"/>
              <w:right w:type="dxa" w:w="120"/>
            </w:tcMar>
          </w:tcPr>
          <w:p>
            <w:pPr>
              <w:spacing w:after="0" w:line="240"/>
              <w:jc w:val="right"/>
            </w:pPr>
            <w:r>
              <w:rPr>
                <w:sz w:val="19"/>
                <w:szCs w:val="19"/>
              </w:rPr>
              <w:t xml:space="preserve">6.91%</w:t>
            </w:r>
          </w:p>
        </w:tc>
        <w:tc>
          <w:tcPr>
            <w:tcW w:type="dxa" w:w="1320"/>
            <w:tcMar>
              <w:top w:type="dxa" w:w="80"/>
              <w:left w:type="dxa" w:w="120"/>
              <w:bottom w:type="dxa" w:w="80"/>
              <w:right w:type="dxa" w:w="120"/>
            </w:tcMar>
          </w:tcPr>
          <w:p>
            <w:pPr>
              <w:spacing w:after="0" w:line="240"/>
              <w:jc w:val="right"/>
            </w:pPr>
            <w:r>
              <w:rPr>
                <w:sz w:val="19"/>
                <w:szCs w:val="19"/>
              </w:rPr>
              <w:t xml:space="preserve">14.29%</w:t>
            </w:r>
          </w:p>
        </w:tc>
        <w:tc>
          <w:tcPr>
            <w:tcW w:type="dxa" w:w="1320"/>
            <w:tcMar>
              <w:top w:type="dxa" w:w="80"/>
              <w:left w:type="dxa" w:w="120"/>
              <w:bottom w:type="dxa" w:w="80"/>
              <w:right w:type="dxa" w:w="120"/>
            </w:tcMar>
          </w:tcPr>
          <w:p>
            <w:pPr>
              <w:spacing w:after="0" w:line="240"/>
              <w:jc w:val="right"/>
            </w:pPr>
            <w:r>
              <w:rPr>
                <w:sz w:val="19"/>
                <w:szCs w:val="19"/>
              </w:rPr>
              <w:t xml:space="preserve">0.651</w:t>
            </w:r>
          </w:p>
        </w:tc>
        <w:tc>
          <w:tcPr>
            <w:tcW w:type="dxa" w:w="1320"/>
            <w:tcMar>
              <w:top w:type="dxa" w:w="80"/>
              <w:left w:type="dxa" w:w="120"/>
              <w:bottom w:type="dxa" w:w="80"/>
              <w:right w:type="dxa" w:w="120"/>
            </w:tcMar>
          </w:tcPr>
          <w:p>
            <w:pPr>
              <w:spacing w:after="0" w:line="240"/>
              <w:jc w:val="right"/>
            </w:pPr>
            <w:r>
              <w:rPr>
                <w:sz w:val="19"/>
                <w:szCs w:val="19"/>
              </w:rPr>
              <w:t xml:space="preserve">0.087</w:t>
            </w:r>
          </w:p>
        </w:tc>
        <w:tc>
          <w:tcPr>
            <w:tcW w:type="dxa" w:w="1320"/>
            <w:tcMar>
              <w:top w:type="dxa" w:w="80"/>
              <w:left w:type="dxa" w:w="120"/>
              <w:bottom w:type="dxa" w:w="80"/>
              <w:right w:type="dxa" w:w="120"/>
            </w:tcMar>
          </w:tcPr>
          <w:p>
            <w:pPr>
              <w:spacing w:after="0" w:line="240"/>
              <w:jc w:val="right"/>
            </w:pPr>
            <w:r>
              <w:rPr>
                <w:sz w:val="19"/>
                <w:szCs w:val="19"/>
              </w:rPr>
              <w:t xml:space="preserve">−0.564</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age_quadratic</w:t>
            </w:r>
          </w:p>
        </w:tc>
        <w:tc>
          <w:tcPr>
            <w:tcW w:type="dxa" w:w="1320"/>
            <w:tcMar>
              <w:top w:type="dxa" w:w="80"/>
              <w:left w:type="dxa" w:w="120"/>
              <w:bottom w:type="dxa" w:w="80"/>
              <w:right w:type="dxa" w:w="120"/>
            </w:tcMar>
          </w:tcPr>
          <w:p>
            <w:pPr>
              <w:spacing w:after="0" w:line="240"/>
              <w:jc w:val="right"/>
            </w:pPr>
            <w:r>
              <w:rPr>
                <w:sz w:val="19"/>
                <w:szCs w:val="19"/>
              </w:rPr>
              <w:t xml:space="preserve">6.62%</w:t>
            </w:r>
          </w:p>
        </w:tc>
        <w:tc>
          <w:tcPr>
            <w:tcW w:type="dxa" w:w="1320"/>
            <w:tcMar>
              <w:top w:type="dxa" w:w="80"/>
              <w:left w:type="dxa" w:w="120"/>
              <w:bottom w:type="dxa" w:w="80"/>
              <w:right w:type="dxa" w:w="120"/>
            </w:tcMar>
          </w:tcPr>
          <w:p>
            <w:pPr>
              <w:spacing w:after="0" w:line="240"/>
              <w:jc w:val="right"/>
            </w:pPr>
            <w:r>
              <w:rPr>
                <w:sz w:val="19"/>
                <w:szCs w:val="19"/>
              </w:rPr>
              <w:t xml:space="preserve">8.31%</w:t>
            </w:r>
          </w:p>
        </w:tc>
        <w:tc>
          <w:tcPr>
            <w:tcW w:type="dxa" w:w="1320"/>
            <w:tcMar>
              <w:top w:type="dxa" w:w="80"/>
              <w:left w:type="dxa" w:w="120"/>
              <w:bottom w:type="dxa" w:w="80"/>
              <w:right w:type="dxa" w:w="120"/>
            </w:tcMar>
          </w:tcPr>
          <w:p>
            <w:pPr>
              <w:spacing w:after="0" w:line="240"/>
              <w:jc w:val="right"/>
            </w:pPr>
            <w:r>
              <w:rPr>
                <w:sz w:val="19"/>
                <w:szCs w:val="19"/>
              </w:rPr>
              <w:t xml:space="preserve">0.336</w:t>
            </w:r>
          </w:p>
        </w:tc>
        <w:tc>
          <w:tcPr>
            <w:tcW w:type="dxa" w:w="1320"/>
            <w:tcMar>
              <w:top w:type="dxa" w:w="80"/>
              <w:left w:type="dxa" w:w="120"/>
              <w:bottom w:type="dxa" w:w="80"/>
              <w:right w:type="dxa" w:w="120"/>
            </w:tcMar>
          </w:tcPr>
          <w:p>
            <w:pPr>
              <w:spacing w:after="0" w:line="240"/>
              <w:jc w:val="right"/>
            </w:pPr>
            <w:r>
              <w:rPr>
                <w:sz w:val="19"/>
                <w:szCs w:val="19"/>
              </w:rPr>
              <w:t xml:space="preserve">0.034</w:t>
            </w:r>
          </w:p>
        </w:tc>
        <w:tc>
          <w:tcPr>
            <w:tcW w:type="dxa" w:w="1320"/>
            <w:tcMar>
              <w:top w:type="dxa" w:w="80"/>
              <w:left w:type="dxa" w:w="120"/>
              <w:bottom w:type="dxa" w:w="80"/>
              <w:right w:type="dxa" w:w="120"/>
            </w:tcMar>
          </w:tcPr>
          <w:p>
            <w:pPr>
              <w:spacing w:after="0" w:line="240"/>
              <w:jc w:val="right"/>
            </w:pPr>
            <w:r>
              <w:rPr>
                <w:sz w:val="19"/>
                <w:szCs w:val="19"/>
              </w:rPr>
              <w:t xml:space="preserve">−0.301</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age_isotonic</w:t>
            </w:r>
          </w:p>
        </w:tc>
        <w:tc>
          <w:tcPr>
            <w:tcW w:type="dxa" w:w="1320"/>
            <w:tcMar>
              <w:top w:type="dxa" w:w="80"/>
              <w:left w:type="dxa" w:w="120"/>
              <w:bottom w:type="dxa" w:w="80"/>
              <w:right w:type="dxa" w:w="120"/>
            </w:tcMar>
          </w:tcPr>
          <w:p>
            <w:pPr>
              <w:spacing w:after="0" w:line="240"/>
              <w:jc w:val="right"/>
            </w:pPr>
            <w:r>
              <w:rPr>
                <w:sz w:val="19"/>
                <w:szCs w:val="19"/>
              </w:rPr>
              <w:t xml:space="preserve">6.99%</w:t>
            </w:r>
          </w:p>
        </w:tc>
        <w:tc>
          <w:tcPr>
            <w:tcW w:type="dxa" w:w="1320"/>
            <w:tcMar>
              <w:top w:type="dxa" w:w="80"/>
              <w:left w:type="dxa" w:w="120"/>
              <w:bottom w:type="dxa" w:w="80"/>
              <w:right w:type="dxa" w:w="120"/>
            </w:tcMar>
          </w:tcPr>
          <w:p>
            <w:pPr>
              <w:spacing w:after="0" w:line="240"/>
              <w:jc w:val="right"/>
            </w:pPr>
            <w:r>
              <w:rPr>
                <w:sz w:val="19"/>
                <w:szCs w:val="19"/>
              </w:rPr>
              <w:t xml:space="preserve">8.50%</w:t>
            </w:r>
          </w:p>
        </w:tc>
        <w:tc>
          <w:tcPr>
            <w:tcW w:type="dxa" w:w="1320"/>
            <w:tcMar>
              <w:top w:type="dxa" w:w="80"/>
              <w:left w:type="dxa" w:w="120"/>
              <w:bottom w:type="dxa" w:w="80"/>
              <w:right w:type="dxa" w:w="120"/>
            </w:tcMar>
          </w:tcPr>
          <w:p>
            <w:pPr>
              <w:spacing w:after="0" w:line="240"/>
              <w:jc w:val="right"/>
            </w:pPr>
            <w:r>
              <w:rPr>
                <w:sz w:val="19"/>
                <w:szCs w:val="19"/>
              </w:rPr>
              <w:t xml:space="preserve">0.278</w:t>
            </w:r>
          </w:p>
        </w:tc>
        <w:tc>
          <w:tcPr>
            <w:tcW w:type="dxa" w:w="1320"/>
            <w:tcMar>
              <w:top w:type="dxa" w:w="80"/>
              <w:left w:type="dxa" w:w="120"/>
              <w:bottom w:type="dxa" w:w="80"/>
              <w:right w:type="dxa" w:w="120"/>
            </w:tcMar>
          </w:tcPr>
          <w:p>
            <w:pPr>
              <w:spacing w:after="0" w:line="240"/>
              <w:jc w:val="right"/>
            </w:pPr>
            <w:r>
              <w:rPr>
                <w:sz w:val="19"/>
                <w:szCs w:val="19"/>
              </w:rPr>
              <w:t xml:space="preserve">0.018</w:t>
            </w:r>
          </w:p>
        </w:tc>
        <w:tc>
          <w:tcPr>
            <w:tcW w:type="dxa" w:w="1320"/>
            <w:tcMar>
              <w:top w:type="dxa" w:w="80"/>
              <w:left w:type="dxa" w:w="120"/>
              <w:bottom w:type="dxa" w:w="80"/>
              <w:right w:type="dxa" w:w="120"/>
            </w:tcMar>
          </w:tcPr>
          <w:p>
            <w:pPr>
              <w:spacing w:after="0" w:line="240"/>
              <w:jc w:val="right"/>
            </w:pPr>
            <w:r>
              <w:rPr>
                <w:sz w:val="19"/>
                <w:szCs w:val="19"/>
              </w:rPr>
              <w:t xml:space="preserve">−0.260</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train_mean</w:t>
            </w:r>
          </w:p>
        </w:tc>
        <w:tc>
          <w:tcPr>
            <w:tcW w:type="dxa" w:w="1320"/>
            <w:tcMar>
              <w:top w:type="dxa" w:w="80"/>
              <w:left w:type="dxa" w:w="120"/>
              <w:bottom w:type="dxa" w:w="80"/>
              <w:right w:type="dxa" w:w="120"/>
            </w:tcMar>
          </w:tcPr>
          <w:p>
            <w:pPr>
              <w:spacing w:after="0" w:line="240"/>
              <w:jc w:val="right"/>
            </w:pPr>
            <w:r>
              <w:rPr>
                <w:sz w:val="19"/>
                <w:szCs w:val="19"/>
              </w:rPr>
              <w:t xml:space="preserve">11.17%</w:t>
            </w:r>
          </w:p>
        </w:tc>
        <w:tc>
          <w:tcPr>
            <w:tcW w:type="dxa" w:w="1320"/>
            <w:tcMar>
              <w:top w:type="dxa" w:w="80"/>
              <w:left w:type="dxa" w:w="120"/>
              <w:bottom w:type="dxa" w:w="80"/>
              <w:right w:type="dxa" w:w="120"/>
            </w:tcMar>
          </w:tcPr>
          <w:p>
            <w:pPr>
              <w:spacing w:after="0" w:line="240"/>
              <w:jc w:val="right"/>
            </w:pPr>
            <w:r>
              <w:rPr>
                <w:sz w:val="19"/>
                <w:szCs w:val="19"/>
              </w:rPr>
              <w:t xml:space="preserve">11.92%</w:t>
            </w:r>
          </w:p>
        </w:tc>
        <w:tc>
          <w:tcPr>
            <w:tcW w:type="dxa" w:w="1320"/>
            <w:tcMar>
              <w:top w:type="dxa" w:w="80"/>
              <w:left w:type="dxa" w:w="120"/>
              <w:bottom w:type="dxa" w:w="80"/>
              <w:right w:type="dxa" w:w="120"/>
            </w:tcMar>
          </w:tcPr>
          <w:p>
            <w:pPr>
              <w:spacing w:after="0" w:line="240"/>
              <w:jc w:val="right"/>
            </w:pPr>
            <w:r>
              <w:rPr>
                <w:sz w:val="19"/>
                <w:szCs w:val="19"/>
              </w:rPr>
              <w:t xml:space="preserve">0.000</w:t>
            </w:r>
          </w:p>
        </w:tc>
        <w:tc>
          <w:tcPr>
            <w:tcW w:type="dxa" w:w="1320"/>
            <w:tcMar>
              <w:top w:type="dxa" w:w="80"/>
              <w:left w:type="dxa" w:w="120"/>
              <w:bottom w:type="dxa" w:w="80"/>
              <w:right w:type="dxa" w:w="120"/>
            </w:tcMar>
          </w:tcPr>
          <w:p>
            <w:pPr>
              <w:spacing w:after="0" w:line="240"/>
              <w:jc w:val="right"/>
            </w:pPr>
            <w:r>
              <w:rPr>
                <w:sz w:val="19"/>
                <w:szCs w:val="19"/>
              </w:rPr>
              <w:t xml:space="preserve">0.000</w:t>
            </w:r>
          </w:p>
        </w:tc>
        <w:tc>
          <w:tcPr>
            <w:tcW w:type="dxa" w:w="1320"/>
            <w:tcMar>
              <w:top w:type="dxa" w:w="80"/>
              <w:left w:type="dxa" w:w="120"/>
              <w:bottom w:type="dxa" w:w="80"/>
              <w:right w:type="dxa" w:w="120"/>
            </w:tcMar>
          </w:tcPr>
          <w:p>
            <w:pPr>
              <w:spacing w:after="0" w:line="240"/>
              <w:jc w:val="right"/>
            </w:pPr>
            <w:r>
              <w:rPr>
                <w:sz w:val="19"/>
                <w:szCs w:val="19"/>
              </w:rPr>
              <w:t xml:space="preserve">0.000</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lstm</w:t>
            </w:r>
          </w:p>
        </w:tc>
        <w:tc>
          <w:tcPr>
            <w:tcW w:type="dxa" w:w="1320"/>
            <w:tcMar>
              <w:top w:type="dxa" w:w="80"/>
              <w:left w:type="dxa" w:w="120"/>
              <w:bottom w:type="dxa" w:w="80"/>
              <w:right w:type="dxa" w:w="120"/>
            </w:tcMar>
          </w:tcPr>
          <w:p>
            <w:pPr>
              <w:spacing w:after="0" w:line="240"/>
              <w:jc w:val="right"/>
            </w:pPr>
            <w:r>
              <w:rPr>
                <w:sz w:val="19"/>
                <w:szCs w:val="19"/>
              </w:rPr>
              <w:t xml:space="preserve">5.62%</w:t>
            </w:r>
          </w:p>
        </w:tc>
        <w:tc>
          <w:tcPr>
            <w:tcW w:type="dxa" w:w="1320"/>
            <w:tcMar>
              <w:top w:type="dxa" w:w="80"/>
              <w:left w:type="dxa" w:w="120"/>
              <w:bottom w:type="dxa" w:w="80"/>
              <w:right w:type="dxa" w:w="120"/>
            </w:tcMar>
          </w:tcPr>
          <w:p>
            <w:pPr>
              <w:spacing w:after="0" w:line="240"/>
              <w:jc w:val="right"/>
            </w:pPr>
            <w:r>
              <w:rPr>
                <w:sz w:val="19"/>
                <w:szCs w:val="19"/>
              </w:rPr>
              <w:t xml:space="preserve">17.36%</w:t>
            </w:r>
          </w:p>
        </w:tc>
        <w:tc>
          <w:tcPr>
            <w:tcW w:type="dxa" w:w="1320"/>
            <w:tcMar>
              <w:top w:type="dxa" w:w="80"/>
              <w:left w:type="dxa" w:w="120"/>
              <w:bottom w:type="dxa" w:w="80"/>
              <w:right w:type="dxa" w:w="120"/>
            </w:tcMar>
          </w:tcPr>
          <w:p>
            <w:pPr>
              <w:spacing w:after="0" w:line="240"/>
              <w:jc w:val="right"/>
            </w:pPr>
            <w:r>
              <w:rPr>
                <w:sz w:val="19"/>
                <w:szCs w:val="19"/>
              </w:rPr>
              <w:t xml:space="preserve">0.594</w:t>
            </w:r>
          </w:p>
        </w:tc>
        <w:tc>
          <w:tcPr>
            <w:tcW w:type="dxa" w:w="1320"/>
            <w:tcMar>
              <w:top w:type="dxa" w:w="80"/>
              <w:left w:type="dxa" w:w="120"/>
              <w:bottom w:type="dxa" w:w="80"/>
              <w:right w:type="dxa" w:w="120"/>
            </w:tcMar>
          </w:tcPr>
          <w:p>
            <w:pPr>
              <w:spacing w:after="0" w:line="240"/>
              <w:jc w:val="right"/>
            </w:pPr>
            <w:r>
              <w:rPr>
                <w:sz w:val="19"/>
                <w:szCs w:val="19"/>
              </w:rPr>
              <w:t xml:space="preserve">−0.185</w:t>
            </w:r>
          </w:p>
        </w:tc>
        <w:tc>
          <w:tcPr>
            <w:tcW w:type="dxa" w:w="1320"/>
            <w:tcMar>
              <w:top w:type="dxa" w:w="80"/>
              <w:left w:type="dxa" w:w="120"/>
              <w:bottom w:type="dxa" w:w="80"/>
              <w:right w:type="dxa" w:w="120"/>
            </w:tcMar>
          </w:tcPr>
          <w:p>
            <w:pPr>
              <w:spacing w:after="0" w:line="240"/>
              <w:jc w:val="right"/>
            </w:pPr>
            <w:r>
              <w:rPr>
                <w:sz w:val="19"/>
                <w:szCs w:val="19"/>
              </w:rPr>
              <w:t xml:space="preserve">−0.778</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hist_gradient_boosting</w:t>
            </w:r>
          </w:p>
        </w:tc>
        <w:tc>
          <w:tcPr>
            <w:tcW w:type="dxa" w:w="1320"/>
            <w:tcMar>
              <w:top w:type="dxa" w:w="80"/>
              <w:left w:type="dxa" w:w="120"/>
              <w:bottom w:type="dxa" w:w="80"/>
              <w:right w:type="dxa" w:w="120"/>
            </w:tcMar>
          </w:tcPr>
          <w:p>
            <w:pPr>
              <w:spacing w:after="0" w:line="240"/>
              <w:jc w:val="right"/>
            </w:pPr>
            <w:r>
              <w:rPr>
                <w:sz w:val="19"/>
                <w:szCs w:val="19"/>
              </w:rPr>
              <w:t xml:space="preserve">4.12%</w:t>
            </w:r>
          </w:p>
        </w:tc>
        <w:tc>
          <w:tcPr>
            <w:tcW w:type="dxa" w:w="1320"/>
            <w:tcMar>
              <w:top w:type="dxa" w:w="80"/>
              <w:left w:type="dxa" w:w="120"/>
              <w:bottom w:type="dxa" w:w="80"/>
              <w:right w:type="dxa" w:w="120"/>
            </w:tcMar>
          </w:tcPr>
          <w:p>
            <w:pPr>
              <w:spacing w:after="0" w:line="240"/>
              <w:jc w:val="right"/>
            </w:pPr>
            <w:r>
              <w:rPr>
                <w:sz w:val="19"/>
                <w:szCs w:val="19"/>
              </w:rPr>
              <w:t xml:space="preserve">10.27%</w:t>
            </w:r>
          </w:p>
        </w:tc>
        <w:tc>
          <w:tcPr>
            <w:tcW w:type="dxa" w:w="1320"/>
            <w:tcMar>
              <w:top w:type="dxa" w:w="80"/>
              <w:left w:type="dxa" w:w="120"/>
              <w:bottom w:type="dxa" w:w="80"/>
              <w:right w:type="dxa" w:w="120"/>
            </w:tcMar>
          </w:tcPr>
          <w:p>
            <w:pPr>
              <w:spacing w:after="0" w:line="240"/>
              <w:jc w:val="right"/>
            </w:pPr>
            <w:r>
              <w:rPr>
                <w:sz w:val="19"/>
                <w:szCs w:val="19"/>
              </w:rPr>
              <w:t xml:space="preserve">0.770</w:t>
            </w:r>
          </w:p>
        </w:tc>
        <w:tc>
          <w:tcPr>
            <w:tcW w:type="dxa" w:w="1320"/>
            <w:tcMar>
              <w:top w:type="dxa" w:w="80"/>
              <w:left w:type="dxa" w:w="120"/>
              <w:bottom w:type="dxa" w:w="80"/>
              <w:right w:type="dxa" w:w="120"/>
            </w:tcMar>
          </w:tcPr>
          <w:p>
            <w:pPr>
              <w:spacing w:after="0" w:line="240"/>
              <w:jc w:val="right"/>
            </w:pPr>
            <w:r>
              <w:rPr>
                <w:sz w:val="19"/>
                <w:szCs w:val="19"/>
              </w:rPr>
              <w:t xml:space="preserve">−0.265</w:t>
            </w:r>
          </w:p>
        </w:tc>
        <w:tc>
          <w:tcPr>
            <w:tcW w:type="dxa" w:w="1320"/>
            <w:tcMar>
              <w:top w:type="dxa" w:w="80"/>
              <w:left w:type="dxa" w:w="120"/>
              <w:bottom w:type="dxa" w:w="80"/>
              <w:right w:type="dxa" w:w="120"/>
            </w:tcMar>
          </w:tcPr>
          <w:p>
            <w:pPr>
              <w:spacing w:after="0" w:line="240"/>
              <w:jc w:val="right"/>
            </w:pPr>
            <w:r>
              <w:rPr>
                <w:sz w:val="19"/>
                <w:szCs w:val="19"/>
              </w:rPr>
              <w:t xml:space="preserve">−1.035</w:t>
            </w:r>
          </w:p>
        </w:tc>
      </w:tr>
      <w:tr>
        <w:tc>
          <w:tcPr>
            <w:tcW w:type="dxa" w:w="2760"/>
            <w:tcMar>
              <w:top w:type="dxa" w:w="80"/>
              <w:left w:type="dxa" w:w="120"/>
              <w:bottom w:type="dxa" w:w="80"/>
              <w:right w:type="dxa" w:w="120"/>
            </w:tcMar>
          </w:tcPr>
          <w:p>
            <w:pPr>
              <w:spacing w:after="0" w:line="240"/>
            </w:pPr>
            <w:r>
              <w:rPr>
                <w:rFonts w:ascii="Consolas" w:cs="Consolas" w:eastAsia="Consolas" w:hAnsi="Consolas"/>
                <w:sz w:val="19"/>
                <w:szCs w:val="19"/>
              </w:rPr>
              <w:t xml:space="preserve">mlp</w:t>
            </w:r>
          </w:p>
        </w:tc>
        <w:tc>
          <w:tcPr>
            <w:tcW w:type="dxa" w:w="1320"/>
            <w:tcMar>
              <w:top w:type="dxa" w:w="80"/>
              <w:left w:type="dxa" w:w="120"/>
              <w:bottom w:type="dxa" w:w="80"/>
              <w:right w:type="dxa" w:w="120"/>
            </w:tcMar>
          </w:tcPr>
          <w:p>
            <w:pPr>
              <w:spacing w:after="0" w:line="240"/>
              <w:jc w:val="right"/>
            </w:pPr>
            <w:r>
              <w:rPr>
                <w:sz w:val="19"/>
                <w:szCs w:val="19"/>
              </w:rPr>
              <w:t xml:space="preserve">4.15%</w:t>
            </w:r>
          </w:p>
        </w:tc>
        <w:tc>
          <w:tcPr>
            <w:tcW w:type="dxa" w:w="1320"/>
            <w:tcMar>
              <w:top w:type="dxa" w:w="80"/>
              <w:left w:type="dxa" w:w="120"/>
              <w:bottom w:type="dxa" w:w="80"/>
              <w:right w:type="dxa" w:w="120"/>
            </w:tcMar>
          </w:tcPr>
          <w:p>
            <w:pPr>
              <w:spacing w:after="0" w:line="240"/>
              <w:jc w:val="right"/>
            </w:pPr>
            <w:r>
              <w:rPr>
                <w:sz w:val="19"/>
                <w:szCs w:val="19"/>
              </w:rPr>
              <w:t xml:space="preserve">14.19%</w:t>
            </w:r>
          </w:p>
        </w:tc>
        <w:tc>
          <w:tcPr>
            <w:tcW w:type="dxa" w:w="1320"/>
            <w:tcMar>
              <w:top w:type="dxa" w:w="80"/>
              <w:left w:type="dxa" w:w="120"/>
              <w:bottom w:type="dxa" w:w="80"/>
              <w:right w:type="dxa" w:w="120"/>
            </w:tcMar>
          </w:tcPr>
          <w:p>
            <w:pPr>
              <w:spacing w:after="0" w:line="240"/>
              <w:jc w:val="right"/>
            </w:pPr>
            <w:r>
              <w:rPr>
                <w:sz w:val="19"/>
                <w:szCs w:val="19"/>
              </w:rPr>
              <w:t xml:space="preserve">0.731</w:t>
            </w:r>
          </w:p>
        </w:tc>
        <w:tc>
          <w:tcPr>
            <w:tcW w:type="dxa" w:w="1320"/>
            <w:tcMar>
              <w:top w:type="dxa" w:w="80"/>
              <w:left w:type="dxa" w:w="120"/>
              <w:bottom w:type="dxa" w:w="80"/>
              <w:right w:type="dxa" w:w="120"/>
            </w:tcMar>
          </w:tcPr>
          <w:p>
            <w:pPr>
              <w:spacing w:after="0" w:line="240"/>
              <w:jc w:val="right"/>
            </w:pPr>
            <w:r>
              <w:rPr>
                <w:sz w:val="19"/>
                <w:szCs w:val="19"/>
              </w:rPr>
              <w:t xml:space="preserve">−0.623</w:t>
            </w:r>
          </w:p>
        </w:tc>
        <w:tc>
          <w:tcPr>
            <w:tcW w:type="dxa" w:w="1320"/>
            <w:tcMar>
              <w:top w:type="dxa" w:w="80"/>
              <w:left w:type="dxa" w:w="120"/>
              <w:bottom w:type="dxa" w:w="80"/>
              <w:right w:type="dxa" w:w="120"/>
            </w:tcMar>
          </w:tcPr>
          <w:p>
            <w:pPr>
              <w:spacing w:after="0" w:line="240"/>
              <w:jc w:val="right"/>
            </w:pPr>
            <w:r>
              <w:rPr>
                <w:sz w:val="19"/>
                <w:szCs w:val="19"/>
              </w:rPr>
              <w:t xml:space="preserve">−1.354</w:t>
            </w:r>
          </w:p>
        </w:tc>
      </w:tr>
    </w:tbl>
    <w:p>
      <w:pPr>
        <w:spacing w:after="180"/>
      </w:pPr>
    </w:p>
    <w:p>
      <w:pPr>
        <w:pStyle w:val="ListParagraph"/>
        <w:numPr>
          <w:ilvl w:val="0"/>
          <w:numId w:val="2"/>
        </w:numPr>
        <w:spacing w:after="90" w:line="276"/>
      </w:pPr>
      <w:r>
        <w:rPr>
          <w:sz w:val="21"/>
          <w:szCs w:val="21"/>
        </w:rPr>
        <w:t xml:space="preserve">Every method loses skill under protocol shift. The question is only how much.</w:t>
      </w:r>
    </w:p>
    <w:p>
      <w:pPr>
        <w:pStyle w:val="ListParagraph"/>
        <w:numPr>
          <w:ilvl w:val="0"/>
          <w:numId w:val="2"/>
        </w:numPr>
        <w:spacing w:after="90" w:line="276"/>
      </w:pPr>
      <w:r>
        <w:rPr>
          <w:sz w:val="21"/>
          <w:szCs w:val="21"/>
        </w:rPr>
        <w:t xml:space="preserve">The most robust is age_linear, a straight line on cycle count, with Δ = −0.076. It reaches LOCO R² = 0.406 against the best model’s 0.459.</w:t>
      </w:r>
    </w:p>
    <w:p>
      <w:pPr>
        <w:pStyle w:val="ListParagraph"/>
        <w:numPr>
          <w:ilvl w:val="0"/>
          <w:numId w:val="2"/>
        </w:numPr>
        <w:spacing w:after="90" w:line="276"/>
      </w:pPr>
      <w:r>
        <w:rPr>
          <w:sz w:val="21"/>
          <w:szCs w:val="21"/>
        </w:rPr>
        <w:t xml:space="preserve">All behavioural and nonlinear modelling therefore buys approximately 0.05 R² over counting cycles.</w:t>
      </w:r>
    </w:p>
    <w:p>
      <w:pPr>
        <w:pStyle w:val="ListParagraph"/>
        <w:numPr>
          <w:ilvl w:val="0"/>
          <w:numId w:val="2"/>
        </w:numPr>
        <w:spacing w:after="90" w:line="276"/>
      </w:pPr>
      <w:r>
        <w:rPr>
          <w:sz w:val="21"/>
          <w:szCs w:val="21"/>
        </w:rPr>
        <w:t xml:space="preserve">The three best LOBO performers — random_forest (0.773), hist_gradient_boosting (0.770), mlp (0.731) — rank 5th, 11th and 12th under LOCO, and two score below a constant predictor.</w:t>
      </w:r>
    </w:p>
    <w:p>
      <w:pPr>
        <w:spacing w:after="120"/>
      </w:pPr>
    </w:p>
    <w:p>
      <w:pPr>
        <w:spacing w:after="140" w:line="276"/>
      </w:pPr>
      <w:r>
        <w:rPr>
          <w:sz w:val="21"/>
          <w:szCs w:val="21"/>
        </w:rPr>
        <w:t xml:space="preserve">The neural results deserve comment given how often such architectures are reported as successful on this dataset. Both the LSTM and the MLP achieve competitive LOBO scores and both fall below a constant predictor under protocol shift, which is consistent with learning cohort-specific intercept structure rather than a transferable degradation relationship.</w:t>
      </w:r>
    </w:p>
    <w:p>
      <w:pPr>
        <w:pStyle w:val="Heading2"/>
        <w:spacing w:after="160" w:before="360"/>
      </w:pPr>
      <w:r>
        <w:rPr>
          <w:b/>
          <w:bCs/>
          <w:color w:val="111826"/>
          <w:sz w:val="28"/>
          <w:szCs w:val="28"/>
        </w:rPr>
        <w:t xml:space="preserve">14. The Reversible Thermal Offset</w:t>
      </w:r>
    </w:p>
    <w:p>
      <w:pPr>
        <w:spacing w:after="140" w:line="276"/>
      </w:pPr>
      <w:r>
        <w:rPr>
          <w:sz w:val="21"/>
          <w:szCs w:val="21"/>
        </w:rPr>
        <w:t xml:space="preserve">Section 12 established the cross-cohort collapse statistically. This section gives it a measurement explanation, and it is the point in this report where the electrochemistry of Part I becomes load-bearing.</w:t>
      </w:r>
    </w:p>
    <w:p>
      <w:pPr>
        <w:pStyle w:val="Heading3"/>
        <w:spacing w:after="120" w:before="260"/>
      </w:pPr>
      <w:r>
        <w:rPr>
          <w:b/>
          <w:bCs/>
          <w:color w:val="2F3B4D"/>
          <w:sz w:val="23"/>
          <w:szCs w:val="23"/>
        </w:rPr>
        <w:t xml:space="preserve">14.1 Observation</w:t>
      </w:r>
    </w:p>
    <w:p>
      <w:pPr>
        <w:spacing w:after="140" w:line="276"/>
      </w:pPr>
      <w:r>
        <w:rPr>
          <w:sz w:val="21"/>
          <w:szCs w:val="21"/>
        </w:rPr>
        <w:t xml:space="preserve">Apparent state of health measured at cycle index ≤ 20 — before meaningful degradation is possible — varies systematically with ambient temperature:</w:t>
      </w:r>
    </w:p>
    <w:tbl>
      <w:tblPr>
        <w:tblW w:type="dxa" w:w="6200"/>
        <w:tblBorders>
          <w:top w:val="single" w:color="B9C2CE" w:sz="4"/>
          <w:left w:val="none"/>
          <w:bottom w:val="single" w:color="B9C2CE" w:sz="4"/>
          <w:right w:val="none"/>
          <w:insideH w:val="single" w:color="E1E6EC" w:sz="2"/>
          <w:insideV w:val="none"/>
        </w:tblBorders>
      </w:tblPr>
      <w:tblGrid>
        <w:gridCol w:w="3000"/>
        <w:gridCol w:w="3200"/>
      </w:tblGrid>
      <w:tr>
        <w:trPr>
          <w:tblHeader/>
        </w:trPr>
        <w:tc>
          <w:tcPr>
            <w:tcW w:type="dxa" w:w="3000"/>
            <w:shd w:fill="EEF2F6" w:val="clear"/>
            <w:tcMar>
              <w:top w:type="dxa" w:w="80"/>
              <w:left w:type="dxa" w:w="120"/>
              <w:bottom w:type="dxa" w:w="80"/>
              <w:right w:type="dxa" w:w="120"/>
            </w:tcMar>
          </w:tcPr>
          <w:p>
            <w:pPr>
              <w:spacing w:after="0" w:line="240"/>
            </w:pPr>
            <w:r>
              <w:rPr>
                <w:b/>
                <w:bCs/>
                <w:sz w:val="19"/>
                <w:szCs w:val="19"/>
              </w:rPr>
              <w:t xml:space="preserve">Ambient</w:t>
            </w:r>
          </w:p>
        </w:tc>
        <w:tc>
          <w:tcPr>
            <w:tcW w:type="dxa" w:w="3200"/>
            <w:shd w:fill="EEF2F6" w:val="clear"/>
            <w:tcMar>
              <w:top w:type="dxa" w:w="80"/>
              <w:left w:type="dxa" w:w="120"/>
              <w:bottom w:type="dxa" w:w="80"/>
              <w:right w:type="dxa" w:w="120"/>
            </w:tcMar>
          </w:tcPr>
          <w:p>
            <w:pPr>
              <w:spacing w:after="0" w:line="240"/>
              <w:jc w:val="right"/>
            </w:pPr>
            <w:r>
              <w:rPr>
                <w:b/>
                <w:bCs/>
                <w:sz w:val="19"/>
                <w:szCs w:val="19"/>
              </w:rPr>
              <w:t xml:space="preserve">Apparent SOH at cycle ≤ 20</w:t>
            </w:r>
          </w:p>
        </w:tc>
      </w:tr>
      <w:tr>
        <w:tc>
          <w:tcPr>
            <w:tcW w:type="dxa" w:w="3000"/>
            <w:tcMar>
              <w:top w:type="dxa" w:w="80"/>
              <w:left w:type="dxa" w:w="120"/>
              <w:bottom w:type="dxa" w:w="80"/>
              <w:right w:type="dxa" w:w="120"/>
            </w:tcMar>
          </w:tcPr>
          <w:p>
            <w:pPr>
              <w:spacing w:after="0" w:line="240"/>
            </w:pPr>
            <w:r>
              <w:rPr>
                <w:sz w:val="19"/>
                <w:szCs w:val="19"/>
              </w:rPr>
              <w:t xml:space="preserve">4 °C</w:t>
            </w:r>
          </w:p>
        </w:tc>
        <w:tc>
          <w:tcPr>
            <w:tcW w:type="dxa" w:w="3200"/>
            <w:tcMar>
              <w:top w:type="dxa" w:w="80"/>
              <w:left w:type="dxa" w:w="120"/>
              <w:bottom w:type="dxa" w:w="80"/>
              <w:right w:type="dxa" w:w="120"/>
            </w:tcMar>
          </w:tcPr>
          <w:p>
            <w:pPr>
              <w:spacing w:after="0" w:line="240"/>
              <w:jc w:val="right"/>
            </w:pPr>
            <w:r>
              <w:rPr>
                <w:sz w:val="19"/>
                <w:szCs w:val="19"/>
              </w:rPr>
              <w:t xml:space="preserve">0.918</w:t>
            </w:r>
          </w:p>
        </w:tc>
      </w:tr>
      <w:tr>
        <w:tc>
          <w:tcPr>
            <w:tcW w:type="dxa" w:w="3000"/>
            <w:tcMar>
              <w:top w:type="dxa" w:w="80"/>
              <w:left w:type="dxa" w:w="120"/>
              <w:bottom w:type="dxa" w:w="80"/>
              <w:right w:type="dxa" w:w="120"/>
            </w:tcMar>
          </w:tcPr>
          <w:p>
            <w:pPr>
              <w:spacing w:after="0" w:line="240"/>
            </w:pPr>
            <w:r>
              <w:rPr>
                <w:sz w:val="19"/>
                <w:szCs w:val="19"/>
              </w:rPr>
              <w:t xml:space="preserve">44 °C</w:t>
            </w:r>
          </w:p>
        </w:tc>
        <w:tc>
          <w:tcPr>
            <w:tcW w:type="dxa" w:w="3200"/>
            <w:tcMar>
              <w:top w:type="dxa" w:w="80"/>
              <w:left w:type="dxa" w:w="120"/>
              <w:bottom w:type="dxa" w:w="80"/>
              <w:right w:type="dxa" w:w="120"/>
            </w:tcMar>
          </w:tcPr>
          <w:p>
            <w:pPr>
              <w:spacing w:after="0" w:line="240"/>
              <w:jc w:val="right"/>
            </w:pPr>
            <w:r>
              <w:rPr>
                <w:sz w:val="19"/>
                <w:szCs w:val="19"/>
              </w:rPr>
              <w:t xml:space="preserve">0.999</w:t>
            </w:r>
          </w:p>
        </w:tc>
      </w:tr>
    </w:tbl>
    <w:p>
      <w:pPr>
        <w:spacing w:after="180"/>
      </w:pPr>
    </w:p>
    <w:p>
      <w:pPr>
        <w:spacing w:after="140" w:line="276"/>
      </w:pPr>
      <w:r>
        <w:rPr>
          <w:sz w:val="21"/>
          <w:szCs w:val="21"/>
        </w:rPr>
        <w:t xml:space="preserve">An eight-point spread in apparent SOH exists before any cell has aged. This is the resistance-rise row of Section 2.3 acting through temperature rather than through degradation: at low temperature, elevated impedance and slower kinetics curtail the discharge at the cutoff voltage, so less capacity is extracted from an undegraded cell. It is a reversible offset in the measurement, not a loss of lithium inventory or active material.</w:t>
      </w:r>
    </w:p>
    <w:p>
      <w:pPr>
        <w:pStyle w:val="Heading3"/>
        <w:spacing w:after="120" w:before="260"/>
      </w:pPr>
      <w:r>
        <w:rPr>
          <w:b/>
          <w:bCs/>
          <w:color w:val="2F3B4D"/>
          <w:sz w:val="23"/>
          <w:szCs w:val="23"/>
        </w:rPr>
        <w:t xml:space="preserve">14.2 Why it inverts the cross-cohort relationship</w:t>
      </w:r>
    </w:p>
    <w:p>
      <w:pPr>
        <w:spacing w:after="140" w:line="276"/>
      </w:pPr>
      <w:r>
        <w:rPr>
          <w:sz w:val="21"/>
          <w:szCs w:val="21"/>
        </w:rPr>
        <w:t xml:space="preserve">Within a fixed-ambient cohort the offset is a constant. It shifts the intercept and leaves the within-cohort temperature-versus-fade relationship intact — and that relationship is real, cohort-controlled and statistically significant.</w:t>
      </w:r>
    </w:p>
    <w:p>
      <w:pPr>
        <w:spacing w:after="140" w:line="276"/>
      </w:pPr>
      <w:r>
        <w:rPr>
          <w:sz w:val="21"/>
          <w:szCs w:val="21"/>
        </w:rPr>
        <w:t xml:space="preserve">Across cohorts the offset switches on, and it is anti-correlated with genuine thermal ageing: hot cells show higher apparent capacity from the offset while degrading faster in truth. The two effects oppose, the offset dominates at low cycle counts, and the apparent sign of the relationship reverses.</w:t>
      </w:r>
    </w:p>
    <w:tbl>
      <w:tblPr>
        <w:tblW w:type="dxa" w:w="9360"/>
        <w:tblBorders>
          <w:top w:val="single" w:color="DDE5DF" w:sz="2"/>
          <w:left w:val="single" w:color="B3261E" w:sz="18"/>
          <w:bottom w:val="single" w:color="DDE5DF" w:sz="2"/>
          <w:right w:val="single" w:color="DDE5DF" w:sz="2"/>
          <w:insideH w:val="none"/>
          <w:insideV w:val="none"/>
        </w:tblBorders>
      </w:tblPr>
      <w:tblGrid>
        <w:gridCol w:w="9360"/>
      </w:tblGrid>
      <w:tr>
        <w:tc>
          <w:tcPr>
            <w:tcW w:type="dxa" w:w="9360"/>
            <w:shd w:fill="FBF0EF" w:val="clear"/>
            <w:tcMar>
              <w:top w:type="dxa" w:w="140"/>
              <w:left w:type="dxa" w:w="200"/>
              <w:bottom w:type="dxa" w:w="140"/>
              <w:right w:type="dxa" w:w="200"/>
            </w:tcMar>
          </w:tcPr>
          <w:p>
            <w:pPr>
              <w:spacing w:after="0" w:line="276"/>
            </w:pPr>
            <w:r>
              <w:rPr>
                <w:b/>
                <w:bCs/>
                <w:sz w:val="21"/>
                <w:szCs w:val="21"/>
              </w:rPr>
              <w:t xml:space="preserve">Consequence for the feature layer. </w:t>
            </w:r>
            <w:r>
              <w:rPr>
                <w:sz w:val="21"/>
                <w:szCs w:val="21"/>
              </w:rPr>
              <w:t xml:space="preserve">The current-based signals avg_stress and aggressive_discharge_count are significant and positive in room-temperature cohorts, and significant and negative in cold cohorts. A model fitted across cohorts without accounting for the offset is fitting a sign change.</w:t>
            </w:r>
          </w:p>
        </w:tc>
      </w:tr>
    </w:tbl>
    <w:p>
      <w:pPr>
        <w:spacing w:after="180"/>
      </w:pPr>
    </w:p>
    <w:p>
      <w:pPr>
        <w:spacing w:after="140" w:line="276"/>
      </w:pPr>
      <w:r>
        <w:rPr>
          <w:sz w:val="21"/>
          <w:szCs w:val="21"/>
        </w:rPr>
        <w:t xml:space="preserve">This is a strong argument for normalising measured capacity to a controlled reference temperature before any cross-protocol comparison. This project does not perform that step, and Section 20 lists it as the single most valuable piece of future work.</w:t>
      </w:r>
    </w:p>
    <w:p>
      <w:pPr>
        <w:pStyle w:val="Heading2"/>
        <w:spacing w:after="160" w:before="360"/>
      </w:pPr>
      <w:r>
        <w:rPr>
          <w:b/>
          <w:bCs/>
          <w:color w:val="111826"/>
          <w:sz w:val="28"/>
          <w:szCs w:val="28"/>
        </w:rPr>
        <w:t xml:space="preserve">15. Estimator Variance and Withdrawn Claims</w:t>
      </w:r>
    </w:p>
    <w:p>
      <w:pPr>
        <w:spacing w:after="140" w:line="276"/>
      </w:pPr>
      <w:r>
        <w:rPr>
          <w:sz w:val="21"/>
          <w:szCs w:val="21"/>
        </w:rPr>
        <w:t xml:space="preserve">Five ranking claims had been made and withdrawn by the midpoint of this work. Rather than make a sixth, a designed experiment of 220 measurements was run to establish why they kept failing to replicate.</w:t>
      </w:r>
    </w:p>
    <w:p>
      <w:pPr>
        <w:pStyle w:val="Heading3"/>
        <w:spacing w:after="120" w:before="260"/>
      </w:pPr>
      <w:r>
        <w:rPr>
          <w:b/>
          <w:bCs/>
          <w:color w:val="2F3B4D"/>
          <w:sz w:val="23"/>
          <w:szCs w:val="23"/>
        </w:rPr>
        <w:t xml:space="preserve">15.1 The coverage hypothesis, refuted</w:t>
      </w:r>
    </w:p>
    <w:p>
      <w:pPr>
        <w:spacing w:after="140" w:line="276"/>
      </w:pPr>
      <w:r>
        <w:rPr>
          <w:sz w:val="21"/>
          <w:szCs w:val="21"/>
        </w:rPr>
        <w:t xml:space="preserve">The proposed explanation was that the LOBO-to-LOCO gap reflects cohort coverage, and that more cohorts in training would close it. It was refuted: the one dataset showing a significant raw correlation lost it entirely once training-set size was regressed out. On the replication, raw ρ(cohorts, gap) = +0.126, p = 0.217, n = 98.</w:t>
      </w:r>
    </w:p>
    <w:p>
      <w:pPr>
        <w:pStyle w:val="Heading3"/>
        <w:spacing w:after="120" w:before="260"/>
      </w:pPr>
      <w:r>
        <w:rPr>
          <w:b/>
          <w:bCs/>
          <w:color w:val="2F3B4D"/>
          <w:sz w:val="23"/>
          <w:szCs w:val="23"/>
        </w:rPr>
        <w:t xml:space="preserve">15.2 What the experiment established</w:t>
      </w:r>
    </w:p>
    <w:p>
      <w:pPr>
        <w:spacing w:after="140" w:line="276"/>
      </w:pPr>
      <w:r>
        <w:rPr>
          <w:sz w:val="21"/>
          <w:szCs w:val="21"/>
        </w:rPr>
        <w:t xml:space="preserve">The LOCO estimate has an interquartile range across cohort draws of 0.724 R², against a median difference between a nonlinear model and a straight line on cycle count of 0.351 R².</w:t>
      </w:r>
    </w:p>
    <w:tbl>
      <w:tblPr>
        <w:tblW w:type="dxa" w:w="9360"/>
        <w:tblBorders>
          <w:top w:val="single" w:color="DDE5DF" w:sz="2"/>
          <w:left w:val="single" w:color="B3261E" w:sz="18"/>
          <w:bottom w:val="single" w:color="DDE5DF" w:sz="2"/>
          <w:right w:val="single" w:color="DDE5DF" w:sz="2"/>
          <w:insideH w:val="none"/>
          <w:insideV w:val="none"/>
        </w:tblBorders>
      </w:tblPr>
      <w:tblGrid>
        <w:gridCol w:w="9360"/>
      </w:tblGrid>
      <w:tr>
        <w:tc>
          <w:tcPr>
            <w:tcW w:type="dxa" w:w="9360"/>
            <w:shd w:fill="FBF0EF" w:val="clear"/>
            <w:tcMar>
              <w:top w:type="dxa" w:w="140"/>
              <w:left w:type="dxa" w:w="200"/>
              <w:bottom w:type="dxa" w:w="140"/>
              <w:right w:type="dxa" w:w="200"/>
            </w:tcMar>
          </w:tcPr>
          <w:p>
            <w:pPr>
              <w:spacing w:after="0" w:line="276"/>
            </w:pPr>
            <w:r>
              <w:rPr>
                <w:b/>
                <w:bCs/>
                <w:sz w:val="21"/>
                <w:szCs w:val="21"/>
              </w:rPr>
              <w:t xml:space="preserve">The measurement is roughly twice as noisy as the effect it is being used to rank. Every ranking claim failed to replicate because the instrument could not resolve the quantity.</w:t>
            </w:r>
          </w:p>
        </w:tc>
      </w:tr>
    </w:tbl>
    <w:p>
      <w:pPr>
        <w:spacing w:after="180"/>
      </w:pPr>
    </w:p>
    <w:p>
      <w:pPr>
        <w:pStyle w:val="Heading3"/>
        <w:spacing w:after="120" w:before="260"/>
      </w:pPr>
      <w:r>
        <w:rPr>
          <w:b/>
          <w:bCs/>
          <w:color w:val="2F3B4D"/>
          <w:sz w:val="23"/>
          <w:szCs w:val="23"/>
        </w:rPr>
        <w:t xml:space="preserve">15.3 Self-correction against a corrected target</w:t>
      </w:r>
    </w:p>
    <w:p>
      <w:pPr>
        <w:spacing w:after="140" w:line="276"/>
      </w:pPr>
      <w:r>
        <w:rPr>
          <w:sz w:val="21"/>
          <w:szCs w:val="21"/>
        </w:rPr>
        <w:t xml:space="preserve">That result was itself re-examined against a corrected target derivation — same cells, features, methods and machinery, differing only in target derivation, restricted to the three coverage levels both runs draw fully (k = 3, 4, 5).</w:t>
      </w:r>
    </w:p>
    <w:tbl>
      <w:tblPr>
        <w:tblW w:type="dxa" w:w="9360"/>
        <w:tblBorders>
          <w:top w:val="single" w:color="B9C2CE" w:sz="4"/>
          <w:left w:val="none"/>
          <w:bottom w:val="single" w:color="B9C2CE" w:sz="4"/>
          <w:right w:val="none"/>
          <w:insideH w:val="single" w:color="E1E6EC" w:sz="2"/>
          <w:insideV w:val="none"/>
        </w:tblBorders>
      </w:tblPr>
      <w:tblGrid>
        <w:gridCol w:w="4000"/>
        <w:gridCol w:w="2680"/>
        <w:gridCol w:w="2680"/>
      </w:tblGrid>
      <w:tr>
        <w:trPr>
          <w:tblHeader/>
        </w:trPr>
        <w:tc>
          <w:tcPr>
            <w:tcW w:type="dxa" w:w="4000"/>
            <w:shd w:fill="EEF2F6" w:val="clear"/>
            <w:tcMar>
              <w:top w:type="dxa" w:w="80"/>
              <w:left w:type="dxa" w:w="120"/>
              <w:bottom w:type="dxa" w:w="80"/>
              <w:right w:type="dxa" w:w="120"/>
            </w:tcMar>
          </w:tcPr>
          <w:p>
            <w:pPr>
              <w:spacing w:after="0" w:line="240"/>
            </w:pPr>
            <w:r>
              <w:rPr>
                <w:b/>
                <w:bCs/>
                <w:sz w:val="19"/>
                <w:szCs w:val="19"/>
              </w:rPr>
              <w:t xml:space="preserve">Quantity</w:t>
            </w:r>
          </w:p>
        </w:tc>
        <w:tc>
          <w:tcPr>
            <w:tcW w:type="dxa" w:w="2680"/>
            <w:shd w:fill="EEF2F6" w:val="clear"/>
            <w:tcMar>
              <w:top w:type="dxa" w:w="80"/>
              <w:left w:type="dxa" w:w="120"/>
              <w:bottom w:type="dxa" w:w="80"/>
              <w:right w:type="dxa" w:w="120"/>
            </w:tcMar>
          </w:tcPr>
          <w:p>
            <w:pPr>
              <w:spacing w:after="0" w:line="240"/>
              <w:jc w:val="right"/>
            </w:pPr>
            <w:r>
              <w:rPr>
                <w:b/>
                <w:bCs/>
                <w:sz w:val="19"/>
                <w:szCs w:val="19"/>
              </w:rPr>
              <w:t xml:space="preserve">Cycle_Index target</w:t>
            </w:r>
          </w:p>
        </w:tc>
        <w:tc>
          <w:tcPr>
            <w:tcW w:type="dxa" w:w="2680"/>
            <w:shd w:fill="EEF2F6" w:val="clear"/>
            <w:tcMar>
              <w:top w:type="dxa" w:w="80"/>
              <w:left w:type="dxa" w:w="120"/>
              <w:bottom w:type="dxa" w:w="80"/>
              <w:right w:type="dxa" w:w="120"/>
            </w:tcMar>
          </w:tcPr>
          <w:p>
            <w:pPr>
              <w:spacing w:after="0" w:line="240"/>
              <w:jc w:val="right"/>
            </w:pPr>
            <w:r>
              <w:rPr>
                <w:b/>
                <w:bCs/>
                <w:sz w:val="19"/>
                <w:szCs w:val="19"/>
              </w:rPr>
              <w:t xml:space="preserve">Full-discharge target</w:t>
            </w:r>
          </w:p>
        </w:tc>
      </w:tr>
      <w:tr>
        <w:tc>
          <w:tcPr>
            <w:tcW w:type="dxa" w:w="4000"/>
            <w:tcMar>
              <w:top w:type="dxa" w:w="80"/>
              <w:left w:type="dxa" w:w="120"/>
              <w:bottom w:type="dxa" w:w="80"/>
              <w:right w:type="dxa" w:w="120"/>
            </w:tcMar>
          </w:tcPr>
          <w:p>
            <w:pPr>
              <w:spacing w:after="0" w:line="240"/>
            </w:pPr>
            <w:r>
              <w:rPr>
                <w:sz w:val="19"/>
                <w:szCs w:val="19"/>
              </w:rPr>
              <w:t xml:space="preserve">LOCO IQR of the gap</w:t>
            </w:r>
          </w:p>
        </w:tc>
        <w:tc>
          <w:tcPr>
            <w:tcW w:type="dxa" w:w="2680"/>
            <w:tcMar>
              <w:top w:type="dxa" w:w="80"/>
              <w:left w:type="dxa" w:w="120"/>
              <w:bottom w:type="dxa" w:w="80"/>
              <w:right w:type="dxa" w:w="120"/>
            </w:tcMar>
          </w:tcPr>
          <w:p>
            <w:pPr>
              <w:spacing w:after="0" w:line="240"/>
              <w:jc w:val="right"/>
            </w:pPr>
            <w:r>
              <w:rPr>
                <w:sz w:val="19"/>
                <w:szCs w:val="19"/>
              </w:rPr>
              <w:t xml:space="preserve">0.892</w:t>
            </w:r>
          </w:p>
        </w:tc>
        <w:tc>
          <w:tcPr>
            <w:tcW w:type="dxa" w:w="2680"/>
            <w:tcMar>
              <w:top w:type="dxa" w:w="80"/>
              <w:left w:type="dxa" w:w="120"/>
              <w:bottom w:type="dxa" w:w="80"/>
              <w:right w:type="dxa" w:w="120"/>
            </w:tcMar>
          </w:tcPr>
          <w:p>
            <w:pPr>
              <w:spacing w:after="0" w:line="240"/>
              <w:jc w:val="right"/>
            </w:pPr>
            <w:r>
              <w:rPr>
                <w:sz w:val="19"/>
                <w:szCs w:val="19"/>
              </w:rPr>
              <w:t xml:space="preserve">0.296</w:t>
            </w:r>
          </w:p>
        </w:tc>
      </w:tr>
      <w:tr>
        <w:tc>
          <w:tcPr>
            <w:tcW w:type="dxa" w:w="4000"/>
            <w:tcMar>
              <w:top w:type="dxa" w:w="80"/>
              <w:left w:type="dxa" w:w="120"/>
              <w:bottom w:type="dxa" w:w="80"/>
              <w:right w:type="dxa" w:w="120"/>
            </w:tcMar>
          </w:tcPr>
          <w:p>
            <w:pPr>
              <w:spacing w:after="0" w:line="240"/>
            </w:pPr>
            <w:r>
              <w:rPr>
                <w:sz w:val="19"/>
                <w:szCs w:val="19"/>
              </w:rPr>
              <w:t xml:space="preserve">Median paired svr_rbf − age_linear</w:t>
            </w:r>
          </w:p>
        </w:tc>
        <w:tc>
          <w:tcPr>
            <w:tcW w:type="dxa" w:w="2680"/>
            <w:tcMar>
              <w:top w:type="dxa" w:w="80"/>
              <w:left w:type="dxa" w:w="120"/>
              <w:bottom w:type="dxa" w:w="80"/>
              <w:right w:type="dxa" w:w="120"/>
            </w:tcMar>
          </w:tcPr>
          <w:p>
            <w:pPr>
              <w:spacing w:after="0" w:line="240"/>
              <w:jc w:val="right"/>
            </w:pPr>
            <w:r>
              <w:rPr>
                <w:sz w:val="19"/>
                <w:szCs w:val="19"/>
              </w:rPr>
              <w:t xml:space="preserve">−0.336</w:t>
            </w:r>
          </w:p>
        </w:tc>
        <w:tc>
          <w:tcPr>
            <w:tcW w:type="dxa" w:w="2680"/>
            <w:tcMar>
              <w:top w:type="dxa" w:w="80"/>
              <w:left w:type="dxa" w:w="120"/>
              <w:bottom w:type="dxa" w:w="80"/>
              <w:right w:type="dxa" w:w="120"/>
            </w:tcMar>
          </w:tcPr>
          <w:p>
            <w:pPr>
              <w:spacing w:after="0" w:line="240"/>
              <w:jc w:val="right"/>
            </w:pPr>
            <w:r>
              <w:rPr>
                <w:sz w:val="19"/>
                <w:szCs w:val="19"/>
              </w:rPr>
              <w:t xml:space="preserve">−0.110</w:t>
            </w:r>
          </w:p>
        </w:tc>
      </w:tr>
      <w:tr>
        <w:tc>
          <w:tcPr>
            <w:tcW w:type="dxa" w:w="4000"/>
            <w:tcMar>
              <w:top w:type="dxa" w:w="80"/>
              <w:left w:type="dxa" w:w="120"/>
              <w:bottom w:type="dxa" w:w="80"/>
              <w:right w:type="dxa" w:w="120"/>
            </w:tcMar>
          </w:tcPr>
          <w:p>
            <w:pPr>
              <w:spacing w:after="0" w:line="240"/>
            </w:pPr>
            <w:r>
              <w:rPr>
                <w:sz w:val="19"/>
                <w:szCs w:val="19"/>
              </w:rPr>
              <w:t xml:space="preserve">Draws where svr_rbf wins</w:t>
            </w:r>
          </w:p>
        </w:tc>
        <w:tc>
          <w:tcPr>
            <w:tcW w:type="dxa" w:w="2680"/>
            <w:tcMar>
              <w:top w:type="dxa" w:w="80"/>
              <w:left w:type="dxa" w:w="120"/>
              <w:bottom w:type="dxa" w:w="80"/>
              <w:right w:type="dxa" w:w="120"/>
            </w:tcMar>
          </w:tcPr>
          <w:p>
            <w:pPr>
              <w:spacing w:after="0" w:line="240"/>
              <w:jc w:val="right"/>
            </w:pPr>
            <w:r>
              <w:rPr>
                <w:sz w:val="19"/>
                <w:szCs w:val="19"/>
              </w:rPr>
              <w:t xml:space="preserve">13.9%</w:t>
            </w:r>
          </w:p>
        </w:tc>
        <w:tc>
          <w:tcPr>
            <w:tcW w:type="dxa" w:w="2680"/>
            <w:tcMar>
              <w:top w:type="dxa" w:w="80"/>
              <w:left w:type="dxa" w:w="120"/>
              <w:bottom w:type="dxa" w:w="80"/>
              <w:right w:type="dxa" w:w="120"/>
            </w:tcMar>
          </w:tcPr>
          <w:p>
            <w:pPr>
              <w:spacing w:after="0" w:line="240"/>
              <w:jc w:val="right"/>
            </w:pPr>
            <w:r>
              <w:rPr>
                <w:sz w:val="19"/>
                <w:szCs w:val="19"/>
              </w:rPr>
              <w:t xml:space="preserve">38.9%</w:t>
            </w:r>
          </w:p>
        </w:tc>
      </w:tr>
      <w:tr>
        <w:tc>
          <w:tcPr>
            <w:tcW w:type="dxa" w:w="4000"/>
            <w:tcMar>
              <w:top w:type="dxa" w:w="80"/>
              <w:left w:type="dxa" w:w="120"/>
              <w:bottom w:type="dxa" w:w="80"/>
              <w:right w:type="dxa" w:w="120"/>
            </w:tcMar>
          </w:tcPr>
          <w:p>
            <w:pPr>
              <w:spacing w:after="0" w:line="240"/>
            </w:pPr>
            <w:r>
              <w:rPr>
                <w:sz w:val="19"/>
                <w:szCs w:val="19"/>
              </w:rPr>
              <w:t xml:space="preserve">Noise-to-effect ratio</w:t>
            </w:r>
          </w:p>
        </w:tc>
        <w:tc>
          <w:tcPr>
            <w:tcW w:type="dxa" w:w="2680"/>
            <w:tcMar>
              <w:top w:type="dxa" w:w="80"/>
              <w:left w:type="dxa" w:w="120"/>
              <w:bottom w:type="dxa" w:w="80"/>
              <w:right w:type="dxa" w:w="120"/>
            </w:tcMar>
          </w:tcPr>
          <w:p>
            <w:pPr>
              <w:spacing w:after="0" w:line="240"/>
              <w:jc w:val="right"/>
            </w:pPr>
            <w:r>
              <w:rPr>
                <w:sz w:val="19"/>
                <w:szCs w:val="19"/>
              </w:rPr>
              <w:t xml:space="preserve">2.66</w:t>
            </w:r>
          </w:p>
        </w:tc>
        <w:tc>
          <w:tcPr>
            <w:tcW w:type="dxa" w:w="2680"/>
            <w:tcMar>
              <w:top w:type="dxa" w:w="80"/>
              <w:left w:type="dxa" w:w="120"/>
              <w:bottom w:type="dxa" w:w="80"/>
              <w:right w:type="dxa" w:w="120"/>
            </w:tcMar>
          </w:tcPr>
          <w:p>
            <w:pPr>
              <w:spacing w:after="0" w:line="240"/>
              <w:jc w:val="right"/>
            </w:pPr>
            <w:r>
              <w:rPr>
                <w:sz w:val="19"/>
                <w:szCs w:val="19"/>
              </w:rPr>
              <w:t xml:space="preserve">2.70</w:t>
            </w:r>
          </w:p>
        </w:tc>
      </w:tr>
    </w:tbl>
    <w:p>
      <w:pPr>
        <w:spacing w:after="180"/>
      </w:pPr>
    </w:p>
    <w:p>
      <w:pPr>
        <w:spacing w:after="140" w:line="276"/>
      </w:pPr>
      <w:r>
        <w:rPr>
          <w:sz w:val="21"/>
          <w:szCs w:val="21"/>
        </w:rPr>
        <w:t xml:space="preserve">The IQR reduction is 0.596 R², bootstrap 95% confidence interval [0.335, 0.936] over 4,000 resamples; the corrected estimate is smaller in every resample. Three distinct conclusions follow:</w:t>
      </w:r>
    </w:p>
    <w:p>
      <w:pPr>
        <w:pStyle w:val="ListParagraph"/>
        <w:numPr>
          <w:ilvl w:val="0"/>
          <w:numId w:val="5"/>
        </w:numPr>
        <w:spacing w:after="90" w:line="276"/>
      </w:pPr>
      <w:r>
        <w:rPr>
          <w:b/>
          <w:bCs/>
          <w:sz w:val="21"/>
          <w:szCs w:val="21"/>
        </w:rPr>
        <w:t xml:space="preserve">The claim survives as a ratio. </w:t>
      </w:r>
      <w:r>
        <w:rPr>
          <w:sz w:val="21"/>
          <w:szCs w:val="21"/>
        </w:rPr>
        <w:t xml:space="preserve">2.70 against 2.66 — the estimator is several times noisier than the effect on both derivations. Not an artefact of the target.</w:t>
      </w:r>
    </w:p>
    <w:p>
      <w:pPr>
        <w:pStyle w:val="ListParagraph"/>
        <w:numPr>
          <w:ilvl w:val="0"/>
          <w:numId w:val="5"/>
        </w:numPr>
        <w:spacing w:after="90" w:line="276"/>
      </w:pPr>
      <w:r>
        <w:rPr>
          <w:b/>
          <w:bCs/>
          <w:sz w:val="21"/>
          <w:szCs w:val="21"/>
        </w:rPr>
        <w:t xml:space="preserve">The magnitudes were inflated roughly threefold. </w:t>
      </w:r>
      <w:r>
        <w:rPr>
          <w:sz w:val="21"/>
          <w:szCs w:val="21"/>
        </w:rPr>
        <w:t xml:space="preserve">Quoting 0.724 or 0.351 as a property of leave-one-cohort-out in general overstates it by that factor; those figures describe that estimator on that frame.</w:t>
      </w:r>
    </w:p>
    <w:p>
      <w:pPr>
        <w:pStyle w:val="ListParagraph"/>
        <w:numPr>
          <w:ilvl w:val="0"/>
          <w:numId w:val="5"/>
        </w:numPr>
        <w:spacing w:after="90" w:line="276"/>
      </w:pPr>
      <w:r>
        <w:rPr>
          <w:b/>
          <w:bCs/>
          <w:sz w:val="21"/>
          <w:szCs w:val="21"/>
        </w:rPr>
        <w:t xml:space="preserve">The mechanism does not survive. </w:t>
      </w:r>
      <w:r>
        <w:rPr>
          <w:sz w:val="21"/>
          <w:szCs w:val="21"/>
        </w:rPr>
        <w:t xml:space="preserve">On the Cycle_Index target svr_rbf collapsed hardest; on the corrected target the ordering inverts. “The flexible method transfers worst” is the sixth withdrawn ranking claim.</w:t>
      </w:r>
    </w:p>
    <w:p>
      <w:pPr>
        <w:pStyle w:val="Heading3"/>
        <w:spacing w:after="120" w:before="260"/>
      </w:pPr>
      <w:r>
        <w:rPr>
          <w:b/>
          <w:bCs/>
          <w:color w:val="2F3B4D"/>
          <w:sz w:val="23"/>
          <w:szCs w:val="23"/>
        </w:rPr>
        <w:t xml:space="preserve">15.4 Standing position</w:t>
      </w:r>
    </w:p>
    <w:tbl>
      <w:tblPr>
        <w:tblW w:type="dxa" w:w="9360"/>
        <w:tblBorders>
          <w:top w:val="single" w:color="DDE5DF" w:sz="2"/>
          <w:left w:val="single" w:color="1F6F4A" w:sz="18"/>
          <w:bottom w:val="single" w:color="DDE5DF" w:sz="2"/>
          <w:right w:val="single" w:color="DDE5DF" w:sz="2"/>
          <w:insideH w:val="none"/>
          <w:insideV w:val="none"/>
        </w:tblBorders>
      </w:tblPr>
      <w:tblGrid>
        <w:gridCol w:w="9360"/>
      </w:tblGrid>
      <w:tr>
        <w:tc>
          <w:tcPr>
            <w:tcW w:type="dxa" w:w="9360"/>
            <w:shd w:fill="F1F7F3" w:val="clear"/>
            <w:tcMar>
              <w:top w:type="dxa" w:w="140"/>
              <w:left w:type="dxa" w:w="200"/>
              <w:bottom w:type="dxa" w:w="140"/>
              <w:right w:type="dxa" w:w="200"/>
            </w:tcMar>
          </w:tcPr>
          <w:p>
            <w:pPr>
              <w:spacing w:after="0" w:line="276"/>
            </w:pPr>
            <w:r>
              <w:rPr>
                <w:sz w:val="21"/>
                <w:szCs w:val="21"/>
              </w:rPr>
              <w:t xml:space="preserve">At the sample sizes standard battery datasets provide, a single leave-one-cohort-out estimate cannot distinguish between candidate methods and must be reported as an interval.</w:t>
            </w:r>
          </w:p>
        </w:tc>
      </w:tr>
    </w:tbl>
    <w:p>
      <w:pPr>
        <w:spacing w:after="160"/>
      </w:pPr>
    </w:p>
    <w:p>
      <w:pPr>
        <w:spacing w:after="140" w:line="276"/>
      </w:pPr>
      <w:r>
        <w:rPr>
          <w:sz w:val="21"/>
          <w:szCs w:val="21"/>
        </w:rPr>
        <w:t xml:space="preserve">This is a methodological contribution independent of which model wins, and it is the result this project would offer for publication.</w:t>
      </w:r>
    </w:p>
    <w:p>
      <w:pPr>
        <w:pStyle w:val="Heading2"/>
        <w:spacing w:after="160" w:before="360"/>
      </w:pPr>
      <w:r>
        <w:rPr>
          <w:b/>
          <w:bCs/>
          <w:color w:val="111826"/>
          <w:sz w:val="28"/>
          <w:szCs w:val="28"/>
        </w:rPr>
        <w:t xml:space="preserve">16. Threshold Reachability of the Risk Score</w:t>
      </w:r>
    </w:p>
    <w:p>
      <w:pPr>
        <w:spacing w:after="140" w:line="276"/>
      </w:pPr>
      <w:r>
        <w:rPr>
          <w:sz w:val="21"/>
          <w:szCs w:val="21"/>
        </w:rPr>
        <w:t xml:space="preserve">A separate audit asked whether the rule-based risk score’s hand-chosen cut points are reachable by real data. Of a mean risk score of 52.3 points, 32.0 points — 61% — come from terms that are constant across the entire NASA fleet, because their thresholds sit outside the range the data occupies.</w:t>
      </w:r>
    </w:p>
    <w:p>
      <w:pPr>
        <w:spacing w:after="140" w:line="276"/>
      </w:pPr>
      <w:r>
        <w:rPr>
          <w:sz w:val="21"/>
          <w:szCs w:val="21"/>
        </w:rPr>
        <w:t xml:space="preserve">This explains mechanically why the heuristic showed no resolution between cells, and reframes the earlier null result as a calibration-design fault rather than a failure of the behavioural premise itself. It is the most recoverable of the negative findings: the premise may yet hold under thresholds chosen from data rather than by hand.</w:t>
      </w:r>
    </w:p>
    <w:p>
      <w:pPr>
        <w:pStyle w:val="Heading1"/>
        <w:pageBreakBefore/>
        <w:spacing w:after="300" w:before="200"/>
      </w:pPr>
      <w:r>
        <w:rPr>
          <w:b/>
          <w:bCs/>
          <w:color w:val="1F6F4A"/>
          <w:sz w:val="19"/>
          <w:szCs w:val="19"/>
        </w:rPr>
        <w:t xml:space="preserve">PART IV</w:t>
      </w:r>
      <w:r>
        <w:br/>
        <w:t xml:space="preserve"/>
      </w:r>
      <w:r>
        <w:rPr>
          <w:b/>
          <w:bCs/>
          <w:color w:val="111826"/>
          <w:sz w:val="38"/>
          <w:szCs w:val="38"/>
        </w:rPr>
        <w:t xml:space="preserve">Hardware: What We Are Doing Now</w:t>
      </w:r>
    </w:p>
    <w:p>
      <w:pPr>
        <w:spacing w:after="140" w:line="276"/>
      </w:pPr>
      <w:r>
        <w:rPr>
          <w:sz w:val="21"/>
          <w:szCs w:val="21"/>
        </w:rPr>
        <w:t xml:space="preserve">Parts I to III are dataset work. This part documents the physical bench rig built to close the loop from instrument to dashboard, and is reported with a strict separation between what has been measured and what has not.</w:t>
      </w:r>
    </w:p>
    <w:p>
      <w:pPr>
        <w:pStyle w:val="Heading2"/>
        <w:spacing w:after="160" w:before="360"/>
      </w:pPr>
      <w:r>
        <w:rPr>
          <w:b/>
          <w:bCs/>
          <w:color w:val="111826"/>
          <w:sz w:val="28"/>
          <w:szCs w:val="28"/>
        </w:rPr>
        <w:t xml:space="preserve">17. Rig Design and Component Rationale</w:t>
      </w:r>
    </w:p>
    <w:tbl>
      <w:tblPr>
        <w:tblW w:type="dxa" w:w="9360"/>
        <w:tblBorders>
          <w:top w:val="single" w:color="B9C2CE" w:sz="4"/>
          <w:left w:val="none"/>
          <w:bottom w:val="single" w:color="B9C2CE" w:sz="4"/>
          <w:right w:val="none"/>
          <w:insideH w:val="single" w:color="E1E6EC" w:sz="2"/>
          <w:insideV w:val="none"/>
        </w:tblBorders>
      </w:tblPr>
      <w:tblGrid>
        <w:gridCol w:w="1900"/>
        <w:gridCol w:w="2500"/>
        <w:gridCol w:w="4960"/>
      </w:tblGrid>
      <w:tr>
        <w:trPr>
          <w:tblHeader/>
        </w:trPr>
        <w:tc>
          <w:tcPr>
            <w:tcW w:type="dxa" w:w="1900"/>
            <w:shd w:fill="EEF2F6" w:val="clear"/>
            <w:tcMar>
              <w:top w:type="dxa" w:w="80"/>
              <w:left w:type="dxa" w:w="120"/>
              <w:bottom w:type="dxa" w:w="80"/>
              <w:right w:type="dxa" w:w="120"/>
            </w:tcMar>
          </w:tcPr>
          <w:p>
            <w:pPr>
              <w:spacing w:after="0" w:line="240"/>
            </w:pPr>
            <w:r>
              <w:rPr>
                <w:b/>
                <w:bCs/>
                <w:sz w:val="19"/>
                <w:szCs w:val="19"/>
              </w:rPr>
              <w:t xml:space="preserve">Function</w:t>
            </w:r>
          </w:p>
        </w:tc>
        <w:tc>
          <w:tcPr>
            <w:tcW w:type="dxa" w:w="2500"/>
            <w:shd w:fill="EEF2F6" w:val="clear"/>
            <w:tcMar>
              <w:top w:type="dxa" w:w="80"/>
              <w:left w:type="dxa" w:w="120"/>
              <w:bottom w:type="dxa" w:w="80"/>
              <w:right w:type="dxa" w:w="120"/>
            </w:tcMar>
          </w:tcPr>
          <w:p>
            <w:pPr>
              <w:spacing w:after="0" w:line="240"/>
            </w:pPr>
            <w:r>
              <w:rPr>
                <w:b/>
                <w:bCs/>
                <w:sz w:val="19"/>
                <w:szCs w:val="19"/>
              </w:rPr>
              <w:t xml:space="preserve">Selected</w:t>
            </w:r>
          </w:p>
        </w:tc>
        <w:tc>
          <w:tcPr>
            <w:tcW w:type="dxa" w:w="4960"/>
            <w:shd w:fill="EEF2F6" w:val="clear"/>
            <w:tcMar>
              <w:top w:type="dxa" w:w="80"/>
              <w:left w:type="dxa" w:w="120"/>
              <w:bottom w:type="dxa" w:w="80"/>
              <w:right w:type="dxa" w:w="120"/>
            </w:tcMar>
          </w:tcPr>
          <w:p>
            <w:pPr>
              <w:spacing w:after="0" w:line="240"/>
            </w:pPr>
            <w:r>
              <w:rPr>
                <w:b/>
                <w:bCs/>
                <w:sz w:val="19"/>
                <w:szCs w:val="19"/>
              </w:rPr>
              <w:t xml:space="preserve">Rejected alternative and reason</w:t>
            </w:r>
          </w:p>
        </w:tc>
      </w:tr>
      <w:tr>
        <w:tc>
          <w:tcPr>
            <w:tcW w:type="dxa" w:w="1900"/>
            <w:tcMar>
              <w:top w:type="dxa" w:w="80"/>
              <w:left w:type="dxa" w:w="120"/>
              <w:bottom w:type="dxa" w:w="80"/>
              <w:right w:type="dxa" w:w="120"/>
            </w:tcMar>
          </w:tcPr>
          <w:p>
            <w:pPr>
              <w:spacing w:after="0" w:line="240"/>
            </w:pPr>
            <w:r>
              <w:rPr>
                <w:sz w:val="19"/>
                <w:szCs w:val="19"/>
              </w:rPr>
              <w:t xml:space="preserve">Current and bus voltage</w:t>
            </w:r>
          </w:p>
        </w:tc>
        <w:tc>
          <w:tcPr>
            <w:tcW w:type="dxa" w:w="2500"/>
            <w:tcMar>
              <w:top w:type="dxa" w:w="80"/>
              <w:left w:type="dxa" w:w="120"/>
              <w:bottom w:type="dxa" w:w="80"/>
              <w:right w:type="dxa" w:w="120"/>
            </w:tcMar>
          </w:tcPr>
          <w:p>
            <w:pPr>
              <w:spacing w:after="0" w:line="240"/>
            </w:pPr>
            <w:r>
              <w:rPr>
                <w:sz w:val="19"/>
                <w:szCs w:val="19"/>
              </w:rPr>
              <w:t xml:space="preserve">INA219, I²C, 0.1 Ω 2 W shunt, high-side</w:t>
            </w:r>
          </w:p>
        </w:tc>
        <w:tc>
          <w:tcPr>
            <w:tcW w:type="dxa" w:w="4960"/>
            <w:tcMar>
              <w:top w:type="dxa" w:w="80"/>
              <w:left w:type="dxa" w:w="120"/>
              <w:bottom w:type="dxa" w:w="80"/>
              <w:right w:type="dxa" w:w="120"/>
            </w:tcMar>
          </w:tcPr>
          <w:p>
            <w:pPr>
              <w:spacing w:after="0" w:line="240"/>
            </w:pPr>
            <w:r>
              <w:rPr>
                <w:sz w:val="19"/>
                <w:szCs w:val="19"/>
              </w:rPr>
              <w:t xml:space="preserve">ACS712 — analogue output inherits ADC nonlinearity, and its zero-current offset drifts with temperature, which is fatal for coulomb counting.</w:t>
            </w:r>
          </w:p>
        </w:tc>
      </w:tr>
      <w:tr>
        <w:tc>
          <w:tcPr>
            <w:tcW w:type="dxa" w:w="1900"/>
            <w:tcMar>
              <w:top w:type="dxa" w:w="80"/>
              <w:left w:type="dxa" w:w="120"/>
              <w:bottom w:type="dxa" w:w="80"/>
              <w:right w:type="dxa" w:w="120"/>
            </w:tcMar>
          </w:tcPr>
          <w:p>
            <w:pPr>
              <w:spacing w:after="0" w:line="240"/>
            </w:pPr>
            <w:r>
              <w:rPr>
                <w:sz w:val="19"/>
                <w:szCs w:val="19"/>
              </w:rPr>
              <w:t xml:space="preserve">Terminal voltage</w:t>
            </w:r>
          </w:p>
        </w:tc>
        <w:tc>
          <w:tcPr>
            <w:tcW w:type="dxa" w:w="2500"/>
            <w:tcMar>
              <w:top w:type="dxa" w:w="80"/>
              <w:left w:type="dxa" w:w="120"/>
              <w:bottom w:type="dxa" w:w="80"/>
              <w:right w:type="dxa" w:w="120"/>
            </w:tcMar>
          </w:tcPr>
          <w:p>
            <w:pPr>
              <w:spacing w:after="0" w:line="240"/>
            </w:pPr>
            <w:r>
              <w:rPr>
                <w:sz w:val="19"/>
                <w:szCs w:val="19"/>
              </w:rPr>
              <w:t xml:space="preserve">INA219 bus channel</w:t>
            </w:r>
          </w:p>
        </w:tc>
        <w:tc>
          <w:tcPr>
            <w:tcW w:type="dxa" w:w="4960"/>
            <w:tcMar>
              <w:top w:type="dxa" w:w="80"/>
              <w:left w:type="dxa" w:w="120"/>
              <w:bottom w:type="dxa" w:w="80"/>
              <w:right w:type="dxa" w:w="120"/>
            </w:tcMar>
          </w:tcPr>
          <w:p>
            <w:pPr>
              <w:spacing w:after="0" w:line="240"/>
            </w:pPr>
            <w:r>
              <w:rPr>
                <w:sz w:val="19"/>
                <w:szCs w:val="19"/>
              </w:rPr>
              <w:t xml:space="preserve">Resistive divider to ADC — adds 1.4% resistor-tolerance error, drains the cell continuously, and the ESP8266 ADC is nonlinear near the rails.</w:t>
            </w:r>
          </w:p>
        </w:tc>
      </w:tr>
      <w:tr>
        <w:tc>
          <w:tcPr>
            <w:tcW w:type="dxa" w:w="1900"/>
            <w:tcMar>
              <w:top w:type="dxa" w:w="80"/>
              <w:left w:type="dxa" w:w="120"/>
              <w:bottom w:type="dxa" w:w="80"/>
              <w:right w:type="dxa" w:w="120"/>
            </w:tcMar>
          </w:tcPr>
          <w:p>
            <w:pPr>
              <w:spacing w:after="0" w:line="240"/>
            </w:pPr>
            <w:r>
              <w:rPr>
                <w:sz w:val="19"/>
                <w:szCs w:val="19"/>
              </w:rPr>
              <w:t xml:space="preserve">Temperature</w:t>
            </w:r>
          </w:p>
        </w:tc>
        <w:tc>
          <w:tcPr>
            <w:tcW w:type="dxa" w:w="2500"/>
            <w:tcMar>
              <w:top w:type="dxa" w:w="80"/>
              <w:left w:type="dxa" w:w="120"/>
              <w:bottom w:type="dxa" w:w="80"/>
              <w:right w:type="dxa" w:w="120"/>
            </w:tcMar>
          </w:tcPr>
          <w:p>
            <w:pPr>
              <w:spacing w:after="0" w:line="240"/>
            </w:pPr>
            <w:r>
              <w:rPr>
                <w:sz w:val="19"/>
                <w:szCs w:val="19"/>
              </w:rPr>
              <w:t xml:space="preserve">LM35DZ fitted; DS18B20 preferred</w:t>
            </w:r>
          </w:p>
        </w:tc>
        <w:tc>
          <w:tcPr>
            <w:tcW w:type="dxa" w:w="4960"/>
            <w:tcMar>
              <w:top w:type="dxa" w:w="80"/>
              <w:left w:type="dxa" w:w="120"/>
              <w:bottom w:type="dxa" w:w="80"/>
              <w:right w:type="dxa" w:w="120"/>
            </w:tcMar>
          </w:tcPr>
          <w:p>
            <w:pPr>
              <w:spacing w:after="0" w:line="240"/>
            </w:pPr>
            <w:r>
              <w:rPr>
                <w:sz w:val="19"/>
                <w:szCs w:val="19"/>
              </w:rPr>
              <w:t xml:space="preserve">NTC thermistor — a disconnected NTC floats to a plausible in-range value and is scored as a measurement. A disconnected DS18B20 reports −127 °C and is rejected by the schema.</w:t>
            </w:r>
          </w:p>
        </w:tc>
      </w:tr>
      <w:tr>
        <w:tc>
          <w:tcPr>
            <w:tcW w:type="dxa" w:w="1900"/>
            <w:tcMar>
              <w:top w:type="dxa" w:w="80"/>
              <w:left w:type="dxa" w:w="120"/>
              <w:bottom w:type="dxa" w:w="80"/>
              <w:right w:type="dxa" w:w="120"/>
            </w:tcMar>
          </w:tcPr>
          <w:p>
            <w:pPr>
              <w:spacing w:after="0" w:line="240"/>
            </w:pPr>
            <w:r>
              <w:rPr>
                <w:sz w:val="19"/>
                <w:szCs w:val="19"/>
              </w:rPr>
              <w:t xml:space="preserve">Protection</w:t>
            </w:r>
          </w:p>
        </w:tc>
        <w:tc>
          <w:tcPr>
            <w:tcW w:type="dxa" w:w="2500"/>
            <w:tcMar>
              <w:top w:type="dxa" w:w="80"/>
              <w:left w:type="dxa" w:w="120"/>
              <w:bottom w:type="dxa" w:w="80"/>
              <w:right w:type="dxa" w:w="120"/>
            </w:tcMar>
          </w:tcPr>
          <w:p>
            <w:pPr>
              <w:spacing w:after="0" w:line="240"/>
            </w:pPr>
            <w:r>
              <w:rPr>
                <w:sz w:val="19"/>
                <w:szCs w:val="19"/>
              </w:rPr>
              <w:t xml:space="preserve">Protected cell plus TP4056/DW01 module</w:t>
            </w:r>
          </w:p>
        </w:tc>
        <w:tc>
          <w:tcPr>
            <w:tcW w:type="dxa" w:w="4960"/>
            <w:tcMar>
              <w:top w:type="dxa" w:w="80"/>
              <w:left w:type="dxa" w:w="120"/>
              <w:bottom w:type="dxa" w:w="80"/>
              <w:right w:type="dxa" w:w="120"/>
            </w:tcMar>
          </w:tcPr>
          <w:p>
            <w:pPr>
              <w:spacing w:after="0" w:line="240"/>
            </w:pPr>
            <w:r>
              <w:rPr>
                <w:sz w:val="19"/>
                <w:szCs w:val="19"/>
              </w:rPr>
              <w:t xml:space="preserve">None — the microcontroller is a monitor and must never be the protection device.</w:t>
            </w:r>
          </w:p>
        </w:tc>
      </w:tr>
      <w:tr>
        <w:tc>
          <w:tcPr>
            <w:tcW w:type="dxa" w:w="1900"/>
            <w:tcMar>
              <w:top w:type="dxa" w:w="80"/>
              <w:left w:type="dxa" w:w="120"/>
              <w:bottom w:type="dxa" w:w="80"/>
              <w:right w:type="dxa" w:w="120"/>
            </w:tcMar>
          </w:tcPr>
          <w:p>
            <w:pPr>
              <w:spacing w:after="0" w:line="240"/>
            </w:pPr>
            <w:r>
              <w:rPr>
                <w:sz w:val="19"/>
                <w:szCs w:val="19"/>
              </w:rPr>
              <w:t xml:space="preserve">Controller</w:t>
            </w:r>
          </w:p>
        </w:tc>
        <w:tc>
          <w:tcPr>
            <w:tcW w:type="dxa" w:w="2500"/>
            <w:tcMar>
              <w:top w:type="dxa" w:w="80"/>
              <w:left w:type="dxa" w:w="120"/>
              <w:bottom w:type="dxa" w:w="80"/>
              <w:right w:type="dxa" w:w="120"/>
            </w:tcMar>
          </w:tcPr>
          <w:p>
            <w:pPr>
              <w:spacing w:after="0" w:line="240"/>
            </w:pPr>
            <w:r>
              <w:rPr>
                <w:sz w:val="19"/>
                <w:szCs w:val="19"/>
              </w:rPr>
              <w:t xml:space="preserve">ESP8266 NodeMCU</w:t>
            </w:r>
          </w:p>
        </w:tc>
        <w:tc>
          <w:tcPr>
            <w:tcW w:type="dxa" w:w="4960"/>
            <w:tcMar>
              <w:top w:type="dxa" w:w="80"/>
              <w:left w:type="dxa" w:w="120"/>
              <w:bottom w:type="dxa" w:w="80"/>
              <w:right w:type="dxa" w:w="120"/>
            </w:tcMar>
          </w:tcPr>
          <w:p>
            <w:pPr>
              <w:spacing w:after="0" w:line="240"/>
            </w:pPr>
            <w:r>
              <w:rPr>
                <w:sz w:val="19"/>
                <w:szCs w:val="19"/>
              </w:rPr>
              <w:t xml:space="preserve">ESP32 not required: with the INA219 on I²C, no analogue channel is needed for voltage or current.</w:t>
            </w:r>
          </w:p>
        </w:tc>
      </w:tr>
    </w:tbl>
    <w:p>
      <w:pPr>
        <w:spacing w:after="180"/>
      </w:pPr>
    </w:p>
    <w:p>
      <w:pPr>
        <w:spacing w:after="140" w:line="276"/>
      </w:pPr>
      <w:r>
        <w:rPr>
          <w:sz w:val="21"/>
          <w:szCs w:val="21"/>
        </w:rPr>
        <w:t xml:space="preserve">The temperature criterion is worth stating explicitly, because it is a systems argument rather than a component one: the part whose failure mode is detectable was preferred over the part with better nominal accuracy. The schema declares temperature valid over −40 to 150 °C, so a sensor whose failure produces a value inside that range is indistinguishable from a working one.</w:t>
      </w:r>
    </w:p>
    <w:p>
      <w:pPr>
        <w:pStyle w:val="Heading3"/>
        <w:spacing w:after="120" w:before="260"/>
      </w:pPr>
      <w:r>
        <w:rPr>
          <w:b/>
          <w:bCs/>
          <w:color w:val="2F3B4D"/>
          <w:sz w:val="23"/>
          <w:szCs w:val="23"/>
        </w:rPr>
        <w:t xml:space="preserve">17.1 Shunt sizing and error budget</w:t>
      </w:r>
    </w:p>
    <w:p>
      <w:pPr>
        <w:spacing w:after="140" w:line="276"/>
      </w:pPr>
      <w:r>
        <w:rPr>
          <w:sz w:val="21"/>
          <w:szCs w:val="21"/>
        </w:rPr>
        <w:t xml:space="preserve">The INA219 shunt channel is ±320 mV full scale at 12 bits. With a 0.1 Ω shunt this gives 3.2 A full scale and a 100 µA least significant bit. Discharge must stay below 3.2 A; saturation is not a graceful failure, since a clipped reading is silently wrong rather than flagged. At 2 A the shunt dissipates 0.4 W, and its temperature coefficient makes a hot shunt read high, which makes current read low — a systematic capacity error in one direction.</w:t>
      </w:r>
    </w:p>
    <w:p>
      <w:pPr>
        <w:pStyle w:val="Heading2"/>
        <w:spacing w:after="160" w:before="360"/>
      </w:pPr>
      <w:r>
        <w:rPr>
          <w:b/>
          <w:bCs/>
          <w:color w:val="111826"/>
          <w:sz w:val="28"/>
          <w:szCs w:val="28"/>
        </w:rPr>
        <w:t xml:space="preserve">18. The Wire Protocol</w:t>
      </w:r>
    </w:p>
    <w:p>
      <w:pPr>
        <w:spacing w:after="140" w:line="276"/>
      </w:pPr>
      <w:r>
        <w:rPr>
          <w:sz w:val="21"/>
          <w:szCs w:val="21"/>
        </w:rPr>
        <w:t xml:space="preserve">The firmware-to-host contract is beacon.telemetry.v1. Every line carries the sentinel BEACON1, a record type, a body, and an optional NMEA-style XOR checksum appended as *HH:</w:t>
      </w:r>
    </w:p>
    <w:p>
      <w:pPr>
        <w:spacing w:after="200" w:line="276"/>
      </w:pPr>
      <w:r>
        <w:rPr>
          <w:rFonts w:ascii="Consolas" w:cs="Consolas" w:eastAsia="Consolas" w:hAnsi="Consolas"/>
          <w:sz w:val="19"/>
          <w:szCs w:val="19"/>
        </w:rPr>
        <w:t xml:space="preserve">BEACON1 D {"t":0.138,"v":3.9880,"i":0.0000,"soc":100.00}*0F</w:t>
      </w:r>
    </w:p>
    <w:p>
      <w:pPr>
        <w:pStyle w:val="ListParagraph"/>
        <w:numPr>
          <w:ilvl w:val="0"/>
          <w:numId w:val="2"/>
        </w:numPr>
        <w:spacing w:after="90" w:line="276"/>
      </w:pPr>
      <w:r>
        <w:rPr>
          <w:b/>
          <w:bCs/>
          <w:sz w:val="21"/>
          <w:szCs w:val="21"/>
        </w:rPr>
        <w:t xml:space="preserve">Checksum optional, enforced when present. </w:t>
      </w:r>
      <w:r>
        <w:rPr>
          <w:sz w:val="21"/>
          <w:szCs w:val="21"/>
        </w:rPr>
        <w:t xml:space="preserve">A checksum verified only sometimes is worse than none, so a line carrying *HH must verify or the record is refused.</w:t>
      </w:r>
    </w:p>
    <w:p>
      <w:pPr>
        <w:pStyle w:val="ListParagraph"/>
        <w:numPr>
          <w:ilvl w:val="0"/>
          <w:numId w:val="2"/>
        </w:numPr>
        <w:spacing w:after="90" w:line="276"/>
      </w:pPr>
      <w:r>
        <w:rPr>
          <w:b/>
          <w:bCs/>
          <w:sz w:val="21"/>
          <w:szCs w:val="21"/>
        </w:rPr>
        <w:t xml:space="preserve">Sentinel resync. </w:t>
      </w:r>
      <w:r>
        <w:rPr>
          <w:sz w:val="21"/>
          <w:szCs w:val="21"/>
        </w:rPr>
        <w:t xml:space="preserve">The parser searches for the sentinel anywhere in the line rather than at position zero. Added after a real capture failure: a post-reset board emits boot output, so the HELLO line arrived concatenated with reset noise and was discarded.</w:t>
      </w:r>
    </w:p>
    <w:p>
      <w:pPr>
        <w:pStyle w:val="ListParagraph"/>
        <w:numPr>
          <w:ilvl w:val="0"/>
          <w:numId w:val="2"/>
        </w:numPr>
        <w:spacing w:after="90" w:line="276"/>
      </w:pPr>
      <w:r>
        <w:rPr>
          <w:b/>
          <w:bCs/>
          <w:sz w:val="21"/>
          <w:szCs w:val="21"/>
        </w:rPr>
        <w:t xml:space="preserve">Capacity declared, not assumed. </w:t>
      </w:r>
      <w:r>
        <w:rPr>
          <w:sz w:val="21"/>
          <w:szCs w:val="21"/>
        </w:rPr>
        <w:t xml:space="preserve">HELLO carries capacity_ah, bounded to 0.01–500 Ah. If neither rig nor caller supplies it, scoring refuses rather than defaulting.</w:t>
      </w:r>
    </w:p>
    <w:p>
      <w:pPr>
        <w:pStyle w:val="ListParagraph"/>
        <w:numPr>
          <w:ilvl w:val="0"/>
          <w:numId w:val="2"/>
        </w:numPr>
        <w:spacing w:after="90" w:line="276"/>
      </w:pPr>
      <w:r>
        <w:rPr>
          <w:b/>
          <w:bCs/>
          <w:sz w:val="21"/>
          <w:szCs w:val="21"/>
        </w:rPr>
        <w:t xml:space="preserve">Sensor complement declared. </w:t>
      </w:r>
      <w:r>
        <w:rPr>
          <w:sz w:val="21"/>
          <w:szCs w:val="21"/>
        </w:rPr>
        <w:t xml:space="preserve">The rig probes its sensors at startup and declares only the channels it can supply. A channel that disappears mid-capture is then a detectable fault rather than a silent gap.</w:t>
      </w:r>
    </w:p>
    <w:p>
      <w:pPr>
        <w:pStyle w:val="Heading2"/>
        <w:spacing w:after="160" w:before="360"/>
      </w:pPr>
      <w:r>
        <w:rPr>
          <w:b/>
          <w:bCs/>
          <w:color w:val="111826"/>
          <w:sz w:val="28"/>
          <w:szCs w:val="28"/>
        </w:rPr>
        <w:t xml:space="preserve">19. Measured Results</w:t>
      </w:r>
    </w:p>
    <w:p>
      <w:pPr>
        <w:pStyle w:val="Heading3"/>
        <w:spacing w:after="120" w:before="260"/>
      </w:pPr>
      <w:r>
        <w:rPr>
          <w:b/>
          <w:bCs/>
          <w:color w:val="2F3B4D"/>
          <w:sz w:val="23"/>
          <w:szCs w:val="23"/>
        </w:rPr>
        <w:t xml:space="preserve">19.1 Cell under test</w:t>
      </w:r>
    </w:p>
    <w:tbl>
      <w:tblPr>
        <w:tblW w:type="dxa" w:w="8000"/>
        <w:tblBorders>
          <w:top w:val="single" w:color="B9C2CE" w:sz="4"/>
          <w:left w:val="none"/>
          <w:bottom w:val="single" w:color="B9C2CE" w:sz="4"/>
          <w:right w:val="none"/>
          <w:insideH w:val="single" w:color="E1E6EC" w:sz="2"/>
          <w:insideV w:val="none"/>
        </w:tblBorders>
      </w:tblPr>
      <w:tblGrid>
        <w:gridCol w:w="2600"/>
        <w:gridCol w:w="5400"/>
      </w:tblGrid>
      <w:tr>
        <w:trPr>
          <w:tblHeader/>
        </w:trPr>
        <w:tc>
          <w:tcPr>
            <w:tcW w:type="dxa" w:w="2600"/>
            <w:shd w:fill="EEF2F6" w:val="clear"/>
            <w:tcMar>
              <w:top w:type="dxa" w:w="80"/>
              <w:left w:type="dxa" w:w="120"/>
              <w:bottom w:type="dxa" w:w="80"/>
              <w:right w:type="dxa" w:w="120"/>
            </w:tcMar>
          </w:tcPr>
          <w:p>
            <w:pPr>
              <w:spacing w:after="0" w:line="240"/>
            </w:pPr>
            <w:r>
              <w:rPr>
                <w:b/>
                <w:bCs/>
                <w:sz w:val="19"/>
                <w:szCs w:val="19"/>
              </w:rPr>
              <w:t xml:space="preserve">Property</w:t>
            </w:r>
          </w:p>
        </w:tc>
        <w:tc>
          <w:tcPr>
            <w:tcW w:type="dxa" w:w="5400"/>
            <w:shd w:fill="EEF2F6" w:val="clear"/>
            <w:tcMar>
              <w:top w:type="dxa" w:w="80"/>
              <w:left w:type="dxa" w:w="120"/>
              <w:bottom w:type="dxa" w:w="80"/>
              <w:right w:type="dxa" w:w="120"/>
            </w:tcMar>
          </w:tcPr>
          <w:p>
            <w:pPr>
              <w:spacing w:after="0" w:line="240"/>
            </w:pPr>
            <w:r>
              <w:rPr>
                <w:b/>
                <w:bCs/>
                <w:sz w:val="19"/>
                <w:szCs w:val="19"/>
              </w:rPr>
              <w:t xml:space="preserve">Value</w:t>
            </w:r>
          </w:p>
        </w:tc>
      </w:tr>
      <w:tr>
        <w:tc>
          <w:tcPr>
            <w:tcW w:type="dxa" w:w="2600"/>
            <w:tcMar>
              <w:top w:type="dxa" w:w="80"/>
              <w:left w:type="dxa" w:w="120"/>
              <w:bottom w:type="dxa" w:w="80"/>
              <w:right w:type="dxa" w:w="120"/>
            </w:tcMar>
          </w:tcPr>
          <w:p>
            <w:pPr>
              <w:spacing w:after="0" w:line="240"/>
            </w:pPr>
            <w:r>
              <w:rPr>
                <w:sz w:val="19"/>
                <w:szCs w:val="19"/>
              </w:rPr>
              <w:t xml:space="preserve">Cell</w:t>
            </w:r>
          </w:p>
        </w:tc>
        <w:tc>
          <w:tcPr>
            <w:tcW w:type="dxa" w:w="5400"/>
            <w:tcMar>
              <w:top w:type="dxa" w:w="80"/>
              <w:left w:type="dxa" w:w="120"/>
              <w:bottom w:type="dxa" w:w="80"/>
              <w:right w:type="dxa" w:w="120"/>
            </w:tcMar>
          </w:tcPr>
          <w:p>
            <w:pPr>
              <w:spacing w:after="0" w:line="240"/>
            </w:pPr>
            <w:r>
              <w:rPr>
                <w:sz w:val="19"/>
                <w:szCs w:val="19"/>
              </w:rPr>
              <w:t xml:space="preserve">HONGLI ICR-18650-2200mAh, protected</w:t>
            </w:r>
          </w:p>
        </w:tc>
      </w:tr>
      <w:tr>
        <w:tc>
          <w:tcPr>
            <w:tcW w:type="dxa" w:w="2600"/>
            <w:tcMar>
              <w:top w:type="dxa" w:w="80"/>
              <w:left w:type="dxa" w:w="120"/>
              <w:bottom w:type="dxa" w:w="80"/>
              <w:right w:type="dxa" w:w="120"/>
            </w:tcMar>
          </w:tcPr>
          <w:p>
            <w:pPr>
              <w:spacing w:after="0" w:line="240"/>
            </w:pPr>
            <w:r>
              <w:rPr>
                <w:sz w:val="19"/>
                <w:szCs w:val="19"/>
              </w:rPr>
              <w:t xml:space="preserve">Chemistry</w:t>
            </w:r>
          </w:p>
        </w:tc>
        <w:tc>
          <w:tcPr>
            <w:tcW w:type="dxa" w:w="5400"/>
            <w:tcMar>
              <w:top w:type="dxa" w:w="80"/>
              <w:left w:type="dxa" w:w="120"/>
              <w:bottom w:type="dxa" w:w="80"/>
              <w:right w:type="dxa" w:w="120"/>
            </w:tcMar>
          </w:tcPr>
          <w:p>
            <w:pPr>
              <w:spacing w:after="0" w:line="240"/>
            </w:pPr>
            <w:r>
              <w:rPr>
                <w:sz w:val="19"/>
                <w:szCs w:val="19"/>
              </w:rPr>
              <w:t xml:space="preserve">ICR (LiCoO₂) — see Section 1.2</w:t>
            </w:r>
          </w:p>
        </w:tc>
      </w:tr>
      <w:tr>
        <w:tc>
          <w:tcPr>
            <w:tcW w:type="dxa" w:w="2600"/>
            <w:tcMar>
              <w:top w:type="dxa" w:w="80"/>
              <w:left w:type="dxa" w:w="120"/>
              <w:bottom w:type="dxa" w:w="80"/>
              <w:right w:type="dxa" w:w="120"/>
            </w:tcMar>
          </w:tcPr>
          <w:p>
            <w:pPr>
              <w:spacing w:after="0" w:line="240"/>
            </w:pPr>
            <w:r>
              <w:rPr>
                <w:sz w:val="19"/>
                <w:szCs w:val="19"/>
              </w:rPr>
              <w:t xml:space="preserve">Nominal voltage</w:t>
            </w:r>
          </w:p>
        </w:tc>
        <w:tc>
          <w:tcPr>
            <w:tcW w:type="dxa" w:w="5400"/>
            <w:tcMar>
              <w:top w:type="dxa" w:w="80"/>
              <w:left w:type="dxa" w:w="120"/>
              <w:bottom w:type="dxa" w:w="80"/>
              <w:right w:type="dxa" w:w="120"/>
            </w:tcMar>
          </w:tcPr>
          <w:p>
            <w:pPr>
              <w:spacing w:after="0" w:line="240"/>
            </w:pPr>
            <w:r>
              <w:rPr>
                <w:sz w:val="19"/>
                <w:szCs w:val="19"/>
              </w:rPr>
              <w:t xml:space="preserve">3.7 V</w:t>
            </w:r>
          </w:p>
        </w:tc>
      </w:tr>
      <w:tr>
        <w:tc>
          <w:tcPr>
            <w:tcW w:type="dxa" w:w="2600"/>
            <w:tcMar>
              <w:top w:type="dxa" w:w="80"/>
              <w:left w:type="dxa" w:w="120"/>
              <w:bottom w:type="dxa" w:w="80"/>
              <w:right w:type="dxa" w:w="120"/>
            </w:tcMar>
          </w:tcPr>
          <w:p>
            <w:pPr>
              <w:spacing w:after="0" w:line="240"/>
            </w:pPr>
            <w:r>
              <w:rPr>
                <w:sz w:val="19"/>
                <w:szCs w:val="19"/>
              </w:rPr>
              <w:t xml:space="preserve">Rated capacity</w:t>
            </w:r>
          </w:p>
        </w:tc>
        <w:tc>
          <w:tcPr>
            <w:tcW w:type="dxa" w:w="5400"/>
            <w:tcMar>
              <w:top w:type="dxa" w:w="80"/>
              <w:left w:type="dxa" w:w="120"/>
              <w:bottom w:type="dxa" w:w="80"/>
              <w:right w:type="dxa" w:w="120"/>
            </w:tcMar>
          </w:tcPr>
          <w:p>
            <w:pPr>
              <w:spacing w:after="0" w:line="240"/>
            </w:pPr>
            <w:r>
              <w:rPr>
                <w:sz w:val="19"/>
                <w:szCs w:val="19"/>
              </w:rPr>
              <w:t xml:space="preserve">2200 mAh (2.2 Ah), declared on the wire, not independently verified</w:t>
            </w:r>
          </w:p>
        </w:tc>
      </w:tr>
      <w:tr>
        <w:tc>
          <w:tcPr>
            <w:tcW w:type="dxa" w:w="2600"/>
            <w:tcMar>
              <w:top w:type="dxa" w:w="80"/>
              <w:left w:type="dxa" w:w="120"/>
              <w:bottom w:type="dxa" w:w="80"/>
              <w:right w:type="dxa" w:w="120"/>
            </w:tcMar>
          </w:tcPr>
          <w:p>
            <w:pPr>
              <w:spacing w:after="0" w:line="240"/>
            </w:pPr>
            <w:r>
              <w:rPr>
                <w:sz w:val="19"/>
                <w:szCs w:val="19"/>
              </w:rPr>
              <w:t xml:space="preserve">Energy</w:t>
            </w:r>
          </w:p>
        </w:tc>
        <w:tc>
          <w:tcPr>
            <w:tcW w:type="dxa" w:w="5400"/>
            <w:tcMar>
              <w:top w:type="dxa" w:w="80"/>
              <w:left w:type="dxa" w:w="120"/>
              <w:bottom w:type="dxa" w:w="80"/>
              <w:right w:type="dxa" w:w="120"/>
            </w:tcMar>
          </w:tcPr>
          <w:p>
            <w:pPr>
              <w:spacing w:after="0" w:line="240"/>
            </w:pPr>
            <w:r>
              <w:rPr>
                <w:sz w:val="19"/>
                <w:szCs w:val="19"/>
              </w:rPr>
              <w:t xml:space="preserve">8.14 Wh</w:t>
            </w:r>
          </w:p>
        </w:tc>
      </w:tr>
    </w:tbl>
    <w:p>
      <w:pPr>
        <w:spacing w:after="180"/>
      </w:pPr>
    </w:p>
    <w:p>
      <w:pPr>
        <w:pStyle w:val="Heading3"/>
        <w:spacing w:after="120" w:before="260"/>
      </w:pPr>
      <w:r>
        <w:rPr>
          <w:b/>
          <w:bCs/>
          <w:color w:val="2F3B4D"/>
          <w:sz w:val="23"/>
          <w:szCs w:val="23"/>
        </w:rPr>
        <w:t xml:space="preserve">19.2 Capture</w:t>
      </w:r>
    </w:p>
    <w:p>
      <w:pPr>
        <w:spacing w:after="140" w:line="276"/>
      </w:pPr>
      <w:r>
        <w:rPr>
          <w:sz w:val="21"/>
          <w:szCs w:val="21"/>
        </w:rPr>
        <w:t xml:space="preserve">83 accepted data records over 82.2 s at 1 Hz, cell at rest with no load connected:</w:t>
      </w:r>
    </w:p>
    <w:tbl>
      <w:tblPr>
        <w:tblW w:type="dxa" w:w="9360"/>
        <w:tblBorders>
          <w:top w:val="single" w:color="B9C2CE" w:sz="4"/>
          <w:left w:val="none"/>
          <w:bottom w:val="single" w:color="B9C2CE" w:sz="4"/>
          <w:right w:val="none"/>
          <w:insideH w:val="single" w:color="E1E6EC" w:sz="2"/>
          <w:insideV w:val="none"/>
        </w:tblBorders>
      </w:tblPr>
      <w:tblGrid>
        <w:gridCol w:w="2100"/>
        <w:gridCol w:w="1500"/>
        <w:gridCol w:w="1500"/>
        <w:gridCol w:w="1500"/>
        <w:gridCol w:w="700"/>
        <w:gridCol w:w="2060"/>
      </w:tblGrid>
      <w:tr>
        <w:trPr>
          <w:tblHeader/>
        </w:trPr>
        <w:tc>
          <w:tcPr>
            <w:tcW w:type="dxa" w:w="2100"/>
            <w:shd w:fill="EEF2F6" w:val="clear"/>
            <w:tcMar>
              <w:top w:type="dxa" w:w="80"/>
              <w:left w:type="dxa" w:w="120"/>
              <w:bottom w:type="dxa" w:w="80"/>
              <w:right w:type="dxa" w:w="120"/>
            </w:tcMar>
          </w:tcPr>
          <w:p>
            <w:pPr>
              <w:spacing w:after="0" w:line="240"/>
            </w:pPr>
            <w:r>
              <w:rPr>
                <w:b/>
                <w:bCs/>
                <w:sz w:val="19"/>
                <w:szCs w:val="19"/>
              </w:rPr>
              <w:t xml:space="preserve">Channel</w:t>
            </w:r>
          </w:p>
        </w:tc>
        <w:tc>
          <w:tcPr>
            <w:tcW w:type="dxa" w:w="1500"/>
            <w:shd w:fill="EEF2F6" w:val="clear"/>
            <w:tcMar>
              <w:top w:type="dxa" w:w="80"/>
              <w:left w:type="dxa" w:w="120"/>
              <w:bottom w:type="dxa" w:w="80"/>
              <w:right w:type="dxa" w:w="120"/>
            </w:tcMar>
          </w:tcPr>
          <w:p>
            <w:pPr>
              <w:spacing w:after="0" w:line="240"/>
              <w:jc w:val="right"/>
            </w:pPr>
            <w:r>
              <w:rPr>
                <w:b/>
                <w:bCs/>
                <w:sz w:val="19"/>
                <w:szCs w:val="19"/>
              </w:rPr>
              <w:t xml:space="preserve">Mean</w:t>
            </w:r>
          </w:p>
        </w:tc>
        <w:tc>
          <w:tcPr>
            <w:tcW w:type="dxa" w:w="1500"/>
            <w:shd w:fill="EEF2F6" w:val="clear"/>
            <w:tcMar>
              <w:top w:type="dxa" w:w="80"/>
              <w:left w:type="dxa" w:w="120"/>
              <w:bottom w:type="dxa" w:w="80"/>
              <w:right w:type="dxa" w:w="120"/>
            </w:tcMar>
          </w:tcPr>
          <w:p>
            <w:pPr>
              <w:spacing w:after="0" w:line="240"/>
              <w:jc w:val="right"/>
            </w:pPr>
            <w:r>
              <w:rPr>
                <w:b/>
                <w:bCs/>
                <w:sz w:val="19"/>
                <w:szCs w:val="19"/>
              </w:rPr>
              <w:t xml:space="preserve">Minimum</w:t>
            </w:r>
          </w:p>
        </w:tc>
        <w:tc>
          <w:tcPr>
            <w:tcW w:type="dxa" w:w="1500"/>
            <w:shd w:fill="EEF2F6" w:val="clear"/>
            <w:tcMar>
              <w:top w:type="dxa" w:w="80"/>
              <w:left w:type="dxa" w:w="120"/>
              <w:bottom w:type="dxa" w:w="80"/>
              <w:right w:type="dxa" w:w="120"/>
            </w:tcMar>
          </w:tcPr>
          <w:p>
            <w:pPr>
              <w:spacing w:after="0" w:line="240"/>
              <w:jc w:val="right"/>
            </w:pPr>
            <w:r>
              <w:rPr>
                <w:b/>
                <w:bCs/>
                <w:sz w:val="19"/>
                <w:szCs w:val="19"/>
              </w:rPr>
              <w:t xml:space="preserve">Maximum</w:t>
            </w:r>
          </w:p>
        </w:tc>
        <w:tc>
          <w:tcPr>
            <w:tcW w:type="dxa" w:w="700"/>
            <w:shd w:fill="EEF2F6" w:val="clear"/>
            <w:tcMar>
              <w:top w:type="dxa" w:w="80"/>
              <w:left w:type="dxa" w:w="120"/>
              <w:bottom w:type="dxa" w:w="80"/>
              <w:right w:type="dxa" w:w="120"/>
            </w:tcMar>
          </w:tcPr>
          <w:p>
            <w:pPr>
              <w:spacing w:after="0" w:line="240"/>
              <w:jc w:val="right"/>
            </w:pPr>
            <w:r>
              <w:rPr>
                <w:b/>
                <w:bCs/>
                <w:sz w:val="19"/>
                <w:szCs w:val="19"/>
              </w:rPr>
              <w:t xml:space="preserve">n</w:t>
            </w:r>
          </w:p>
        </w:tc>
        <w:tc>
          <w:tcPr>
            <w:tcW w:type="dxa" w:w="2060"/>
            <w:shd w:fill="EEF2F6" w:val="clear"/>
            <w:tcMar>
              <w:top w:type="dxa" w:w="80"/>
              <w:left w:type="dxa" w:w="120"/>
              <w:bottom w:type="dxa" w:w="80"/>
              <w:right w:type="dxa" w:w="120"/>
            </w:tcMar>
          </w:tcPr>
          <w:p>
            <w:pPr>
              <w:spacing w:after="0" w:line="240"/>
            </w:pPr>
            <w:r>
              <w:rPr>
                <w:b/>
                <w:bCs/>
                <w:sz w:val="19"/>
                <w:szCs w:val="19"/>
              </w:rPr>
              <w:t xml:space="preserve">Status</w:t>
            </w:r>
          </w:p>
        </w:tc>
      </w:tr>
      <w:tr>
        <w:tc>
          <w:tcPr>
            <w:tcW w:type="dxa" w:w="2100"/>
            <w:tcMar>
              <w:top w:type="dxa" w:w="80"/>
              <w:left w:type="dxa" w:w="120"/>
              <w:bottom w:type="dxa" w:w="80"/>
              <w:right w:type="dxa" w:w="120"/>
            </w:tcMar>
          </w:tcPr>
          <w:p>
            <w:pPr>
              <w:spacing w:after="0" w:line="240"/>
            </w:pPr>
            <w:r>
              <w:rPr>
                <w:sz w:val="19"/>
                <w:szCs w:val="19"/>
              </w:rPr>
              <w:t xml:space="preserve">Terminal voltage</w:t>
            </w:r>
          </w:p>
        </w:tc>
        <w:tc>
          <w:tcPr>
            <w:tcW w:type="dxa" w:w="1500"/>
            <w:tcMar>
              <w:top w:type="dxa" w:w="80"/>
              <w:left w:type="dxa" w:w="120"/>
              <w:bottom w:type="dxa" w:w="80"/>
              <w:right w:type="dxa" w:w="120"/>
            </w:tcMar>
          </w:tcPr>
          <w:p>
            <w:pPr>
              <w:spacing w:after="0" w:line="240"/>
              <w:jc w:val="right"/>
            </w:pPr>
            <w:r>
              <w:rPr>
                <w:sz w:val="19"/>
                <w:szCs w:val="19"/>
              </w:rPr>
              <w:t xml:space="preserve">3.9871 V</w:t>
            </w:r>
          </w:p>
        </w:tc>
        <w:tc>
          <w:tcPr>
            <w:tcW w:type="dxa" w:w="1500"/>
            <w:tcMar>
              <w:top w:type="dxa" w:w="80"/>
              <w:left w:type="dxa" w:w="120"/>
              <w:bottom w:type="dxa" w:w="80"/>
              <w:right w:type="dxa" w:w="120"/>
            </w:tcMar>
          </w:tcPr>
          <w:p>
            <w:pPr>
              <w:spacing w:after="0" w:line="240"/>
              <w:jc w:val="right"/>
            </w:pPr>
            <w:r>
              <w:rPr>
                <w:sz w:val="19"/>
                <w:szCs w:val="19"/>
              </w:rPr>
              <w:t xml:space="preserve">3.9840 V</w:t>
            </w:r>
          </w:p>
        </w:tc>
        <w:tc>
          <w:tcPr>
            <w:tcW w:type="dxa" w:w="1500"/>
            <w:tcMar>
              <w:top w:type="dxa" w:w="80"/>
              <w:left w:type="dxa" w:w="120"/>
              <w:bottom w:type="dxa" w:w="80"/>
              <w:right w:type="dxa" w:w="120"/>
            </w:tcMar>
          </w:tcPr>
          <w:p>
            <w:pPr>
              <w:spacing w:after="0" w:line="240"/>
              <w:jc w:val="right"/>
            </w:pPr>
            <w:r>
              <w:rPr>
                <w:sz w:val="19"/>
                <w:szCs w:val="19"/>
              </w:rPr>
              <w:t xml:space="preserve">3.9920 V</w:t>
            </w:r>
          </w:p>
        </w:tc>
        <w:tc>
          <w:tcPr>
            <w:tcW w:type="dxa" w:w="700"/>
            <w:tcMar>
              <w:top w:type="dxa" w:w="80"/>
              <w:left w:type="dxa" w:w="120"/>
              <w:bottom w:type="dxa" w:w="80"/>
              <w:right w:type="dxa" w:w="120"/>
            </w:tcMar>
          </w:tcPr>
          <w:p>
            <w:pPr>
              <w:spacing w:after="0" w:line="240"/>
              <w:jc w:val="right"/>
            </w:pPr>
            <w:r>
              <w:rPr>
                <w:sz w:val="19"/>
                <w:szCs w:val="19"/>
              </w:rPr>
              <w:t xml:space="preserve">83</w:t>
            </w:r>
          </w:p>
        </w:tc>
        <w:tc>
          <w:tcPr>
            <w:tcW w:type="dxa" w:w="2060"/>
            <w:tcMar>
              <w:top w:type="dxa" w:w="80"/>
              <w:left w:type="dxa" w:w="120"/>
              <w:bottom w:type="dxa" w:w="80"/>
              <w:right w:type="dxa" w:w="120"/>
            </w:tcMar>
          </w:tcPr>
          <w:p>
            <w:pPr>
              <w:spacing w:after="0" w:line="240"/>
            </w:pPr>
            <w:r>
              <w:rPr>
                <w:sz w:val="19"/>
                <w:szCs w:val="19"/>
              </w:rPr>
              <w:t xml:space="preserve">Measured</w:t>
            </w:r>
          </w:p>
        </w:tc>
      </w:tr>
      <w:tr>
        <w:tc>
          <w:tcPr>
            <w:tcW w:type="dxa" w:w="2100"/>
            <w:tcMar>
              <w:top w:type="dxa" w:w="80"/>
              <w:left w:type="dxa" w:w="120"/>
              <w:bottom w:type="dxa" w:w="80"/>
              <w:right w:type="dxa" w:w="120"/>
            </w:tcMar>
          </w:tcPr>
          <w:p>
            <w:pPr>
              <w:spacing w:after="0" w:line="240"/>
            </w:pPr>
            <w:r>
              <w:rPr>
                <w:sz w:val="19"/>
                <w:szCs w:val="19"/>
              </w:rPr>
              <w:t xml:space="preserve">Current, signed</w:t>
            </w:r>
          </w:p>
        </w:tc>
        <w:tc>
          <w:tcPr>
            <w:tcW w:type="dxa" w:w="1500"/>
            <w:tcMar>
              <w:top w:type="dxa" w:w="80"/>
              <w:left w:type="dxa" w:w="120"/>
              <w:bottom w:type="dxa" w:w="80"/>
              <w:right w:type="dxa" w:w="120"/>
            </w:tcMar>
          </w:tcPr>
          <w:p>
            <w:pPr>
              <w:spacing w:after="0" w:line="240"/>
              <w:jc w:val="right"/>
            </w:pPr>
            <w:r>
              <w:rPr>
                <w:sz w:val="19"/>
                <w:szCs w:val="19"/>
              </w:rPr>
              <w:t xml:space="preserve">−0.0000 A</w:t>
            </w:r>
          </w:p>
        </w:tc>
        <w:tc>
          <w:tcPr>
            <w:tcW w:type="dxa" w:w="1500"/>
            <w:tcMar>
              <w:top w:type="dxa" w:w="80"/>
              <w:left w:type="dxa" w:w="120"/>
              <w:bottom w:type="dxa" w:w="80"/>
              <w:right w:type="dxa" w:w="120"/>
            </w:tcMar>
          </w:tcPr>
          <w:p>
            <w:pPr>
              <w:spacing w:after="0" w:line="240"/>
              <w:jc w:val="right"/>
            </w:pPr>
            <w:r>
              <w:rPr>
                <w:sz w:val="19"/>
                <w:szCs w:val="19"/>
              </w:rPr>
              <w:t xml:space="preserve">−0.0004 A</w:t>
            </w:r>
          </w:p>
        </w:tc>
        <w:tc>
          <w:tcPr>
            <w:tcW w:type="dxa" w:w="1500"/>
            <w:tcMar>
              <w:top w:type="dxa" w:w="80"/>
              <w:left w:type="dxa" w:w="120"/>
              <w:bottom w:type="dxa" w:w="80"/>
              <w:right w:type="dxa" w:w="120"/>
            </w:tcMar>
          </w:tcPr>
          <w:p>
            <w:pPr>
              <w:spacing w:after="0" w:line="240"/>
              <w:jc w:val="right"/>
            </w:pPr>
            <w:r>
              <w:rPr>
                <w:sz w:val="19"/>
                <w:szCs w:val="19"/>
              </w:rPr>
              <w:t xml:space="preserve">0.0004 A</w:t>
            </w:r>
          </w:p>
        </w:tc>
        <w:tc>
          <w:tcPr>
            <w:tcW w:type="dxa" w:w="700"/>
            <w:tcMar>
              <w:top w:type="dxa" w:w="80"/>
              <w:left w:type="dxa" w:w="120"/>
              <w:bottom w:type="dxa" w:w="80"/>
              <w:right w:type="dxa" w:w="120"/>
            </w:tcMar>
          </w:tcPr>
          <w:p>
            <w:pPr>
              <w:spacing w:after="0" w:line="240"/>
              <w:jc w:val="right"/>
            </w:pPr>
            <w:r>
              <w:rPr>
                <w:sz w:val="19"/>
                <w:szCs w:val="19"/>
              </w:rPr>
              <w:t xml:space="preserve">83</w:t>
            </w:r>
          </w:p>
        </w:tc>
        <w:tc>
          <w:tcPr>
            <w:tcW w:type="dxa" w:w="2060"/>
            <w:tcMar>
              <w:top w:type="dxa" w:w="80"/>
              <w:left w:type="dxa" w:w="120"/>
              <w:bottom w:type="dxa" w:w="80"/>
              <w:right w:type="dxa" w:w="120"/>
            </w:tcMar>
          </w:tcPr>
          <w:p>
            <w:pPr>
              <w:spacing w:after="0" w:line="240"/>
            </w:pPr>
            <w:r>
              <w:rPr>
                <w:sz w:val="19"/>
                <w:szCs w:val="19"/>
              </w:rPr>
              <w:t xml:space="preserve">Measured</w:t>
            </w:r>
          </w:p>
        </w:tc>
      </w:tr>
      <w:tr>
        <w:tc>
          <w:tcPr>
            <w:tcW w:type="dxa" w:w="2100"/>
            <w:tcMar>
              <w:top w:type="dxa" w:w="80"/>
              <w:left w:type="dxa" w:w="120"/>
              <w:bottom w:type="dxa" w:w="80"/>
              <w:right w:type="dxa" w:w="120"/>
            </w:tcMar>
          </w:tcPr>
          <w:p>
            <w:pPr>
              <w:spacing w:after="0" w:line="240"/>
            </w:pPr>
            <w:r>
              <w:rPr>
                <w:sz w:val="19"/>
                <w:szCs w:val="19"/>
              </w:rPr>
              <w:t xml:space="preserve">Cell temperature</w:t>
            </w:r>
          </w:p>
        </w:tc>
        <w:tc>
          <w:tcPr>
            <w:tcW w:type="dxa" w:w="1500"/>
            <w:tcMar>
              <w:top w:type="dxa" w:w="80"/>
              <w:left w:type="dxa" w:w="120"/>
              <w:bottom w:type="dxa" w:w="80"/>
              <w:right w:type="dxa" w:w="120"/>
            </w:tcMar>
          </w:tcPr>
          <w:p>
            <w:pPr>
              <w:spacing w:after="0" w:line="240"/>
              <w:jc w:val="right"/>
            </w:pPr>
            <w:r>
              <w:rPr>
                <w:sz w:val="19"/>
                <w:szCs w:val="19"/>
              </w:rPr>
              <w:t xml:space="preserve">—</w:t>
            </w:r>
          </w:p>
        </w:tc>
        <w:tc>
          <w:tcPr>
            <w:tcW w:type="dxa" w:w="1500"/>
            <w:tcMar>
              <w:top w:type="dxa" w:w="80"/>
              <w:left w:type="dxa" w:w="120"/>
              <w:bottom w:type="dxa" w:w="80"/>
              <w:right w:type="dxa" w:w="120"/>
            </w:tcMar>
          </w:tcPr>
          <w:p>
            <w:pPr>
              <w:spacing w:after="0" w:line="240"/>
              <w:jc w:val="right"/>
            </w:pPr>
            <w:r>
              <w:rPr>
                <w:sz w:val="19"/>
                <w:szCs w:val="19"/>
              </w:rPr>
              <w:t xml:space="preserve">—</w:t>
            </w:r>
          </w:p>
        </w:tc>
        <w:tc>
          <w:tcPr>
            <w:tcW w:type="dxa" w:w="1500"/>
            <w:tcMar>
              <w:top w:type="dxa" w:w="80"/>
              <w:left w:type="dxa" w:w="120"/>
              <w:bottom w:type="dxa" w:w="80"/>
              <w:right w:type="dxa" w:w="120"/>
            </w:tcMar>
          </w:tcPr>
          <w:p>
            <w:pPr>
              <w:spacing w:after="0" w:line="240"/>
              <w:jc w:val="right"/>
            </w:pPr>
            <w:r>
              <w:rPr>
                <w:sz w:val="19"/>
                <w:szCs w:val="19"/>
              </w:rPr>
              <w:t xml:space="preserve">—</w:t>
            </w:r>
          </w:p>
        </w:tc>
        <w:tc>
          <w:tcPr>
            <w:tcW w:type="dxa" w:w="700"/>
            <w:tcMar>
              <w:top w:type="dxa" w:w="80"/>
              <w:left w:type="dxa" w:w="120"/>
              <w:bottom w:type="dxa" w:w="80"/>
              <w:right w:type="dxa" w:w="120"/>
            </w:tcMar>
          </w:tcPr>
          <w:p>
            <w:pPr>
              <w:spacing w:after="0" w:line="240"/>
              <w:jc w:val="right"/>
            </w:pPr>
            <w:r>
              <w:rPr>
                <w:sz w:val="19"/>
                <w:szCs w:val="19"/>
              </w:rPr>
              <w:t xml:space="preserve">0</w:t>
            </w:r>
          </w:p>
        </w:tc>
        <w:tc>
          <w:tcPr>
            <w:tcW w:type="dxa" w:w="2060"/>
            <w:tcMar>
              <w:top w:type="dxa" w:w="80"/>
              <w:left w:type="dxa" w:w="120"/>
              <w:bottom w:type="dxa" w:w="80"/>
              <w:right w:type="dxa" w:w="120"/>
            </w:tcMar>
          </w:tcPr>
          <w:p>
            <w:pPr>
              <w:spacing w:after="0" w:line="240"/>
            </w:pPr>
            <w:r>
              <w:rPr>
                <w:sz w:val="19"/>
                <w:szCs w:val="19"/>
              </w:rPr>
              <w:t xml:space="preserve">Not supplied</w:t>
            </w:r>
          </w:p>
        </w:tc>
      </w:tr>
    </w:tbl>
    <w:p>
      <w:pPr>
        <w:spacing w:after="180"/>
      </w:pPr>
    </w:p>
    <w:p>
      <w:pPr>
        <w:pStyle w:val="Heading4"/>
        <w:spacing w:after="100" w:before="200"/>
      </w:pPr>
      <w:r>
        <w:rPr>
          <w:b/>
          <w:bCs/>
          <w:color w:val="46536A"/>
          <w:sz w:val="21"/>
          <w:szCs w:val="21"/>
        </w:rPr>
        <w:t xml:space="preserve">Instrument characterisation</w:t>
      </w:r>
    </w:p>
    <w:p>
      <w:pPr>
        <w:pStyle w:val="ListParagraph"/>
        <w:numPr>
          <w:ilvl w:val="0"/>
          <w:numId w:val="2"/>
        </w:numPr>
        <w:spacing w:after="90" w:line="276"/>
      </w:pPr>
      <w:r>
        <w:rPr>
          <w:sz w:val="21"/>
          <w:szCs w:val="21"/>
        </w:rPr>
        <w:t xml:space="preserve">Every voltage reading is an exact multiple of 4 mV, the INA219 bus-channel least significant bit. The converter resolves at its native resolution with no observable drift across the capture.</w:t>
      </w:r>
    </w:p>
    <w:p>
      <w:pPr>
        <w:pStyle w:val="ListParagraph"/>
        <w:numPr>
          <w:ilvl w:val="0"/>
          <w:numId w:val="2"/>
        </w:numPr>
        <w:spacing w:after="90" w:line="276"/>
      </w:pPr>
      <w:r>
        <w:rPr>
          <w:sz w:val="21"/>
          <w:szCs w:val="21"/>
        </w:rPr>
        <w:t xml:space="preserve">The current channel noise floor at zero current is ±0.4 mA over n = 83, with 48 of 83 samples reading exactly zero. A measured instrument characteristic, not a datasheet figure.</w:t>
      </w:r>
    </w:p>
    <w:p>
      <w:pPr>
        <w:pStyle w:val="ListParagraph"/>
        <w:numPr>
          <w:ilvl w:val="0"/>
          <w:numId w:val="2"/>
        </w:numPr>
        <w:spacing w:after="90" w:line="276"/>
      </w:pPr>
      <w:r>
        <w:rPr>
          <w:sz w:val="21"/>
          <w:szCs w:val="21"/>
        </w:rPr>
        <w:t xml:space="preserve">Frame acceptance 83/83 (100%), zero checksum failures, zero non-conforming lines.</w:t>
      </w:r>
    </w:p>
    <w:p>
      <w:pPr>
        <w:pStyle w:val="Heading3"/>
        <w:spacing w:after="120" w:before="260"/>
      </w:pPr>
      <w:r>
        <w:rPr>
          <w:b/>
          <w:bCs/>
          <w:color w:val="2F3B4D"/>
          <w:sz w:val="23"/>
          <w:szCs w:val="23"/>
        </w:rPr>
        <w:t xml:space="preserve">19.3 The refusal, in service</w:t>
      </w:r>
    </w:p>
    <w:p>
      <w:pPr>
        <w:spacing w:after="140" w:line="276"/>
      </w:pPr>
      <w:r>
        <w:rPr>
          <w:sz w:val="21"/>
          <w:szCs w:val="21"/>
        </w:rPr>
        <w:t xml:space="preserve">With temperature absent, the coverage gate declined to score:</w:t>
      </w:r>
    </w:p>
    <w:p>
      <w:pPr>
        <w:spacing w:after="30" w:line="276"/>
      </w:pPr>
      <w:r>
        <w:rPr>
          <w:rFonts w:ascii="Consolas" w:cs="Consolas" w:eastAsia="Consolas" w:hAnsi="Consolas"/>
          <w:sz w:val="19"/>
          <w:szCs w:val="19"/>
        </w:rPr>
        <w:t xml:space="preserve">signal coverage: INCOMPLETE</w:t>
      </w:r>
    </w:p>
    <w:p>
      <w:pPr>
        <w:spacing w:after="30" w:line="276"/>
      </w:pPr>
      <w:r>
        <w:rPr>
          <w:rFonts w:ascii="Consolas" w:cs="Consolas" w:eastAsia="Consolas" w:hAnsi="Consolas"/>
          <w:sz w:val="19"/>
          <w:szCs w:val="19"/>
        </w:rPr>
        <w:t xml:space="preserve">  missing: temperature_c</w:t>
      </w:r>
    </w:p>
    <w:p>
      <w:pPr>
        <w:spacing w:after="30" w:line="276"/>
      </w:pPr>
      <w:r>
        <w:rPr>
          <w:rFonts w:ascii="Consolas" w:cs="Consolas" w:eastAsia="Consolas" w:hAnsi="Consolas"/>
          <w:sz w:val="19"/>
          <w:szCs w:val="19"/>
        </w:rPr>
        <w:t xml:space="preserve">MISSING temperature_c -&gt; needed by behaviour features</w:t>
      </w:r>
    </w:p>
    <w:p>
      <w:pPr>
        <w:spacing w:after="30" w:line="276"/>
      </w:pPr>
      <w:r>
        <w:rPr>
          <w:rFonts w:ascii="Consolas" w:cs="Consolas" w:eastAsia="Consolas" w:hAnsi="Consolas"/>
          <w:sz w:val="19"/>
          <w:szCs w:val="19"/>
        </w:rPr>
        <w:t xml:space="preserve">    (high_temp_flag, temp_rolling_*)</w:t>
      </w:r>
    </w:p>
    <w:p>
      <w:pPr>
        <w:spacing w:after="200" w:line="276"/>
      </w:pPr>
      <w:r>
        <w:rPr>
          <w:rFonts w:ascii="Consolas" w:cs="Consolas" w:eastAsia="Consolas" w:hAnsi="Consolas"/>
          <w:sz w:val="19"/>
          <w:szCs w:val="19"/>
        </w:rPr>
        <w:t xml:space="preserve">This rig cannot drive the full feature pipeline.</w:t>
      </w:r>
    </w:p>
    <w:p>
      <w:pPr>
        <w:spacing w:after="140" w:line="276"/>
      </w:pPr>
      <w:r>
        <w:rPr>
          <w:sz w:val="21"/>
          <w:szCs w:val="21"/>
        </w:rPr>
        <w:t xml:space="preserve">The pipeline accepted every record, compared delivered channels against those the feature layer requires, and declined to score — naming the missing channel and the features that depend on it. The voltage and current measurements are unaffected and are reported alongside the refusal, on the dashboard as well as in the log.</w:t>
      </w:r>
    </w:p>
    <w:p>
      <w:pPr>
        <w:pStyle w:val="Heading3"/>
        <w:spacing w:after="120" w:before="260"/>
      </w:pPr>
      <w:r>
        <w:rPr>
          <w:b/>
          <w:bCs/>
          <w:color w:val="2F3B4D"/>
          <w:sz w:val="23"/>
          <w:szCs w:val="23"/>
        </w:rPr>
        <w:t xml:space="preserve">19.4 What the hardware does not establish</w:t>
      </w:r>
    </w:p>
    <w:tbl>
      <w:tblPr>
        <w:tblW w:type="dxa" w:w="9360"/>
        <w:tblBorders>
          <w:top w:val="single" w:color="DDE5DF" w:sz="2"/>
          <w:left w:val="single" w:color="B3261E" w:sz="18"/>
          <w:bottom w:val="single" w:color="DDE5DF" w:sz="2"/>
          <w:right w:val="single" w:color="DDE5DF" w:sz="2"/>
          <w:insideH w:val="none"/>
          <w:insideV w:val="none"/>
        </w:tblBorders>
      </w:tblPr>
      <w:tblGrid>
        <w:gridCol w:w="9360"/>
      </w:tblGrid>
      <w:tr>
        <w:tc>
          <w:tcPr>
            <w:tcW w:type="dxa" w:w="9360"/>
            <w:shd w:fill="FBF0EF" w:val="clear"/>
            <w:tcMar>
              <w:top w:type="dxa" w:w="140"/>
              <w:left w:type="dxa" w:w="200"/>
              <w:bottom w:type="dxa" w:w="140"/>
              <w:right w:type="dxa" w:w="200"/>
            </w:tcMar>
          </w:tcPr>
          <w:p>
            <w:pPr>
              <w:spacing w:after="100" w:line="276"/>
            </w:pPr>
            <w:r>
              <w:rPr>
                <w:b/>
                <w:bCs/>
                <w:sz w:val="21"/>
                <w:szCs w:val="21"/>
              </w:rPr>
              <w:t xml:space="preserve">Stage A — transport validated. </w:t>
            </w:r>
            <w:r>
              <w:rPr>
                <w:sz w:val="21"/>
                <w:szCs w:val="21"/>
              </w:rPr>
              <w:t xml:space="preserve">An earlier capture of 151/151 accepted records validated framing, checksums, sentinel resync and time monotonicity on physical silicon. That firmware ran synthetic sensor stubs: the numbers were generated on the board and carried over a real wire. It validates the transport, not any measurement.</w:t>
            </w:r>
          </w:p>
          <w:p>
            <w:pPr>
              <w:spacing w:after="100" w:line="276"/>
            </w:pPr>
            <w:r>
              <w:rPr>
                <w:b/>
                <w:bCs/>
                <w:sz w:val="21"/>
                <w:szCs w:val="21"/>
              </w:rPr>
              <w:t xml:space="preserve">Stage B — measurement, partially. </w:t>
            </w:r>
            <w:r>
              <w:rPr>
                <w:sz w:val="21"/>
                <w:szCs w:val="21"/>
              </w:rPr>
              <w:t xml:space="preserve">Voltage and current are genuine instrument readings from a physical cell. Temperature is absent; the rig declined to declare the channel and the gate consequently refused to produce health, RUL or SOH.</w:t>
            </w:r>
          </w:p>
          <w:p>
            <w:pPr>
              <w:spacing w:after="0" w:line="276"/>
            </w:pPr>
            <w:r>
              <w:rPr>
                <w:b/>
                <w:bCs/>
                <w:sz w:val="21"/>
                <w:szCs w:val="21"/>
              </w:rPr>
              <w:t xml:space="preserve">Not established. </w:t>
            </w:r>
            <w:r>
              <w:rPr>
                <w:sz w:val="21"/>
                <w:szCs w:val="21"/>
              </w:rPr>
              <w:t xml:space="preserve">No coulomb-counting accuracy claim, because no independent reference instrument was available. No charge-side behaviour recorded. No capacity measurement performed.</w:t>
            </w:r>
          </w:p>
        </w:tc>
      </w:tr>
    </w:tbl>
    <w:p>
      <w:pPr>
        <w:pStyle w:val="Heading3"/>
        <w:spacing w:after="120" w:before="260"/>
      </w:pPr>
      <w:r>
        <w:rPr>
          <w:b/>
          <w:bCs/>
          <w:color w:val="2F3B4D"/>
          <w:sz w:val="23"/>
          <w:szCs w:val="23"/>
        </w:rPr>
        <w:t xml:space="preserve">19.5 Integration constraint encountered</w:t>
      </w:r>
    </w:p>
    <w:p>
      <w:pPr>
        <w:spacing w:after="140" w:line="276"/>
      </w:pPr>
      <w:r>
        <w:rPr>
          <w:sz w:val="21"/>
          <w:szCs w:val="21"/>
        </w:rPr>
        <w:t xml:space="preserve">The CH340 USB-to-serial bridge on the development board accepts only 9600 and 19200 baud; 38400 and above are refused at the driver level. This was diagnosed by probing the baud ladder rather than assumed. The firmware’s serial rate is a build-time override, so the board-specific value was applied without changing the repository default of 115200, which would otherwise have desynchronised firmware and host for every other user.</w:t>
      </w:r>
    </w:p>
    <w:p>
      <w:pPr>
        <w:pStyle w:val="Heading1"/>
        <w:pageBreakBefore/>
        <w:spacing w:after="300" w:before="200"/>
      </w:pPr>
      <w:r>
        <w:rPr>
          <w:b/>
          <w:bCs/>
          <w:color w:val="1F6F4A"/>
          <w:sz w:val="19"/>
          <w:szCs w:val="19"/>
        </w:rPr>
        <w:t xml:space="preserve">PART V</w:t>
      </w:r>
      <w:r>
        <w:br/>
        <w:t xml:space="preserve"/>
      </w:r>
      <w:r>
        <w:rPr>
          <w:b/>
          <w:bCs/>
          <w:color w:val="111826"/>
          <w:sz w:val="38"/>
          <w:szCs w:val="38"/>
        </w:rPr>
        <w:t xml:space="preserve">Where We Are and What We Will Do</w:t>
      </w:r>
    </w:p>
    <w:p>
      <w:pPr>
        <w:pStyle w:val="Heading2"/>
        <w:spacing w:after="160" w:before="360"/>
      </w:pPr>
      <w:r>
        <w:rPr>
          <w:b/>
          <w:bCs/>
          <w:color w:val="111826"/>
          <w:sz w:val="28"/>
          <w:szCs w:val="28"/>
        </w:rPr>
        <w:t xml:space="preserve">20. Current Status</w:t>
      </w:r>
    </w:p>
    <w:tbl>
      <w:tblPr>
        <w:tblW w:type="dxa" w:w="9360"/>
        <w:tblBorders>
          <w:top w:val="single" w:color="B9C2CE" w:sz="4"/>
          <w:left w:val="none"/>
          <w:bottom w:val="single" w:color="B9C2CE" w:sz="4"/>
          <w:right w:val="none"/>
          <w:insideH w:val="single" w:color="E1E6EC" w:sz="2"/>
          <w:insideV w:val="none"/>
        </w:tblBorders>
      </w:tblPr>
      <w:tblGrid>
        <w:gridCol w:w="3000"/>
        <w:gridCol w:w="6360"/>
      </w:tblGrid>
      <w:tr>
        <w:trPr>
          <w:tblHeader/>
        </w:trPr>
        <w:tc>
          <w:tcPr>
            <w:tcW w:type="dxa" w:w="3000"/>
            <w:shd w:fill="EEF2F6" w:val="clear"/>
            <w:tcMar>
              <w:top w:type="dxa" w:w="80"/>
              <w:left w:type="dxa" w:w="120"/>
              <w:bottom w:type="dxa" w:w="80"/>
              <w:right w:type="dxa" w:w="120"/>
            </w:tcMar>
          </w:tcPr>
          <w:p>
            <w:pPr>
              <w:spacing w:after="0" w:line="240"/>
            </w:pPr>
            <w:r>
              <w:rPr>
                <w:b/>
                <w:bCs/>
                <w:sz w:val="19"/>
                <w:szCs w:val="19"/>
              </w:rPr>
              <w:t xml:space="preserve">Area</w:t>
            </w:r>
          </w:p>
        </w:tc>
        <w:tc>
          <w:tcPr>
            <w:tcW w:type="dxa" w:w="6360"/>
            <w:shd w:fill="EEF2F6" w:val="clear"/>
            <w:tcMar>
              <w:top w:type="dxa" w:w="80"/>
              <w:left w:type="dxa" w:w="120"/>
              <w:bottom w:type="dxa" w:w="80"/>
              <w:right w:type="dxa" w:w="120"/>
            </w:tcMar>
          </w:tcPr>
          <w:p>
            <w:pPr>
              <w:spacing w:after="0" w:line="240"/>
            </w:pPr>
            <w:r>
              <w:rPr>
                <w:b/>
                <w:bCs/>
                <w:sz w:val="19"/>
                <w:szCs w:val="19"/>
              </w:rPr>
              <w:t xml:space="preserve">State</w:t>
            </w:r>
          </w:p>
        </w:tc>
      </w:tr>
      <w:tr>
        <w:tc>
          <w:tcPr>
            <w:tcW w:type="dxa" w:w="3000"/>
            <w:tcMar>
              <w:top w:type="dxa" w:w="80"/>
              <w:left w:type="dxa" w:w="120"/>
              <w:bottom w:type="dxa" w:w="80"/>
              <w:right w:type="dxa" w:w="120"/>
            </w:tcMar>
          </w:tcPr>
          <w:p>
            <w:pPr>
              <w:spacing w:after="0" w:line="240"/>
            </w:pPr>
            <w:r>
              <w:rPr>
                <w:sz w:val="19"/>
                <w:szCs w:val="19"/>
              </w:rPr>
              <w:t xml:space="preserve">Ingest and schema</w:t>
            </w:r>
          </w:p>
        </w:tc>
        <w:tc>
          <w:tcPr>
            <w:tcW w:type="dxa" w:w="6360"/>
            <w:tcMar>
              <w:top w:type="dxa" w:w="80"/>
              <w:left w:type="dxa" w:w="120"/>
              <w:bottom w:type="dxa" w:w="80"/>
              <w:right w:type="dxa" w:w="120"/>
            </w:tcMar>
          </w:tcPr>
          <w:p>
            <w:pPr>
              <w:spacing w:after="0" w:line="240"/>
            </w:pPr>
            <w:r>
              <w:rPr>
                <w:sz w:val="19"/>
                <w:szCs w:val="19"/>
              </w:rPr>
              <w:t xml:space="preserve">Complete. Three transports, one schema, one pipeline.</w:t>
            </w:r>
          </w:p>
        </w:tc>
      </w:tr>
      <w:tr>
        <w:tc>
          <w:tcPr>
            <w:tcW w:type="dxa" w:w="3000"/>
            <w:tcMar>
              <w:top w:type="dxa" w:w="80"/>
              <w:left w:type="dxa" w:w="120"/>
              <w:bottom w:type="dxa" w:w="80"/>
              <w:right w:type="dxa" w:w="120"/>
            </w:tcMar>
          </w:tcPr>
          <w:p>
            <w:pPr>
              <w:spacing w:after="0" w:line="240"/>
            </w:pPr>
            <w:r>
              <w:rPr>
                <w:sz w:val="19"/>
                <w:szCs w:val="19"/>
              </w:rPr>
              <w:t xml:space="preserve">Feature layer</w:t>
            </w:r>
          </w:p>
        </w:tc>
        <w:tc>
          <w:tcPr>
            <w:tcW w:type="dxa" w:w="6360"/>
            <w:tcMar>
              <w:top w:type="dxa" w:w="80"/>
              <w:left w:type="dxa" w:w="120"/>
              <w:bottom w:type="dxa" w:w="80"/>
              <w:right w:type="dxa" w:w="120"/>
            </w:tcMar>
          </w:tcPr>
          <w:p>
            <w:pPr>
              <w:spacing w:after="0" w:line="240"/>
            </w:pPr>
            <w:r>
              <w:rPr>
                <w:sz w:val="19"/>
                <w:szCs w:val="19"/>
              </w:rPr>
              <w:t xml:space="preserve">Complete and tested; temperature-dependent features unexercised on hardware.</w:t>
            </w:r>
          </w:p>
        </w:tc>
      </w:tr>
      <w:tr>
        <w:tc>
          <w:tcPr>
            <w:tcW w:type="dxa" w:w="3000"/>
            <w:tcMar>
              <w:top w:type="dxa" w:w="80"/>
              <w:left w:type="dxa" w:w="120"/>
              <w:bottom w:type="dxa" w:w="80"/>
              <w:right w:type="dxa" w:w="120"/>
            </w:tcMar>
          </w:tcPr>
          <w:p>
            <w:pPr>
              <w:spacing w:after="0" w:line="240"/>
            </w:pPr>
            <w:r>
              <w:rPr>
                <w:sz w:val="19"/>
                <w:szCs w:val="19"/>
              </w:rPr>
              <w:t xml:space="preserve">Calibration and validation</w:t>
            </w:r>
          </w:p>
        </w:tc>
        <w:tc>
          <w:tcPr>
            <w:tcW w:type="dxa" w:w="6360"/>
            <w:tcMar>
              <w:top w:type="dxa" w:w="80"/>
              <w:left w:type="dxa" w:w="120"/>
              <w:bottom w:type="dxa" w:w="80"/>
              <w:right w:type="dxa" w:w="120"/>
            </w:tcMar>
          </w:tcPr>
          <w:p>
            <w:pPr>
              <w:spacing w:after="0" w:line="240"/>
            </w:pPr>
            <w:r>
              <w:rPr>
                <w:sz w:val="19"/>
                <w:szCs w:val="19"/>
              </w:rPr>
              <w:t xml:space="preserve">Complete. Findings in Part III; six ranking claims withdrawn.</w:t>
            </w:r>
          </w:p>
        </w:tc>
      </w:tr>
      <w:tr>
        <w:tc>
          <w:tcPr>
            <w:tcW w:type="dxa" w:w="3000"/>
            <w:tcMar>
              <w:top w:type="dxa" w:w="80"/>
              <w:left w:type="dxa" w:w="120"/>
              <w:bottom w:type="dxa" w:w="80"/>
              <w:right w:type="dxa" w:w="120"/>
            </w:tcMar>
          </w:tcPr>
          <w:p>
            <w:pPr>
              <w:spacing w:after="0" w:line="240"/>
            </w:pPr>
            <w:r>
              <w:rPr>
                <w:sz w:val="19"/>
                <w:szCs w:val="19"/>
              </w:rPr>
              <w:t xml:space="preserve">API and dashboard</w:t>
            </w:r>
          </w:p>
        </w:tc>
        <w:tc>
          <w:tcPr>
            <w:tcW w:type="dxa" w:w="6360"/>
            <w:tcMar>
              <w:top w:type="dxa" w:w="80"/>
              <w:left w:type="dxa" w:w="120"/>
              <w:bottom w:type="dxa" w:w="80"/>
              <w:right w:type="dxa" w:w="120"/>
            </w:tcMar>
          </w:tcPr>
          <w:p>
            <w:pPr>
              <w:spacing w:after="0" w:line="240"/>
            </w:pPr>
            <w:r>
              <w:rPr>
                <w:sz w:val="19"/>
                <w:szCs w:val="19"/>
              </w:rPr>
              <w:t xml:space="preserve">Complete. Measured hardware values shown separately from simulated fleet values.</w:t>
            </w:r>
          </w:p>
        </w:tc>
      </w:tr>
      <w:tr>
        <w:tc>
          <w:tcPr>
            <w:tcW w:type="dxa" w:w="3000"/>
            <w:tcMar>
              <w:top w:type="dxa" w:w="80"/>
              <w:left w:type="dxa" w:w="120"/>
              <w:bottom w:type="dxa" w:w="80"/>
              <w:right w:type="dxa" w:w="120"/>
            </w:tcMar>
          </w:tcPr>
          <w:p>
            <w:pPr>
              <w:spacing w:after="0" w:line="240"/>
            </w:pPr>
            <w:r>
              <w:rPr>
                <w:sz w:val="19"/>
                <w:szCs w:val="19"/>
              </w:rPr>
              <w:t xml:space="preserve">Hardware — transport</w:t>
            </w:r>
          </w:p>
        </w:tc>
        <w:tc>
          <w:tcPr>
            <w:tcW w:type="dxa" w:w="6360"/>
            <w:tcMar>
              <w:top w:type="dxa" w:w="80"/>
              <w:left w:type="dxa" w:w="120"/>
              <w:bottom w:type="dxa" w:w="80"/>
              <w:right w:type="dxa" w:w="120"/>
            </w:tcMar>
          </w:tcPr>
          <w:p>
            <w:pPr>
              <w:spacing w:after="0" w:line="240"/>
            </w:pPr>
            <w:r>
              <w:rPr>
                <w:sz w:val="19"/>
                <w:szCs w:val="19"/>
              </w:rPr>
              <w:t xml:space="preserve">Validated. 151/151 records accepted on physical silicon.</w:t>
            </w:r>
          </w:p>
        </w:tc>
      </w:tr>
      <w:tr>
        <w:tc>
          <w:tcPr>
            <w:tcW w:type="dxa" w:w="3000"/>
            <w:tcMar>
              <w:top w:type="dxa" w:w="80"/>
              <w:left w:type="dxa" w:w="120"/>
              <w:bottom w:type="dxa" w:w="80"/>
              <w:right w:type="dxa" w:w="120"/>
            </w:tcMar>
          </w:tcPr>
          <w:p>
            <w:pPr>
              <w:spacing w:after="0" w:line="240"/>
            </w:pPr>
            <w:r>
              <w:rPr>
                <w:sz w:val="19"/>
                <w:szCs w:val="19"/>
              </w:rPr>
              <w:t xml:space="preserve">Hardware — voltage and current</w:t>
            </w:r>
          </w:p>
        </w:tc>
        <w:tc>
          <w:tcPr>
            <w:tcW w:type="dxa" w:w="6360"/>
            <w:tcMar>
              <w:top w:type="dxa" w:w="80"/>
              <w:left w:type="dxa" w:w="120"/>
              <w:bottom w:type="dxa" w:w="80"/>
              <w:right w:type="dxa" w:w="120"/>
            </w:tcMar>
          </w:tcPr>
          <w:p>
            <w:pPr>
              <w:spacing w:after="0" w:line="240"/>
            </w:pPr>
            <w:r>
              <w:rPr>
                <w:sz w:val="19"/>
                <w:szCs w:val="19"/>
              </w:rPr>
              <w:t xml:space="preserve">Measured on a real cell. 83/83 records accepted.</w:t>
            </w:r>
          </w:p>
        </w:tc>
      </w:tr>
      <w:tr>
        <w:tc>
          <w:tcPr>
            <w:tcW w:type="dxa" w:w="3000"/>
            <w:tcMar>
              <w:top w:type="dxa" w:w="80"/>
              <w:left w:type="dxa" w:w="120"/>
              <w:bottom w:type="dxa" w:w="80"/>
              <w:right w:type="dxa" w:w="120"/>
            </w:tcMar>
          </w:tcPr>
          <w:p>
            <w:pPr>
              <w:spacing w:after="0" w:line="240"/>
            </w:pPr>
            <w:r>
              <w:rPr>
                <w:sz w:val="19"/>
                <w:szCs w:val="19"/>
              </w:rPr>
              <w:t xml:space="preserve">Hardware — temperature</w:t>
            </w:r>
          </w:p>
        </w:tc>
        <w:tc>
          <w:tcPr>
            <w:tcW w:type="dxa" w:w="6360"/>
            <w:tcMar>
              <w:top w:type="dxa" w:w="80"/>
              <w:left w:type="dxa" w:w="120"/>
              <w:bottom w:type="dxa" w:w="80"/>
              <w:right w:type="dxa" w:w="120"/>
            </w:tcMar>
          </w:tcPr>
          <w:p>
            <w:pPr>
              <w:spacing w:after="0" w:line="240"/>
            </w:pPr>
            <w:r>
              <w:rPr>
                <w:sz w:val="19"/>
                <w:szCs w:val="19"/>
              </w:rPr>
              <w:t xml:space="preserve">Not functional. Channel undeclared; gate refuses to score.</w:t>
            </w:r>
          </w:p>
        </w:tc>
      </w:tr>
      <w:tr>
        <w:tc>
          <w:tcPr>
            <w:tcW w:type="dxa" w:w="3000"/>
            <w:tcMar>
              <w:top w:type="dxa" w:w="80"/>
              <w:left w:type="dxa" w:w="120"/>
              <w:bottom w:type="dxa" w:w="80"/>
              <w:right w:type="dxa" w:w="120"/>
            </w:tcMar>
          </w:tcPr>
          <w:p>
            <w:pPr>
              <w:spacing w:after="0" w:line="240"/>
            </w:pPr>
            <w:r>
              <w:rPr>
                <w:sz w:val="19"/>
                <w:szCs w:val="19"/>
              </w:rPr>
              <w:t xml:space="preserve">Hardware — capacity accuracy</w:t>
            </w:r>
          </w:p>
        </w:tc>
        <w:tc>
          <w:tcPr>
            <w:tcW w:type="dxa" w:w="6360"/>
            <w:tcMar>
              <w:top w:type="dxa" w:w="80"/>
              <w:left w:type="dxa" w:w="120"/>
              <w:bottom w:type="dxa" w:w="80"/>
              <w:right w:type="dxa" w:w="120"/>
            </w:tcMar>
          </w:tcPr>
          <w:p>
            <w:pPr>
              <w:spacing w:after="0" w:line="240"/>
            </w:pPr>
            <w:r>
              <w:rPr>
                <w:sz w:val="19"/>
                <w:szCs w:val="19"/>
              </w:rPr>
              <w:t xml:space="preserve">Not attempted. No reference instrument.</w:t>
            </w:r>
          </w:p>
        </w:tc>
      </w:tr>
      <w:tr>
        <w:tc>
          <w:tcPr>
            <w:tcW w:type="dxa" w:w="3000"/>
            <w:tcMar>
              <w:top w:type="dxa" w:w="80"/>
              <w:left w:type="dxa" w:w="120"/>
              <w:bottom w:type="dxa" w:w="80"/>
              <w:right w:type="dxa" w:w="120"/>
            </w:tcMar>
          </w:tcPr>
          <w:p>
            <w:pPr>
              <w:spacing w:after="0" w:line="240"/>
            </w:pPr>
            <w:r>
              <w:rPr>
                <w:sz w:val="19"/>
                <w:szCs w:val="19"/>
              </w:rPr>
              <w:t xml:space="preserve">Literature survey</w:t>
            </w:r>
          </w:p>
        </w:tc>
        <w:tc>
          <w:tcPr>
            <w:tcW w:type="dxa" w:w="6360"/>
            <w:tcMar>
              <w:top w:type="dxa" w:w="80"/>
              <w:left w:type="dxa" w:w="120"/>
              <w:bottom w:type="dxa" w:w="80"/>
              <w:right w:type="dxa" w:w="120"/>
            </w:tcMar>
          </w:tcPr>
          <w:p>
            <w:pPr>
              <w:spacing w:after="0" w:line="240"/>
            </w:pPr>
            <w:r>
              <w:rPr>
                <w:sz w:val="19"/>
                <w:szCs w:val="19"/>
              </w:rPr>
              <w:t xml:space="preserve">Incomplete. Left in that state rather than padded.</w:t>
            </w:r>
          </w:p>
        </w:tc>
      </w:tr>
    </w:tbl>
    <w:p>
      <w:pPr>
        <w:pStyle w:val="Heading2"/>
        <w:spacing w:after="160" w:before="360"/>
      </w:pPr>
      <w:r>
        <w:rPr>
          <w:b/>
          <w:bCs/>
          <w:color w:val="111826"/>
          <w:sz w:val="28"/>
          <w:szCs w:val="28"/>
        </w:rPr>
        <w:t xml:space="preserve">21. Limitations and Threats to Validity</w:t>
      </w:r>
    </w:p>
    <w:p>
      <w:pPr>
        <w:pStyle w:val="Heading3"/>
        <w:spacing w:after="120" w:before="260"/>
      </w:pPr>
      <w:r>
        <w:rPr>
          <w:b/>
          <w:bCs/>
          <w:color w:val="2F3B4D"/>
          <w:sz w:val="23"/>
          <w:szCs w:val="23"/>
        </w:rPr>
        <w:t xml:space="preserve">21.1 Statistical</w:t>
      </w:r>
    </w:p>
    <w:p>
      <w:pPr>
        <w:pStyle w:val="ListParagraph"/>
        <w:numPr>
          <w:ilvl w:val="0"/>
          <w:numId w:val="2"/>
        </w:numPr>
        <w:spacing w:after="90" w:line="276"/>
      </w:pPr>
      <w:r>
        <w:rPr>
          <w:sz w:val="21"/>
          <w:szCs w:val="21"/>
        </w:rPr>
        <w:t xml:space="preserve">Sample size. 33 cells across 9 cohorts is small for cohort-level inference. The estimator-variance result of Section 15 is precisely a statement about this limitation, and applies to this project’s own conclusions as much as to anyone else’s.</w:t>
      </w:r>
    </w:p>
    <w:p>
      <w:pPr>
        <w:pStyle w:val="ListParagraph"/>
        <w:numPr>
          <w:ilvl w:val="0"/>
          <w:numId w:val="2"/>
        </w:numPr>
        <w:spacing w:after="90" w:line="276"/>
      </w:pPr>
      <w:r>
        <w:rPr>
          <w:sz w:val="21"/>
          <w:szCs w:val="21"/>
        </w:rPr>
        <w:t xml:space="preserve">Cohort imbalance. Three to four batteries per cohort is insufficient to identify a mixed-effects variance component, which is why a full LOBO cross-validation of the mixed model was deliberately not run: with an unidentified variance component the number would not have been interpretable.</w:t>
      </w:r>
    </w:p>
    <w:p>
      <w:pPr>
        <w:pStyle w:val="ListParagraph"/>
        <w:numPr>
          <w:ilvl w:val="0"/>
          <w:numId w:val="2"/>
        </w:numPr>
        <w:spacing w:after="90" w:line="276"/>
      </w:pPr>
      <w:r>
        <w:rPr>
          <w:sz w:val="21"/>
          <w:szCs w:val="21"/>
        </w:rPr>
        <w:t xml:space="preserve">Single-frame estimates. Any figure from one LOCO draw should be read as an interval, not a point. This is why no ranking claim is offered.</w:t>
      </w:r>
    </w:p>
    <w:p>
      <w:pPr>
        <w:pStyle w:val="Heading3"/>
        <w:spacing w:after="120" w:before="260"/>
      </w:pPr>
      <w:r>
        <w:rPr>
          <w:b/>
          <w:bCs/>
          <w:color w:val="2F3B4D"/>
          <w:sz w:val="23"/>
          <w:szCs w:val="23"/>
        </w:rPr>
        <w:t xml:space="preserve">21.2 Measurement</w:t>
      </w:r>
    </w:p>
    <w:p>
      <w:pPr>
        <w:pStyle w:val="ListParagraph"/>
        <w:numPr>
          <w:ilvl w:val="0"/>
          <w:numId w:val="2"/>
        </w:numPr>
        <w:spacing w:after="90" w:line="276"/>
      </w:pPr>
      <w:r>
        <w:rPr>
          <w:sz w:val="21"/>
          <w:szCs w:val="21"/>
        </w:rPr>
        <w:t xml:space="preserve">The reversible thermal offset of Section 14 is not corrected for. Cross-cohort results should be read with that confound present.</w:t>
      </w:r>
    </w:p>
    <w:p>
      <w:pPr>
        <w:pStyle w:val="ListParagraph"/>
        <w:numPr>
          <w:ilvl w:val="0"/>
          <w:numId w:val="2"/>
        </w:numPr>
        <w:spacing w:after="90" w:line="276"/>
      </w:pPr>
      <w:r>
        <w:rPr>
          <w:sz w:val="21"/>
          <w:szCs w:val="21"/>
        </w:rPr>
        <w:t xml:space="preserve">Capacity is taken from each dataset’s reported discharge capacity and inherits whatever protocol that laboratory used.</w:t>
      </w:r>
    </w:p>
    <w:p>
      <w:pPr>
        <w:pStyle w:val="Heading3"/>
        <w:spacing w:after="120" w:before="260"/>
      </w:pPr>
      <w:r>
        <w:rPr>
          <w:b/>
          <w:bCs/>
          <w:color w:val="2F3B4D"/>
          <w:sz w:val="23"/>
          <w:szCs w:val="23"/>
        </w:rPr>
        <w:t xml:space="preserve">21.3 Hardware</w:t>
      </w:r>
    </w:p>
    <w:p>
      <w:pPr>
        <w:pStyle w:val="ListParagraph"/>
        <w:numPr>
          <w:ilvl w:val="0"/>
          <w:numId w:val="2"/>
        </w:numPr>
        <w:spacing w:after="90" w:line="276"/>
      </w:pPr>
      <w:r>
        <w:rPr>
          <w:sz w:val="21"/>
          <w:szCs w:val="21"/>
        </w:rPr>
        <w:t xml:space="preserve">No independent reference instrument, so coulomb-counting accuracy is unvalidated and no accuracy claim is made.</w:t>
      </w:r>
    </w:p>
    <w:p>
      <w:pPr>
        <w:pStyle w:val="ListParagraph"/>
        <w:numPr>
          <w:ilvl w:val="0"/>
          <w:numId w:val="2"/>
        </w:numPr>
        <w:spacing w:after="90" w:line="276"/>
      </w:pPr>
      <w:r>
        <w:rPr>
          <w:sz w:val="21"/>
          <w:szCs w:val="21"/>
        </w:rPr>
        <w:t xml:space="preserve">Temperature channel not functional; all temperature-dependent behavioural features unexercised on hardware.</w:t>
      </w:r>
    </w:p>
    <w:p>
      <w:pPr>
        <w:pStyle w:val="ListParagraph"/>
        <w:numPr>
          <w:ilvl w:val="0"/>
          <w:numId w:val="2"/>
        </w:numPr>
        <w:spacing w:after="90" w:line="276"/>
      </w:pPr>
      <w:r>
        <w:rPr>
          <w:sz w:val="21"/>
          <w:szCs w:val="21"/>
        </w:rPr>
        <w:t xml:space="preserve">Measurements at rest only. No discharge above the 0.5 A rest threshold, so cycle segmentation is unexercised on live hardware.</w:t>
      </w:r>
    </w:p>
    <w:p>
      <w:pPr>
        <w:pStyle w:val="ListParagraph"/>
        <w:numPr>
          <w:ilvl w:val="0"/>
          <w:numId w:val="2"/>
        </w:numPr>
        <w:spacing w:after="90" w:line="276"/>
      </w:pPr>
      <w:r>
        <w:rPr>
          <w:sz w:val="21"/>
          <w:szCs w:val="21"/>
        </w:rPr>
        <w:t xml:space="preserve">Single cell, single rig, single capture. No repeatability statistics across cells or sessions.</w:t>
      </w:r>
    </w:p>
    <w:p>
      <w:pPr>
        <w:pStyle w:val="Heading3"/>
        <w:spacing w:after="120" w:before="260"/>
      </w:pPr>
      <w:r>
        <w:rPr>
          <w:b/>
          <w:bCs/>
          <w:color w:val="2F3B4D"/>
          <w:sz w:val="23"/>
          <w:szCs w:val="23"/>
        </w:rPr>
        <w:t xml:space="preserve">21.4 Scope</w:t>
      </w:r>
    </w:p>
    <w:p>
      <w:pPr>
        <w:pStyle w:val="ListParagraph"/>
        <w:numPr>
          <w:ilvl w:val="0"/>
          <w:numId w:val="2"/>
        </w:numPr>
        <w:spacing w:after="90" w:line="276"/>
      </w:pPr>
      <w:r>
        <w:rPr>
          <w:sz w:val="21"/>
          <w:szCs w:val="21"/>
        </w:rPr>
        <w:t xml:space="preserve">The literature survey is incomplete and is left in that state rather than padded.</w:t>
      </w:r>
    </w:p>
    <w:p>
      <w:pPr>
        <w:pStyle w:val="ListParagraph"/>
        <w:numPr>
          <w:ilvl w:val="0"/>
          <w:numId w:val="2"/>
        </w:numPr>
        <w:spacing w:after="90" w:line="276"/>
      </w:pPr>
      <w:r>
        <w:rPr>
          <w:sz w:val="21"/>
          <w:szCs w:val="21"/>
        </w:rPr>
        <w:t xml:space="preserve">Committed conformal-prediction artefacts did not reproduce exactly on re-run, with a fold-count discrepancy. Recorded as open; the pinned figures were not adjusted to match the new run.</w:t>
      </w:r>
    </w:p>
    <w:p>
      <w:pPr>
        <w:pStyle w:val="Heading2"/>
        <w:spacing w:after="160" w:before="360"/>
      </w:pPr>
      <w:r>
        <w:rPr>
          <w:b/>
          <w:bCs/>
          <w:color w:val="111826"/>
          <w:sz w:val="28"/>
          <w:szCs w:val="28"/>
        </w:rPr>
        <w:t xml:space="preserve">22. What We Will Do Next</w:t>
      </w:r>
    </w:p>
    <w:p>
      <w:pPr>
        <w:pStyle w:val="Heading3"/>
        <w:spacing w:after="120" w:before="260"/>
      </w:pPr>
      <w:r>
        <w:rPr>
          <w:b/>
          <w:bCs/>
          <w:color w:val="2F3B4D"/>
          <w:sz w:val="23"/>
          <w:szCs w:val="23"/>
        </w:rPr>
        <w:t xml:space="preserve">22.1 Immediate — completing the hardware loop</w:t>
      </w:r>
    </w:p>
    <w:p>
      <w:pPr>
        <w:pStyle w:val="ListParagraph"/>
        <w:numPr>
          <w:ilvl w:val="0"/>
          <w:numId w:val="6"/>
        </w:numPr>
        <w:spacing w:after="90" w:line="276"/>
      </w:pPr>
      <w:r>
        <w:rPr>
          <w:b/>
          <w:bCs/>
          <w:sz w:val="21"/>
          <w:szCs w:val="21"/>
        </w:rPr>
        <w:t xml:space="preserve">Restore the temperature channel. </w:t>
      </w:r>
      <w:r>
        <w:rPr>
          <w:sz w:val="21"/>
          <w:szCs w:val="21"/>
        </w:rPr>
        <w:t xml:space="preserve">Substitute a DS18B20 for the LM35, recovering a sensor whose failure mode is detectable by the schema without a firmware plausibility floor. Unblocks the coverage gate and the temperature-dependent features.</w:t>
      </w:r>
    </w:p>
    <w:p>
      <w:pPr>
        <w:pStyle w:val="ListParagraph"/>
        <w:numPr>
          <w:ilvl w:val="0"/>
          <w:numId w:val="6"/>
        </w:numPr>
        <w:spacing w:after="90" w:line="276"/>
      </w:pPr>
      <w:r>
        <w:rPr>
          <w:b/>
          <w:bCs/>
          <w:sz w:val="21"/>
          <w:szCs w:val="21"/>
        </w:rPr>
        <w:t xml:space="preserve">Add a resistive load and record a discharge. </w:t>
      </w:r>
      <w:r>
        <w:rPr>
          <w:sz w:val="21"/>
          <w:szCs w:val="21"/>
        </w:rPr>
        <w:t xml:space="preserve">A 3.3–4.7 Ω power resistor draws 0.8–1.1 A at 3.7 V, above the 0.5 A rest threshold, exercising phase segmentation and C-rate on live hardware for the first time.</w:t>
      </w:r>
    </w:p>
    <w:p>
      <w:pPr>
        <w:pStyle w:val="ListParagraph"/>
        <w:numPr>
          <w:ilvl w:val="0"/>
          <w:numId w:val="6"/>
        </w:numPr>
        <w:spacing w:after="90" w:line="276"/>
      </w:pPr>
      <w:r>
        <w:rPr>
          <w:b/>
          <w:bCs/>
          <w:sz w:val="21"/>
          <w:szCs w:val="21"/>
        </w:rPr>
        <w:t xml:space="preserve">Record a charge cycle through the TP4056. </w:t>
      </w:r>
      <w:r>
        <w:rPr>
          <w:sz w:val="21"/>
          <w:szCs w:val="21"/>
        </w:rPr>
        <w:t xml:space="preserve">Completes the cycle and exercises fast_charge_flag and the charge-side behaviour features, none of which has ever seen hardware data.</w:t>
      </w:r>
    </w:p>
    <w:p>
      <w:pPr>
        <w:pStyle w:val="Heading3"/>
        <w:spacing w:after="120" w:before="260"/>
      </w:pPr>
      <w:r>
        <w:rPr>
          <w:b/>
          <w:bCs/>
          <w:color w:val="2F3B4D"/>
          <w:sz w:val="23"/>
          <w:szCs w:val="23"/>
        </w:rPr>
        <w:t xml:space="preserve">22.2 Near term — making a measurement claim</w:t>
      </w:r>
    </w:p>
    <w:p>
      <w:pPr>
        <w:pStyle w:val="ListParagraph"/>
        <w:numPr>
          <w:ilvl w:val="0"/>
          <w:numId w:val="7"/>
        </w:numPr>
        <w:spacing w:after="90" w:line="276"/>
      </w:pPr>
      <w:r>
        <w:rPr>
          <w:b/>
          <w:bCs/>
          <w:sz w:val="21"/>
          <w:szCs w:val="21"/>
        </w:rPr>
        <w:t xml:space="preserve">Acquire an independent capacity reference. </w:t>
      </w:r>
      <w:r>
        <w:rPr>
          <w:sz w:val="21"/>
          <w:szCs w:val="21"/>
        </w:rPr>
        <w:t xml:space="preserve">An 18650 analyser with discharge-capacity readout permits a coulomb-counting accuracy statement. Without it the rig can only be shown to agree with itself, which is not a result.</w:t>
      </w:r>
    </w:p>
    <w:p>
      <w:pPr>
        <w:pStyle w:val="ListParagraph"/>
        <w:numPr>
          <w:ilvl w:val="0"/>
          <w:numId w:val="7"/>
        </w:numPr>
        <w:spacing w:after="90" w:line="276"/>
      </w:pPr>
      <w:r>
        <w:rPr>
          <w:b/>
          <w:bCs/>
          <w:sz w:val="21"/>
          <w:szCs w:val="21"/>
        </w:rPr>
        <w:t xml:space="preserve">Cross-validate the instrument. </w:t>
      </w:r>
      <w:r>
        <w:rPr>
          <w:sz w:val="21"/>
          <w:szCs w:val="21"/>
        </w:rPr>
        <w:t xml:space="preserve">Compare INA219 bus voltage against a multimeter, and INA219 current against the Ohm’s-law prediction from a measured load resistance. Two independent checks requiring no additional instrument beyond a meter.</w:t>
      </w:r>
    </w:p>
    <w:p>
      <w:pPr>
        <w:pStyle w:val="Heading3"/>
        <w:spacing w:after="120" w:before="260"/>
      </w:pPr>
      <w:r>
        <w:rPr>
          <w:b/>
          <w:bCs/>
          <w:color w:val="2F3B4D"/>
          <w:sz w:val="23"/>
          <w:szCs w:val="23"/>
        </w:rPr>
        <w:t xml:space="preserve">22.3 Research — the findings that matter</w:t>
      </w:r>
    </w:p>
    <w:p>
      <w:pPr>
        <w:pStyle w:val="ListParagraph"/>
        <w:numPr>
          <w:ilvl w:val="0"/>
          <w:numId w:val="8"/>
        </w:numPr>
        <w:spacing w:after="90" w:line="276"/>
      </w:pPr>
      <w:r>
        <w:rPr>
          <w:b/>
          <w:bCs/>
          <w:sz w:val="21"/>
          <w:szCs w:val="21"/>
        </w:rPr>
        <w:t xml:space="preserve">Capacity normalisation to a reference temperature. </w:t>
      </w:r>
      <w:r>
        <w:rPr>
          <w:sz w:val="21"/>
          <w:szCs w:val="21"/>
        </w:rPr>
        <w:t xml:space="preserve">Section 14 identifies the reversible thermal offset as the largest confound in the cross-cohort analysis. Normalising measured capacity before comparison is the single highest-value scientific step available.</w:t>
      </w:r>
    </w:p>
    <w:p>
      <w:pPr>
        <w:pStyle w:val="ListParagraph"/>
        <w:numPr>
          <w:ilvl w:val="0"/>
          <w:numId w:val="8"/>
        </w:numPr>
        <w:spacing w:after="90" w:line="276"/>
      </w:pPr>
      <w:r>
        <w:rPr>
          <w:b/>
          <w:bCs/>
          <w:sz w:val="21"/>
          <w:szCs w:val="21"/>
        </w:rPr>
        <w:t xml:space="preserve">A dataset with 8–10 or more cells per cohort. </w:t>
      </w:r>
      <w:r>
        <w:rPr>
          <w:sz w:val="21"/>
          <w:szCs w:val="21"/>
        </w:rPr>
        <w:t xml:space="preserve">Sufficient to identify the mixed-effects variance component the present data cannot, closing the modelling line left open in Section 21.1.</w:t>
      </w:r>
    </w:p>
    <w:p>
      <w:pPr>
        <w:pStyle w:val="ListParagraph"/>
        <w:numPr>
          <w:ilvl w:val="0"/>
          <w:numId w:val="8"/>
        </w:numPr>
        <w:spacing w:after="90" w:line="276"/>
      </w:pPr>
      <w:r>
        <w:rPr>
          <w:b/>
          <w:bCs/>
          <w:sz w:val="21"/>
          <w:szCs w:val="21"/>
        </w:rPr>
        <w:t xml:space="preserve">Re-derive the risk thresholds from data. </w:t>
      </w:r>
      <w:r>
        <w:rPr>
          <w:sz w:val="21"/>
          <w:szCs w:val="21"/>
        </w:rPr>
        <w:t xml:space="preserve">Section 16 shows 61% of the score comes from unreachable terms. Thresholds chosen from the observed distribution rather than by hand would test the behavioural premise properly for the first time.</w:t>
      </w:r>
    </w:p>
    <w:p>
      <w:pPr>
        <w:pStyle w:val="ListParagraph"/>
        <w:numPr>
          <w:ilvl w:val="0"/>
          <w:numId w:val="8"/>
        </w:numPr>
        <w:spacing w:after="90" w:line="276"/>
      </w:pPr>
      <w:r>
        <w:rPr>
          <w:b/>
          <w:bCs/>
          <w:sz w:val="21"/>
          <w:szCs w:val="21"/>
        </w:rPr>
        <w:t xml:space="preserve">Interval reporting as standard. </w:t>
      </w:r>
      <w:r>
        <w:rPr>
          <w:sz w:val="21"/>
          <w:szCs w:val="21"/>
        </w:rPr>
        <w:t xml:space="preserve">Adopt Section 15.4 as policy: every leave-one-cohort-out estimate reported as an interval across cohort draws, never as a point.</w:t>
      </w:r>
    </w:p>
    <w:p>
      <w:pPr>
        <w:pStyle w:val="Heading3"/>
        <w:spacing w:after="120" w:before="260"/>
      </w:pPr>
      <w:r>
        <w:rPr>
          <w:b/>
          <w:bCs/>
          <w:color w:val="2F3B4D"/>
          <w:sz w:val="23"/>
          <w:szCs w:val="23"/>
        </w:rPr>
        <w:t xml:space="preserve">22.4 Publication</w:t>
      </w:r>
    </w:p>
    <w:p>
      <w:pPr>
        <w:spacing w:after="140" w:line="276"/>
      </w:pPr>
      <w:r>
        <w:rPr>
          <w:sz w:val="21"/>
          <w:szCs w:val="21"/>
        </w:rPr>
        <w:t xml:space="preserve">The methodological result of Section 15.4 is the publishable contribution. It is dataset-independent, it has replicated across two laboratories and two cohort axes, and it is testable by anyone with two protocols and a held-out group. The intended framing is a short methods paper reporting that leave-one-cohort-out estimates at standard battery-dataset sample sizes cannot rank candidate methods, with the six withdrawn claims as the evidential record.</w:t>
      </w:r>
    </w:p>
    <w:p>
      <w:pPr>
        <w:pStyle w:val="Heading2"/>
        <w:spacing w:after="160" w:before="360"/>
      </w:pPr>
      <w:r>
        <w:rPr>
          <w:b/>
          <w:bCs/>
          <w:color w:val="111826"/>
          <w:sz w:val="28"/>
          <w:szCs w:val="28"/>
        </w:rPr>
        <w:t xml:space="preserve">23. Conclusions</w:t>
      </w:r>
    </w:p>
    <w:p>
      <w:pPr>
        <w:pStyle w:val="ListParagraph"/>
        <w:numPr>
          <w:ilvl w:val="0"/>
          <w:numId w:val="9"/>
        </w:numPr>
        <w:spacing w:after="90" w:line="276"/>
      </w:pPr>
      <w:r>
        <w:rPr>
          <w:sz w:val="21"/>
          <w:szCs w:val="21"/>
        </w:rPr>
        <w:t xml:space="preserve">The prediction target originally chosen, per-cycle capacity delta, is approximately 96% measurement noise, with a maximum attainable R² of 0.044. Target definition dominated the original negative result.</w:t>
      </w:r>
    </w:p>
    <w:p>
      <w:pPr>
        <w:pStyle w:val="ListParagraph"/>
        <w:numPr>
          <w:ilvl w:val="0"/>
          <w:numId w:val="9"/>
        </w:numPr>
        <w:spacing w:after="90" w:line="276"/>
      </w:pPr>
      <w:r>
        <w:rPr>
          <w:sz w:val="21"/>
          <w:szCs w:val="21"/>
        </w:rPr>
        <w:t xml:space="preserve">Model ranking under leave-one-battery-out validation carries essentially no information about ranking under leave-one-cohort-out validation (ρ = +0.084, p = 0.795, n = 12), and selecting on the former costs 0.309 R².</w:t>
      </w:r>
    </w:p>
    <w:p>
      <w:pPr>
        <w:pStyle w:val="ListParagraph"/>
        <w:numPr>
          <w:ilvl w:val="0"/>
          <w:numId w:val="9"/>
        </w:numPr>
        <w:spacing w:after="90" w:line="276"/>
      </w:pPr>
      <w:r>
        <w:rPr>
          <w:sz w:val="21"/>
          <w:szCs w:val="21"/>
        </w:rPr>
        <w:t xml:space="preserve">Across twelve published methods, a straight line on cycle count is the most robust under protocol shift; all behavioural and nonlinear modelling buys approximately 0.05 R² over it.</w:t>
      </w:r>
    </w:p>
    <w:p>
      <w:pPr>
        <w:pStyle w:val="ListParagraph"/>
        <w:numPr>
          <w:ilvl w:val="0"/>
          <w:numId w:val="9"/>
        </w:numPr>
        <w:spacing w:after="90" w:line="276"/>
      </w:pPr>
      <w:r>
        <w:rPr>
          <w:sz w:val="21"/>
          <w:szCs w:val="21"/>
        </w:rPr>
        <w:t xml:space="preserve">A reversible thermal offset of approximately 8 SOH points exists in apparent capacity before any degradation, is constant within a cohort and anti-correlated with true thermal ageing across cohorts, and mechanically explains the sign reversal in cross-cohort fitting.</w:t>
      </w:r>
    </w:p>
    <w:p>
      <w:pPr>
        <w:pStyle w:val="ListParagraph"/>
        <w:numPr>
          <w:ilvl w:val="0"/>
          <w:numId w:val="9"/>
        </w:numPr>
        <w:spacing w:after="90" w:line="276"/>
      </w:pPr>
      <w:r>
        <w:rPr>
          <w:sz w:val="21"/>
          <w:szCs w:val="21"/>
        </w:rPr>
        <w:t xml:space="preserve">At these sample sizes a single leave-one-cohort-out estimate is roughly 2.7 times noisier than the effect it is used to rank. Six ranking claims were made and all six withdrawn.</w:t>
      </w:r>
    </w:p>
    <w:p>
      <w:pPr>
        <w:pStyle w:val="ListParagraph"/>
        <w:numPr>
          <w:ilvl w:val="0"/>
          <w:numId w:val="9"/>
        </w:numPr>
        <w:spacing w:after="90" w:line="276"/>
      </w:pPr>
      <w:r>
        <w:rPr>
          <w:sz w:val="21"/>
          <w:szCs w:val="21"/>
        </w:rPr>
        <w:t xml:space="preserve">61% of the rule-based risk score is constant across the calibration set, reframing the original null as a calibration-design fault rather than a refutation of the behavioural premise.</w:t>
      </w:r>
    </w:p>
    <w:p>
      <w:pPr>
        <w:pStyle w:val="ListParagraph"/>
        <w:numPr>
          <w:ilvl w:val="0"/>
          <w:numId w:val="9"/>
        </w:numPr>
        <w:spacing w:after="90" w:line="276"/>
      </w:pPr>
      <w:r>
        <w:rPr>
          <w:sz w:val="21"/>
          <w:szCs w:val="21"/>
        </w:rPr>
        <w:t xml:space="preserve">A physical rig measures terminal voltage and current on a real cell, and the validation gate correctly refuses to produce health, RUL or SOH when a required channel is absent.</w:t>
      </w:r>
    </w:p>
    <w:p>
      <w:pPr>
        <w:spacing w:after="140"/>
      </w:pPr>
    </w:p>
    <w:tbl>
      <w:tblPr>
        <w:tblW w:type="dxa" w:w="9360"/>
        <w:tblBorders>
          <w:top w:val="single" w:color="DDE5DF" w:sz="2"/>
          <w:left w:val="single" w:color="1F6F4A" w:sz="18"/>
          <w:bottom w:val="single" w:color="DDE5DF" w:sz="2"/>
          <w:right w:val="single" w:color="DDE5DF" w:sz="2"/>
          <w:insideH w:val="none"/>
          <w:insideV w:val="none"/>
        </w:tblBorders>
      </w:tblPr>
      <w:tblGrid>
        <w:gridCol w:w="9360"/>
      </w:tblGrid>
      <w:tr>
        <w:tc>
          <w:tcPr>
            <w:tcW w:type="dxa" w:w="9360"/>
            <w:shd w:fill="F1F7F3" w:val="clear"/>
            <w:tcMar>
              <w:top w:type="dxa" w:w="140"/>
              <w:left w:type="dxa" w:w="200"/>
              <w:bottom w:type="dxa" w:w="140"/>
              <w:right w:type="dxa" w:w="200"/>
            </w:tcMar>
          </w:tcPr>
          <w:p>
            <w:pPr>
              <w:spacing w:after="0" w:line="276"/>
            </w:pPr>
            <w:r>
              <w:rPr>
                <w:b/>
                <w:bCs/>
                <w:sz w:val="21"/>
                <w:szCs w:val="21"/>
              </w:rPr>
              <w:t xml:space="preserve">Closing position. </w:t>
            </w:r>
            <w:r>
              <w:rPr>
                <w:sz w:val="21"/>
                <w:szCs w:val="21"/>
              </w:rPr>
              <w:t xml:space="preserve">The project did not demonstrate that behavioural scores predict capacity fade. It demonstrated why the question is harder to answer than the literature’s validation practice suggests, and it built a system that declines to answer it rather than answering it badly. The refusals are the engineering deliverable.</w:t>
            </w:r>
          </w:p>
        </w:tc>
      </w:tr>
    </w:tbl>
    <w:p>
      <w:pPr>
        <w:pStyle w:val="Heading1"/>
        <w:pageBreakBefore/>
        <w:spacing w:after="300" w:before="200"/>
      </w:pPr>
      <w:r>
        <w:rPr>
          <w:b/>
          <w:bCs/>
          <w:color w:val="1F6F4A"/>
          <w:sz w:val="19"/>
          <w:szCs w:val="19"/>
        </w:rPr>
        <w:t xml:space="preserve">PART VI</w:t>
      </w:r>
      <w:r>
        <w:br/>
        <w:t xml:space="preserve"/>
      </w:r>
      <w:r>
        <w:rPr>
          <w:b/>
          <w:bCs/>
          <w:color w:val="111826"/>
          <w:sz w:val="38"/>
          <w:szCs w:val="38"/>
        </w:rPr>
        <w:t xml:space="preserve">Appendices</w:t>
      </w:r>
    </w:p>
    <w:p>
      <w:pPr>
        <w:pStyle w:val="Heading2"/>
        <w:spacing w:after="160" w:before="360"/>
      </w:pPr>
      <w:r>
        <w:rPr>
          <w:b/>
          <w:bCs/>
          <w:color w:val="111826"/>
          <w:sz w:val="28"/>
          <w:szCs w:val="28"/>
        </w:rPr>
        <w:t xml:space="preserve">Appendix A: Reproduction</w:t>
      </w:r>
    </w:p>
    <w:p>
      <w:pPr>
        <w:spacing w:after="140" w:line="276"/>
      </w:pPr>
      <w:r>
        <w:rPr>
          <w:sz w:val="21"/>
          <w:szCs w:val="21"/>
        </w:rPr>
        <w:t xml:space="preserve">Every command below runs on a fresh clone with no hardware, no database, no API keys and no dataset download.</w:t>
      </w:r>
    </w:p>
    <w:p>
      <w:pPr>
        <w:spacing w:after="30" w:line="276"/>
      </w:pPr>
      <w:r>
        <w:rPr>
          <w:rFonts w:ascii="Consolas" w:cs="Consolas" w:eastAsia="Consolas" w:hAnsi="Consolas"/>
          <w:sz w:val="19"/>
          <w:szCs w:val="19"/>
        </w:rPr>
        <w:t xml:space="preserve">git clone https://github.com/Navvu-gityhub/Behavior-Aware-BMS.git</w:t>
      </w:r>
    </w:p>
    <w:p>
      <w:pPr>
        <w:spacing w:after="30" w:line="276"/>
      </w:pPr>
      <w:r>
        <w:rPr>
          <w:rFonts w:ascii="Consolas" w:cs="Consolas" w:eastAsia="Consolas" w:hAnsi="Consolas"/>
          <w:sz w:val="19"/>
          <w:szCs w:val="19"/>
        </w:rPr>
        <w:t xml:space="preserve">cd Behavior-Aware-BMS</w:t>
      </w:r>
    </w:p>
    <w:p>
      <w:pPr>
        <w:spacing w:after="160" w:line="276"/>
      </w:pPr>
      <w:r>
        <w:rPr>
          <w:rFonts w:ascii="Consolas" w:cs="Consolas" w:eastAsia="Consolas" w:hAnsi="Consolas"/>
          <w:sz w:val="19"/>
          <w:szCs w:val="19"/>
        </w:rPr>
        <w:t xml:space="preserve">pip install -r requirements-dev.txt</w:t>
      </w:r>
    </w:p>
    <w:p>
      <w:pPr>
        <w:spacing w:after="30" w:line="276"/>
      </w:pPr>
      <w:r>
        <w:rPr>
          <w:rFonts w:ascii="Consolas" w:cs="Consolas" w:eastAsia="Consolas" w:hAnsi="Consolas"/>
          <w:sz w:val="19"/>
          <w:szCs w:val="19"/>
        </w:rPr>
        <w:t xml:space="preserve">python main.py                      # end-to-end run</w:t>
      </w:r>
    </w:p>
    <w:p>
      <w:pPr>
        <w:spacing w:after="30" w:line="276"/>
      </w:pPr>
      <w:r>
        <w:rPr>
          <w:rFonts w:ascii="Consolas" w:cs="Consolas" w:eastAsia="Consolas" w:hAnsi="Consolas"/>
          <w:sz w:val="19"/>
          <w:szCs w:val="19"/>
        </w:rPr>
        <w:t xml:space="preserve">python scripts/run_serial_demo.py   # rig -&gt; parser -&gt; gate</w:t>
      </w:r>
    </w:p>
    <w:p>
      <w:pPr>
        <w:spacing w:after="200" w:line="276"/>
      </w:pPr>
      <w:r>
        <w:rPr>
          <w:rFonts w:ascii="Consolas" w:cs="Consolas" w:eastAsia="Consolas" w:hAnsi="Consolas"/>
          <w:sz w:val="19"/>
          <w:szCs w:val="19"/>
        </w:rPr>
        <w:t xml:space="preserve">python -m pytest tests/ -q          # 33 test modules</w:t>
      </w:r>
    </w:p>
    <w:p>
      <w:pPr>
        <w:spacing w:after="140" w:line="276"/>
      </w:pPr>
      <w:r>
        <w:rPr>
          <w:sz w:val="21"/>
          <w:szCs w:val="21"/>
        </w:rPr>
        <w:t xml:space="preserve">Replay of the hardware capture reported in Section 19.2:</w:t>
      </w:r>
    </w:p>
    <w:p>
      <w:pPr>
        <w:spacing w:after="30" w:line="276"/>
      </w:pPr>
      <w:r>
        <w:rPr>
          <w:rFonts w:ascii="Consolas" w:cs="Consolas" w:eastAsia="Consolas" w:hAnsi="Consolas"/>
          <w:sz w:val="19"/>
          <w:szCs w:val="19"/>
        </w:rPr>
        <w:t xml:space="preserve">python scripts/run_serial_demo.py --replay \\</w:t>
      </w:r>
    </w:p>
    <w:p>
      <w:pPr>
        <w:spacing w:after="200" w:line="276"/>
      </w:pPr>
      <w:r>
        <w:rPr>
          <w:rFonts w:ascii="Consolas" w:cs="Consolas" w:eastAsia="Consolas" w:hAnsi="Consolas"/>
          <w:sz w:val="19"/>
          <w:szCs w:val="19"/>
        </w:rPr>
        <w:t xml:space="preserve">    data/interim/rig_stage_b_voltage_verified.txt</w:t>
      </w:r>
    </w:p>
    <w:p>
      <w:pPr>
        <w:spacing w:after="140" w:line="276"/>
      </w:pPr>
      <w:r>
        <w:rPr>
          <w:sz w:val="21"/>
          <w:szCs w:val="21"/>
        </w:rPr>
        <w:t xml:space="preserve">Firmware build for the bench rig, with board-specific serial rate and real sensors:</w:t>
      </w:r>
    </w:p>
    <w:p>
      <w:pPr>
        <w:spacing w:after="30" w:line="276"/>
      </w:pPr>
      <w:r>
        <w:rPr>
          <w:rFonts w:ascii="Consolas" w:cs="Consolas" w:eastAsia="Consolas" w:hAnsi="Consolas"/>
          <w:sz w:val="19"/>
          <w:szCs w:val="19"/>
        </w:rPr>
        <w:t xml:space="preserve">arduino-cli compile --fqbn esp8266:esp8266:nodemcuv2 \\</w:t>
      </w:r>
    </w:p>
    <w:p>
      <w:pPr>
        <w:spacing w:after="30" w:line="276"/>
      </w:pPr>
      <w:r>
        <w:rPr>
          <w:rFonts w:ascii="Consolas" w:cs="Consolas" w:eastAsia="Consolas" w:hAnsi="Consolas"/>
          <w:sz w:val="19"/>
          <w:szCs w:val="19"/>
        </w:rPr>
        <w:t xml:space="preserve">  --build-property "compiler.cpp.extra_flags=\\</w:t>
      </w:r>
    </w:p>
    <w:p>
      <w:pPr>
        <w:spacing w:after="30" w:line="276"/>
      </w:pPr>
      <w:r>
        <w:rPr>
          <w:rFonts w:ascii="Consolas" w:cs="Consolas" w:eastAsia="Consolas" w:hAnsi="Consolas"/>
          <w:sz w:val="19"/>
          <w:szCs w:val="19"/>
        </w:rPr>
        <w:t xml:space="preserve">     -DSERIAL_BAUD=9600 -DUSE_REAL_SENSORS=1" \\</w:t>
      </w:r>
    </w:p>
    <w:p>
      <w:pPr>
        <w:spacing w:after="220" w:line="276"/>
      </w:pPr>
      <w:r>
        <w:rPr>
          <w:rFonts w:ascii="Consolas" w:cs="Consolas" w:eastAsia="Consolas" w:hAnsi="Consolas"/>
          <w:sz w:val="19"/>
          <w:szCs w:val="19"/>
        </w:rPr>
        <w:t xml:space="preserve">  firmware/beacon_rig</w:t>
      </w:r>
    </w:p>
    <w:p>
      <w:pPr>
        <w:pStyle w:val="Heading2"/>
        <w:spacing w:after="160" w:before="360"/>
      </w:pPr>
      <w:r>
        <w:rPr>
          <w:b/>
          <w:bCs/>
          <w:color w:val="111826"/>
          <w:sz w:val="28"/>
          <w:szCs w:val="28"/>
        </w:rPr>
        <w:t xml:space="preserve">Appendix B: Glossary</w:t>
      </w:r>
    </w:p>
    <w:tbl>
      <w:tblPr>
        <w:tblW w:type="dxa" w:w="9360"/>
        <w:tblBorders>
          <w:top w:val="single" w:color="B9C2CE" w:sz="4"/>
          <w:left w:val="none"/>
          <w:bottom w:val="single" w:color="B9C2CE" w:sz="4"/>
          <w:right w:val="none"/>
          <w:insideH w:val="single" w:color="E1E6EC" w:sz="2"/>
          <w:insideV w:val="none"/>
        </w:tblBorders>
      </w:tblPr>
      <w:tblGrid>
        <w:gridCol w:w="1900"/>
        <w:gridCol w:w="7460"/>
      </w:tblGrid>
      <w:tr>
        <w:trPr>
          <w:tblHeader/>
        </w:trPr>
        <w:tc>
          <w:tcPr>
            <w:tcW w:type="dxa" w:w="1900"/>
            <w:shd w:fill="EEF2F6" w:val="clear"/>
            <w:tcMar>
              <w:top w:type="dxa" w:w="80"/>
              <w:left w:type="dxa" w:w="120"/>
              <w:bottom w:type="dxa" w:w="80"/>
              <w:right w:type="dxa" w:w="120"/>
            </w:tcMar>
          </w:tcPr>
          <w:p>
            <w:pPr>
              <w:spacing w:after="0" w:line="240"/>
            </w:pPr>
            <w:r>
              <w:rPr>
                <w:b/>
                <w:bCs/>
                <w:sz w:val="19"/>
                <w:szCs w:val="19"/>
              </w:rPr>
              <w:t xml:space="preserve">Term</w:t>
            </w:r>
          </w:p>
        </w:tc>
        <w:tc>
          <w:tcPr>
            <w:tcW w:type="dxa" w:w="7460"/>
            <w:shd w:fill="EEF2F6" w:val="clear"/>
            <w:tcMar>
              <w:top w:type="dxa" w:w="80"/>
              <w:left w:type="dxa" w:w="120"/>
              <w:bottom w:type="dxa" w:w="80"/>
              <w:right w:type="dxa" w:w="120"/>
            </w:tcMar>
          </w:tcPr>
          <w:p>
            <w:pPr>
              <w:spacing w:after="0" w:line="240"/>
            </w:pPr>
            <w:r>
              <w:rPr>
                <w:b/>
                <w:bCs/>
                <w:sz w:val="19"/>
                <w:szCs w:val="19"/>
              </w:rPr>
              <w:t xml:space="preserve">Meaning</w:t>
            </w:r>
          </w:p>
        </w:tc>
      </w:tr>
      <w:tr>
        <w:tc>
          <w:tcPr>
            <w:tcW w:type="dxa" w:w="1900"/>
            <w:tcMar>
              <w:top w:type="dxa" w:w="80"/>
              <w:left w:type="dxa" w:w="120"/>
              <w:bottom w:type="dxa" w:w="80"/>
              <w:right w:type="dxa" w:w="120"/>
            </w:tcMar>
          </w:tcPr>
          <w:p>
            <w:pPr>
              <w:spacing w:after="0" w:line="240"/>
            </w:pPr>
            <w:r>
              <w:rPr>
                <w:sz w:val="19"/>
                <w:szCs w:val="19"/>
              </w:rPr>
              <w:t xml:space="preserve">C-rate</w:t>
            </w:r>
          </w:p>
        </w:tc>
        <w:tc>
          <w:tcPr>
            <w:tcW w:type="dxa" w:w="7460"/>
            <w:tcMar>
              <w:top w:type="dxa" w:w="80"/>
              <w:left w:type="dxa" w:w="120"/>
              <w:bottom w:type="dxa" w:w="80"/>
              <w:right w:type="dxa" w:w="120"/>
            </w:tcMar>
          </w:tcPr>
          <w:p>
            <w:pPr>
              <w:spacing w:after="0" w:line="240"/>
            </w:pPr>
            <w:r>
              <w:rPr>
                <w:sz w:val="19"/>
                <w:szCs w:val="19"/>
              </w:rPr>
              <w:t xml:space="preserve">Current divided by rated capacity. 1 C discharges a cell in one hour.</w:t>
            </w:r>
          </w:p>
        </w:tc>
      </w:tr>
      <w:tr>
        <w:tc>
          <w:tcPr>
            <w:tcW w:type="dxa" w:w="1900"/>
            <w:tcMar>
              <w:top w:type="dxa" w:w="80"/>
              <w:left w:type="dxa" w:w="120"/>
              <w:bottom w:type="dxa" w:w="80"/>
              <w:right w:type="dxa" w:w="120"/>
            </w:tcMar>
          </w:tcPr>
          <w:p>
            <w:pPr>
              <w:spacing w:after="0" w:line="240"/>
            </w:pPr>
            <w:r>
              <w:rPr>
                <w:sz w:val="19"/>
                <w:szCs w:val="19"/>
              </w:rPr>
              <w:t xml:space="preserve">Cohort</w:t>
            </w:r>
          </w:p>
        </w:tc>
        <w:tc>
          <w:tcPr>
            <w:tcW w:type="dxa" w:w="7460"/>
            <w:tcMar>
              <w:top w:type="dxa" w:w="80"/>
              <w:left w:type="dxa" w:w="120"/>
              <w:bottom w:type="dxa" w:w="80"/>
              <w:right w:type="dxa" w:w="120"/>
            </w:tcMar>
          </w:tcPr>
          <w:p>
            <w:pPr>
              <w:spacing w:after="0" w:line="240"/>
            </w:pPr>
            <w:r>
              <w:rPr>
                <w:sz w:val="19"/>
                <w:szCs w:val="19"/>
              </w:rPr>
              <w:t xml:space="preserve">A group of cells sharing an operating protocol (a temperature, a depth of discharge).</w:t>
            </w:r>
          </w:p>
        </w:tc>
      </w:tr>
      <w:tr>
        <w:tc>
          <w:tcPr>
            <w:tcW w:type="dxa" w:w="1900"/>
            <w:tcMar>
              <w:top w:type="dxa" w:w="80"/>
              <w:left w:type="dxa" w:w="120"/>
              <w:bottom w:type="dxa" w:w="80"/>
              <w:right w:type="dxa" w:w="120"/>
            </w:tcMar>
          </w:tcPr>
          <w:p>
            <w:pPr>
              <w:spacing w:after="0" w:line="240"/>
            </w:pPr>
            <w:r>
              <w:rPr>
                <w:sz w:val="19"/>
                <w:szCs w:val="19"/>
              </w:rPr>
              <w:t xml:space="preserve">Coulomb counting</w:t>
            </w:r>
          </w:p>
        </w:tc>
        <w:tc>
          <w:tcPr>
            <w:tcW w:type="dxa" w:w="7460"/>
            <w:tcMar>
              <w:top w:type="dxa" w:w="80"/>
              <w:left w:type="dxa" w:w="120"/>
              <w:bottom w:type="dxa" w:w="80"/>
              <w:right w:type="dxa" w:w="120"/>
            </w:tcMar>
          </w:tcPr>
          <w:p>
            <w:pPr>
              <w:spacing w:after="0" w:line="240"/>
            </w:pPr>
            <w:r>
              <w:rPr>
                <w:sz w:val="19"/>
                <w:szCs w:val="19"/>
              </w:rPr>
              <w:t xml:space="preserve">Integrating current over time to track charge moved.</w:t>
            </w:r>
          </w:p>
        </w:tc>
      </w:tr>
      <w:tr>
        <w:tc>
          <w:tcPr>
            <w:tcW w:type="dxa" w:w="1900"/>
            <w:tcMar>
              <w:top w:type="dxa" w:w="80"/>
              <w:left w:type="dxa" w:w="120"/>
              <w:bottom w:type="dxa" w:w="80"/>
              <w:right w:type="dxa" w:w="120"/>
            </w:tcMar>
          </w:tcPr>
          <w:p>
            <w:pPr>
              <w:spacing w:after="0" w:line="240"/>
            </w:pPr>
            <w:r>
              <w:rPr>
                <w:sz w:val="19"/>
                <w:szCs w:val="19"/>
              </w:rPr>
              <w:t xml:space="preserve">DOD</w:t>
            </w:r>
          </w:p>
        </w:tc>
        <w:tc>
          <w:tcPr>
            <w:tcW w:type="dxa" w:w="7460"/>
            <w:tcMar>
              <w:top w:type="dxa" w:w="80"/>
              <w:left w:type="dxa" w:w="120"/>
              <w:bottom w:type="dxa" w:w="80"/>
              <w:right w:type="dxa" w:w="120"/>
            </w:tcMar>
          </w:tcPr>
          <w:p>
            <w:pPr>
              <w:spacing w:after="0" w:line="240"/>
            </w:pPr>
            <w:r>
              <w:rPr>
                <w:sz w:val="19"/>
                <w:szCs w:val="19"/>
              </w:rPr>
              <w:t xml:space="preserve">Depth of discharge — the fraction of capacity removed in a discharge.</w:t>
            </w:r>
          </w:p>
        </w:tc>
      </w:tr>
      <w:tr>
        <w:tc>
          <w:tcPr>
            <w:tcW w:type="dxa" w:w="1900"/>
            <w:tcMar>
              <w:top w:type="dxa" w:w="80"/>
              <w:left w:type="dxa" w:w="120"/>
              <w:bottom w:type="dxa" w:w="80"/>
              <w:right w:type="dxa" w:w="120"/>
            </w:tcMar>
          </w:tcPr>
          <w:p>
            <w:pPr>
              <w:spacing w:after="0" w:line="240"/>
            </w:pPr>
            <w:r>
              <w:rPr>
                <w:sz w:val="19"/>
                <w:szCs w:val="19"/>
              </w:rPr>
              <w:t xml:space="preserve">Knee point</w:t>
            </w:r>
          </w:p>
        </w:tc>
        <w:tc>
          <w:tcPr>
            <w:tcW w:type="dxa" w:w="7460"/>
            <w:tcMar>
              <w:top w:type="dxa" w:w="80"/>
              <w:left w:type="dxa" w:w="120"/>
              <w:bottom w:type="dxa" w:w="80"/>
              <w:right w:type="dxa" w:w="120"/>
            </w:tcMar>
          </w:tcPr>
          <w:p>
            <w:pPr>
              <w:spacing w:after="0" w:line="240"/>
            </w:pPr>
            <w:r>
              <w:rPr>
                <w:sz w:val="19"/>
                <w:szCs w:val="19"/>
              </w:rPr>
              <w:t xml:space="preserve">The cycle at which near-linear capacity fade begins to accelerate.</w:t>
            </w:r>
          </w:p>
        </w:tc>
      </w:tr>
      <w:tr>
        <w:tc>
          <w:tcPr>
            <w:tcW w:type="dxa" w:w="1900"/>
            <w:tcMar>
              <w:top w:type="dxa" w:w="80"/>
              <w:left w:type="dxa" w:w="120"/>
              <w:bottom w:type="dxa" w:w="80"/>
              <w:right w:type="dxa" w:w="120"/>
            </w:tcMar>
          </w:tcPr>
          <w:p>
            <w:pPr>
              <w:spacing w:after="0" w:line="240"/>
            </w:pPr>
            <w:r>
              <w:rPr>
                <w:sz w:val="19"/>
                <w:szCs w:val="19"/>
              </w:rPr>
              <w:t xml:space="preserve">LAM</w:t>
            </w:r>
          </w:p>
        </w:tc>
        <w:tc>
          <w:tcPr>
            <w:tcW w:type="dxa" w:w="7460"/>
            <w:tcMar>
              <w:top w:type="dxa" w:w="80"/>
              <w:left w:type="dxa" w:w="120"/>
              <w:bottom w:type="dxa" w:w="80"/>
              <w:right w:type="dxa" w:w="120"/>
            </w:tcMar>
          </w:tcPr>
          <w:p>
            <w:pPr>
              <w:spacing w:after="0" w:line="240"/>
            </w:pPr>
            <w:r>
              <w:rPr>
                <w:sz w:val="19"/>
                <w:szCs w:val="19"/>
              </w:rPr>
              <w:t xml:space="preserve">Loss of active material — electrode material no longer electrochemically accessible.</w:t>
            </w:r>
          </w:p>
        </w:tc>
      </w:tr>
      <w:tr>
        <w:tc>
          <w:tcPr>
            <w:tcW w:type="dxa" w:w="1900"/>
            <w:tcMar>
              <w:top w:type="dxa" w:w="80"/>
              <w:left w:type="dxa" w:w="120"/>
              <w:bottom w:type="dxa" w:w="80"/>
              <w:right w:type="dxa" w:w="120"/>
            </w:tcMar>
          </w:tcPr>
          <w:p>
            <w:pPr>
              <w:spacing w:after="0" w:line="240"/>
            </w:pPr>
            <w:r>
              <w:rPr>
                <w:sz w:val="19"/>
                <w:szCs w:val="19"/>
              </w:rPr>
              <w:t xml:space="preserve">LLI</w:t>
            </w:r>
          </w:p>
        </w:tc>
        <w:tc>
          <w:tcPr>
            <w:tcW w:type="dxa" w:w="7460"/>
            <w:tcMar>
              <w:top w:type="dxa" w:w="80"/>
              <w:left w:type="dxa" w:w="120"/>
              <w:bottom w:type="dxa" w:w="80"/>
              <w:right w:type="dxa" w:w="120"/>
            </w:tcMar>
          </w:tcPr>
          <w:p>
            <w:pPr>
              <w:spacing w:after="0" w:line="240"/>
            </w:pPr>
            <w:r>
              <w:rPr>
                <w:sz w:val="19"/>
                <w:szCs w:val="19"/>
              </w:rPr>
              <w:t xml:space="preserve">Loss of lithium inventory — cyclable lithium consumed by side reactions.</w:t>
            </w:r>
          </w:p>
        </w:tc>
      </w:tr>
      <w:tr>
        <w:tc>
          <w:tcPr>
            <w:tcW w:type="dxa" w:w="1900"/>
            <w:tcMar>
              <w:top w:type="dxa" w:w="80"/>
              <w:left w:type="dxa" w:w="120"/>
              <w:bottom w:type="dxa" w:w="80"/>
              <w:right w:type="dxa" w:w="120"/>
            </w:tcMar>
          </w:tcPr>
          <w:p>
            <w:pPr>
              <w:spacing w:after="0" w:line="240"/>
            </w:pPr>
            <w:r>
              <w:rPr>
                <w:sz w:val="19"/>
                <w:szCs w:val="19"/>
              </w:rPr>
              <w:t xml:space="preserve">LOBO</w:t>
            </w:r>
          </w:p>
        </w:tc>
        <w:tc>
          <w:tcPr>
            <w:tcW w:type="dxa" w:w="7460"/>
            <w:tcMar>
              <w:top w:type="dxa" w:w="80"/>
              <w:left w:type="dxa" w:w="120"/>
              <w:bottom w:type="dxa" w:w="80"/>
              <w:right w:type="dxa" w:w="120"/>
            </w:tcMar>
          </w:tcPr>
          <w:p>
            <w:pPr>
              <w:spacing w:after="0" w:line="240"/>
            </w:pPr>
            <w:r>
              <w:rPr>
                <w:sz w:val="19"/>
                <w:szCs w:val="19"/>
              </w:rPr>
              <w:t xml:space="preserve">Leave-one-battery-out validation. Holds out one cell.</w:t>
            </w:r>
          </w:p>
        </w:tc>
      </w:tr>
      <w:tr>
        <w:tc>
          <w:tcPr>
            <w:tcW w:type="dxa" w:w="1900"/>
            <w:tcMar>
              <w:top w:type="dxa" w:w="80"/>
              <w:left w:type="dxa" w:w="120"/>
              <w:bottom w:type="dxa" w:w="80"/>
              <w:right w:type="dxa" w:w="120"/>
            </w:tcMar>
          </w:tcPr>
          <w:p>
            <w:pPr>
              <w:spacing w:after="0" w:line="240"/>
            </w:pPr>
            <w:r>
              <w:rPr>
                <w:sz w:val="19"/>
                <w:szCs w:val="19"/>
              </w:rPr>
              <w:t xml:space="preserve">LOCO</w:t>
            </w:r>
          </w:p>
        </w:tc>
        <w:tc>
          <w:tcPr>
            <w:tcW w:type="dxa" w:w="7460"/>
            <w:tcMar>
              <w:top w:type="dxa" w:w="80"/>
              <w:left w:type="dxa" w:w="120"/>
              <w:bottom w:type="dxa" w:w="80"/>
              <w:right w:type="dxa" w:w="120"/>
            </w:tcMar>
          </w:tcPr>
          <w:p>
            <w:pPr>
              <w:spacing w:after="0" w:line="240"/>
            </w:pPr>
            <w:r>
              <w:rPr>
                <w:sz w:val="19"/>
                <w:szCs w:val="19"/>
              </w:rPr>
              <w:t xml:space="preserve">Leave-one-cohort-out validation. Holds out an entire operating protocol.</w:t>
            </w:r>
          </w:p>
        </w:tc>
      </w:tr>
      <w:tr>
        <w:tc>
          <w:tcPr>
            <w:tcW w:type="dxa" w:w="1900"/>
            <w:tcMar>
              <w:top w:type="dxa" w:w="80"/>
              <w:left w:type="dxa" w:w="120"/>
              <w:bottom w:type="dxa" w:w="80"/>
              <w:right w:type="dxa" w:w="120"/>
            </w:tcMar>
          </w:tcPr>
          <w:p>
            <w:pPr>
              <w:spacing w:after="0" w:line="240"/>
            </w:pPr>
            <w:r>
              <w:rPr>
                <w:sz w:val="19"/>
                <w:szCs w:val="19"/>
              </w:rPr>
              <w:t xml:space="preserve">OCV</w:t>
            </w:r>
          </w:p>
        </w:tc>
        <w:tc>
          <w:tcPr>
            <w:tcW w:type="dxa" w:w="7460"/>
            <w:tcMar>
              <w:top w:type="dxa" w:w="80"/>
              <w:left w:type="dxa" w:w="120"/>
              <w:bottom w:type="dxa" w:w="80"/>
              <w:right w:type="dxa" w:w="120"/>
            </w:tcMar>
          </w:tcPr>
          <w:p>
            <w:pPr>
              <w:spacing w:after="0" w:line="240"/>
            </w:pPr>
            <w:r>
              <w:rPr>
                <w:sz w:val="19"/>
                <w:szCs w:val="19"/>
              </w:rPr>
              <w:t xml:space="preserve">Open-circuit voltage — terminal voltage at rest, with no current flowing.</w:t>
            </w:r>
          </w:p>
        </w:tc>
      </w:tr>
      <w:tr>
        <w:tc>
          <w:tcPr>
            <w:tcW w:type="dxa" w:w="1900"/>
            <w:tcMar>
              <w:top w:type="dxa" w:w="80"/>
              <w:left w:type="dxa" w:w="120"/>
              <w:bottom w:type="dxa" w:w="80"/>
              <w:right w:type="dxa" w:w="120"/>
            </w:tcMar>
          </w:tcPr>
          <w:p>
            <w:pPr>
              <w:spacing w:after="0" w:line="240"/>
            </w:pPr>
            <w:r>
              <w:rPr>
                <w:sz w:val="19"/>
                <w:szCs w:val="19"/>
              </w:rPr>
              <w:t xml:space="preserve">RUL</w:t>
            </w:r>
          </w:p>
        </w:tc>
        <w:tc>
          <w:tcPr>
            <w:tcW w:type="dxa" w:w="7460"/>
            <w:tcMar>
              <w:top w:type="dxa" w:w="80"/>
              <w:left w:type="dxa" w:w="120"/>
              <w:bottom w:type="dxa" w:w="80"/>
              <w:right w:type="dxa" w:w="120"/>
            </w:tcMar>
          </w:tcPr>
          <w:p>
            <w:pPr>
              <w:spacing w:after="0" w:line="240"/>
            </w:pPr>
            <w:r>
              <w:rPr>
                <w:sz w:val="19"/>
                <w:szCs w:val="19"/>
              </w:rPr>
              <w:t xml:space="preserve">Remaining useful life, in cycles.</w:t>
            </w:r>
          </w:p>
        </w:tc>
      </w:tr>
      <w:tr>
        <w:tc>
          <w:tcPr>
            <w:tcW w:type="dxa" w:w="1900"/>
            <w:tcMar>
              <w:top w:type="dxa" w:w="80"/>
              <w:left w:type="dxa" w:w="120"/>
              <w:bottom w:type="dxa" w:w="80"/>
              <w:right w:type="dxa" w:w="120"/>
            </w:tcMar>
          </w:tcPr>
          <w:p>
            <w:pPr>
              <w:spacing w:after="0" w:line="240"/>
            </w:pPr>
            <w:r>
              <w:rPr>
                <w:sz w:val="19"/>
                <w:szCs w:val="19"/>
              </w:rPr>
              <w:t xml:space="preserve">SEI</w:t>
            </w:r>
          </w:p>
        </w:tc>
        <w:tc>
          <w:tcPr>
            <w:tcW w:type="dxa" w:w="7460"/>
            <w:tcMar>
              <w:top w:type="dxa" w:w="80"/>
              <w:left w:type="dxa" w:w="120"/>
              <w:bottom w:type="dxa" w:w="80"/>
              <w:right w:type="dxa" w:w="120"/>
            </w:tcMar>
          </w:tcPr>
          <w:p>
            <w:pPr>
              <w:spacing w:after="0" w:line="240"/>
            </w:pPr>
            <w:r>
              <w:rPr>
                <w:sz w:val="19"/>
                <w:szCs w:val="19"/>
              </w:rPr>
              <w:t xml:space="preserve">Solid-electrolyte interphase — the passivating film on the negative electrode.</w:t>
            </w:r>
          </w:p>
        </w:tc>
      </w:tr>
      <w:tr>
        <w:tc>
          <w:tcPr>
            <w:tcW w:type="dxa" w:w="1900"/>
            <w:tcMar>
              <w:top w:type="dxa" w:w="80"/>
              <w:left w:type="dxa" w:w="120"/>
              <w:bottom w:type="dxa" w:w="80"/>
              <w:right w:type="dxa" w:w="120"/>
            </w:tcMar>
          </w:tcPr>
          <w:p>
            <w:pPr>
              <w:spacing w:after="0" w:line="240"/>
            </w:pPr>
            <w:r>
              <w:rPr>
                <w:sz w:val="19"/>
                <w:szCs w:val="19"/>
              </w:rPr>
              <w:t xml:space="preserve">Signal fraction</w:t>
            </w:r>
          </w:p>
        </w:tc>
        <w:tc>
          <w:tcPr>
            <w:tcW w:type="dxa" w:w="7460"/>
            <w:tcMar>
              <w:top w:type="dxa" w:w="80"/>
              <w:left w:type="dxa" w:w="120"/>
              <w:bottom w:type="dxa" w:w="80"/>
              <w:right w:type="dxa" w:w="120"/>
            </w:tcMar>
          </w:tcPr>
          <w:p>
            <w:pPr>
              <w:spacing w:after="0" w:line="240"/>
            </w:pPr>
            <w:r>
              <w:rPr>
                <w:sz w:val="19"/>
                <w:szCs w:val="19"/>
              </w:rPr>
              <w:t xml:space="preserve">Share of a target’s variance that is monotone trend; a ceiling on attainable R².</w:t>
            </w:r>
          </w:p>
        </w:tc>
      </w:tr>
      <w:tr>
        <w:tc>
          <w:tcPr>
            <w:tcW w:type="dxa" w:w="1900"/>
            <w:tcMar>
              <w:top w:type="dxa" w:w="80"/>
              <w:left w:type="dxa" w:w="120"/>
              <w:bottom w:type="dxa" w:w="80"/>
              <w:right w:type="dxa" w:w="120"/>
            </w:tcMar>
          </w:tcPr>
          <w:p>
            <w:pPr>
              <w:spacing w:after="0" w:line="240"/>
            </w:pPr>
            <w:r>
              <w:rPr>
                <w:sz w:val="19"/>
                <w:szCs w:val="19"/>
              </w:rPr>
              <w:t xml:space="preserve">SOC</w:t>
            </w:r>
          </w:p>
        </w:tc>
        <w:tc>
          <w:tcPr>
            <w:tcW w:type="dxa" w:w="7460"/>
            <w:tcMar>
              <w:top w:type="dxa" w:w="80"/>
              <w:left w:type="dxa" w:w="120"/>
              <w:bottom w:type="dxa" w:w="80"/>
              <w:right w:type="dxa" w:w="120"/>
            </w:tcMar>
          </w:tcPr>
          <w:p>
            <w:pPr>
              <w:spacing w:after="0" w:line="240"/>
            </w:pPr>
            <w:r>
              <w:rPr>
                <w:sz w:val="19"/>
                <w:szCs w:val="19"/>
              </w:rPr>
              <w:t xml:space="preserve">State of charge — present charge as a percentage of present capacity.</w:t>
            </w:r>
          </w:p>
        </w:tc>
      </w:tr>
      <w:tr>
        <w:tc>
          <w:tcPr>
            <w:tcW w:type="dxa" w:w="1900"/>
            <w:tcMar>
              <w:top w:type="dxa" w:w="80"/>
              <w:left w:type="dxa" w:w="120"/>
              <w:bottom w:type="dxa" w:w="80"/>
              <w:right w:type="dxa" w:w="120"/>
            </w:tcMar>
          </w:tcPr>
          <w:p>
            <w:pPr>
              <w:spacing w:after="0" w:line="240"/>
            </w:pPr>
            <w:r>
              <w:rPr>
                <w:sz w:val="19"/>
                <w:szCs w:val="19"/>
              </w:rPr>
              <w:t xml:space="preserve">SOH</w:t>
            </w:r>
          </w:p>
        </w:tc>
        <w:tc>
          <w:tcPr>
            <w:tcW w:type="dxa" w:w="7460"/>
            <w:tcMar>
              <w:top w:type="dxa" w:w="80"/>
              <w:left w:type="dxa" w:w="120"/>
              <w:bottom w:type="dxa" w:w="80"/>
              <w:right w:type="dxa" w:w="120"/>
            </w:tcMar>
          </w:tcPr>
          <w:p>
            <w:pPr>
              <w:spacing w:after="0" w:line="240"/>
            </w:pPr>
            <w:r>
              <w:rPr>
                <w:sz w:val="19"/>
                <w:szCs w:val="19"/>
              </w:rPr>
              <w:t xml:space="preserve">State of health — here, present capacity as a fraction of rated capacity.</w:t>
            </w:r>
          </w:p>
        </w:tc>
      </w:tr>
    </w:tbl>
    <w:p>
      <w:pPr>
        <w:pStyle w:val="Heading2"/>
        <w:spacing w:after="160" w:before="360"/>
      </w:pPr>
      <w:r>
        <w:rPr>
          <w:b/>
          <w:bCs/>
          <w:color w:val="111826"/>
          <w:sz w:val="28"/>
          <w:szCs w:val="28"/>
        </w:rPr>
        <w:t xml:space="preserve">Appendix C: References</w:t>
      </w:r>
    </w:p>
    <w:p>
      <w:pPr>
        <w:spacing w:after="140" w:line="276"/>
      </w:pPr>
      <w:r>
        <w:rPr>
          <w:sz w:val="21"/>
          <w:szCs w:val="21"/>
        </w:rPr>
        <w:t xml:space="preserve">Every entry below was verified against the publisher’s or repository’s own record in the source project. No reference here was filled in from memory. The literature survey as a whole remains incomplete, and is reported as such in Section 21.4 rather than padded.</w:t>
      </w:r>
    </w:p>
    <w:p>
      <w:pPr>
        <w:pStyle w:val="ListParagraph"/>
        <w:numPr>
          <w:ilvl w:val="0"/>
          <w:numId w:val="10"/>
        </w:numPr>
        <w:spacing w:after="90" w:line="276"/>
      </w:pPr>
      <w:r>
        <w:rPr>
          <w:sz w:val="21"/>
          <w:szCs w:val="21"/>
        </w:rPr>
        <w:t xml:space="preserve">B. Saha and K. Goebel (2007). “Battery Data Set”, NASA Prognostics Data Repository, NASA Ames Research Center, Moffett Field, CA. Primary calibration dataset: 34 Li-ion cells, 7.24M telemetry rows, measured per-cycle discharge capacity across 9 documented protocols.</w:t>
      </w:r>
    </w:p>
    <w:p>
      <w:pPr>
        <w:pStyle w:val="ListParagraph"/>
        <w:numPr>
          <w:ilvl w:val="0"/>
          <w:numId w:val="10"/>
        </w:numPr>
        <w:spacing w:after="90" w:line="276"/>
      </w:pPr>
      <w:r>
        <w:rPr>
          <w:sz w:val="21"/>
          <w:szCs w:val="21"/>
        </w:rPr>
        <w:t xml:space="preserve">CALCE Battery Research Group, University of Maryland. PL pouch cell calendar-ageing and capacity-characterisation data. Found unsuitable for the calibration questions attempted, for reasons specific to the files supplied.</w:t>
      </w:r>
    </w:p>
    <w:p>
      <w:pPr>
        <w:pStyle w:val="ListParagraph"/>
        <w:numPr>
          <w:ilvl w:val="0"/>
          <w:numId w:val="10"/>
        </w:numPr>
        <w:spacing w:after="90" w:line="276"/>
      </w:pPr>
      <w:r>
        <w:rPr>
          <w:sz w:val="21"/>
          <w:szCs w:val="21"/>
        </w:rPr>
        <w:t xml:space="preserve">K. A. Severson, P. M. Attia, N. Jin, N. Perkins, B. Jiang, Z. Yang, M. H. Chen, M. Aykol, P. K. Herring, D. Fraggedakis, M. Z. Bazant, S. J. Harris, W. C. Chueh and R. D. Braatz (2019). “Data-driven prediction of battery cycle life before capacity degradation”, Nature Energy, 4(5), 383–391. doi:10.1038/s41560-019-0356-8</w:t>
      </w:r>
    </w:p>
    <w:p>
      <w:pPr>
        <w:pStyle w:val="ListParagraph"/>
        <w:numPr>
          <w:ilvl w:val="0"/>
          <w:numId w:val="10"/>
        </w:numPr>
        <w:spacing w:after="90" w:line="276"/>
      </w:pPr>
      <w:r>
        <w:rPr>
          <w:sz w:val="21"/>
          <w:szCs w:val="21"/>
        </w:rPr>
        <w:t xml:space="preserve">K. Maher and N. Yerken (2025). “Comprehensive machine learning for lithium-ion battery state-of-health estimation using group-wise cross-validation”, 14th International Conference on Renewable Energy Research and Applications (ICRERA 2025), pp. 1465–1468, IEEE. doi:10.1109/ICRERA66237.2025.11283788. The closest prior work to this project’s methodological contribution.</w:t>
      </w:r>
    </w:p>
    <w:p>
      <w:pPr>
        <w:pStyle w:val="ListParagraph"/>
        <w:numPr>
          <w:ilvl w:val="0"/>
          <w:numId w:val="10"/>
        </w:numPr>
        <w:spacing w:after="90" w:line="276"/>
      </w:pPr>
      <w:r>
        <w:rPr>
          <w:sz w:val="21"/>
          <w:szCs w:val="21"/>
        </w:rPr>
        <w:t xml:space="preserve">H. H. Le and K.-A. Nguyen (2026). “Charging phase health indicators for battery state-of-health estimation: a systematic comparison of CC, CV, and combined approaches under cross-battery validation”, arXiv:2607.23482. Cited from the abstract; the 119% figure should be confirmed against the full text before being quoted elsewhere.</w:t>
      </w:r>
    </w:p>
    <w:p>
      <w:pPr>
        <w:pStyle w:val="ListParagraph"/>
        <w:numPr>
          <w:ilvl w:val="0"/>
          <w:numId w:val="10"/>
        </w:numPr>
        <w:spacing w:after="90" w:line="276"/>
      </w:pPr>
      <w:r>
        <w:rPr>
          <w:sz w:val="21"/>
          <w:szCs w:val="21"/>
        </w:rPr>
        <w:t xml:space="preserve">Y. Liu, S. Saxena, M. Pecht et al. CALCE CS2 and CX2 prismatic cell cycling series, Center for Advanced Life Cycle Engineering, University of Maryland. Replication dataset: 22 cells across 10 cohorts under the corrected full-discharge derivation, spanning two cell families and a depth-of-discharge cohort axis.</w:t>
      </w:r>
    </w:p>
    <w:p>
      <w:pPr>
        <w:pStyle w:val="Heading2"/>
        <w:spacing w:after="160" w:before="360"/>
      </w:pPr>
      <w:r>
        <w:rPr>
          <w:b/>
          <w:bCs/>
          <w:color w:val="111826"/>
          <w:sz w:val="28"/>
          <w:szCs w:val="28"/>
        </w:rPr>
        <w:t xml:space="preserve">Appendix D: Key Artefacts in the Repository</w:t>
      </w:r>
    </w:p>
    <w:tbl>
      <w:tblPr>
        <w:tblW w:type="dxa" w:w="9360"/>
        <w:tblBorders>
          <w:top w:val="single" w:color="B9C2CE" w:sz="4"/>
          <w:left w:val="none"/>
          <w:bottom w:val="single" w:color="B9C2CE" w:sz="4"/>
          <w:right w:val="none"/>
          <w:insideH w:val="single" w:color="E1E6EC" w:sz="2"/>
          <w:insideV w:val="none"/>
        </w:tblBorders>
      </w:tblPr>
      <w:tblGrid>
        <w:gridCol w:w="3600"/>
        <w:gridCol w:w="5760"/>
      </w:tblGrid>
      <w:tr>
        <w:trPr>
          <w:tblHeader/>
        </w:trPr>
        <w:tc>
          <w:tcPr>
            <w:tcW w:type="dxa" w:w="3600"/>
            <w:shd w:fill="EEF2F6" w:val="clear"/>
            <w:tcMar>
              <w:top w:type="dxa" w:w="80"/>
              <w:left w:type="dxa" w:w="120"/>
              <w:bottom w:type="dxa" w:w="80"/>
              <w:right w:type="dxa" w:w="120"/>
            </w:tcMar>
          </w:tcPr>
          <w:p>
            <w:pPr>
              <w:spacing w:after="0" w:line="240"/>
            </w:pPr>
            <w:r>
              <w:rPr>
                <w:b/>
                <w:bCs/>
                <w:sz w:val="19"/>
                <w:szCs w:val="19"/>
              </w:rPr>
              <w:t xml:space="preserve">Path</w:t>
            </w:r>
          </w:p>
        </w:tc>
        <w:tc>
          <w:tcPr>
            <w:tcW w:type="dxa" w:w="5760"/>
            <w:shd w:fill="EEF2F6" w:val="clear"/>
            <w:tcMar>
              <w:top w:type="dxa" w:w="80"/>
              <w:left w:type="dxa" w:w="120"/>
              <w:bottom w:type="dxa" w:w="80"/>
              <w:right w:type="dxa" w:w="120"/>
            </w:tcMar>
          </w:tcPr>
          <w:p>
            <w:pPr>
              <w:spacing w:after="0" w:line="240"/>
            </w:pPr>
            <w:r>
              <w:rPr>
                <w:b/>
                <w:bCs/>
                <w:sz w:val="19"/>
                <w:szCs w:val="19"/>
              </w:rPr>
              <w:t xml:space="preserve">Contents</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docs/final_report.md</w:t>
            </w:r>
          </w:p>
        </w:tc>
        <w:tc>
          <w:tcPr>
            <w:tcW w:type="dxa" w:w="5760"/>
            <w:tcMar>
              <w:top w:type="dxa" w:w="80"/>
              <w:left w:type="dxa" w:w="120"/>
              <w:bottom w:type="dxa" w:w="80"/>
              <w:right w:type="dxa" w:w="120"/>
            </w:tcMar>
          </w:tcPr>
          <w:p>
            <w:pPr>
              <w:spacing w:after="0" w:line="240"/>
            </w:pPr>
            <w:r>
              <w:rPr>
                <w:sz w:val="19"/>
                <w:szCs w:val="19"/>
              </w:rPr>
              <w:t xml:space="preserve">Full analysis, every section referenced above</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docs/adr/</w:t>
            </w:r>
          </w:p>
        </w:tc>
        <w:tc>
          <w:tcPr>
            <w:tcW w:type="dxa" w:w="5760"/>
            <w:tcMar>
              <w:top w:type="dxa" w:w="80"/>
              <w:left w:type="dxa" w:w="120"/>
              <w:bottom w:type="dxa" w:w="80"/>
              <w:right w:type="dxa" w:w="120"/>
            </w:tcMar>
          </w:tcPr>
          <w:p>
            <w:pPr>
              <w:spacing w:after="0" w:line="240"/>
            </w:pPr>
            <w:r>
              <w:rPr>
                <w:sz w:val="19"/>
                <w:szCs w:val="19"/>
              </w:rPr>
              <w:t xml:space="preserve">Fourteen architecture decision records</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docs/hardware_design.md</w:t>
            </w:r>
          </w:p>
        </w:tc>
        <w:tc>
          <w:tcPr>
            <w:tcW w:type="dxa" w:w="5760"/>
            <w:tcMar>
              <w:top w:type="dxa" w:w="80"/>
              <w:left w:type="dxa" w:w="120"/>
              <w:bottom w:type="dxa" w:w="80"/>
              <w:right w:type="dxa" w:w="120"/>
            </w:tcMar>
          </w:tcPr>
          <w:p>
            <w:pPr>
              <w:spacing w:after="0" w:line="240"/>
            </w:pPr>
            <w:r>
              <w:rPr>
                <w:sz w:val="19"/>
                <w:szCs w:val="19"/>
              </w:rPr>
              <w:t xml:space="preserve">Sensor selection, shunt sizing, error budget, safety</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docs/protocol_design.md</w:t>
            </w:r>
          </w:p>
        </w:tc>
        <w:tc>
          <w:tcPr>
            <w:tcW w:type="dxa" w:w="5760"/>
            <w:tcMar>
              <w:top w:type="dxa" w:w="80"/>
              <w:left w:type="dxa" w:w="120"/>
              <w:bottom w:type="dxa" w:w="80"/>
              <w:right w:type="dxa" w:w="120"/>
            </w:tcMar>
          </w:tcPr>
          <w:p>
            <w:pPr>
              <w:spacing w:after="0" w:line="240"/>
            </w:pPr>
            <w:r>
              <w:rPr>
                <w:sz w:val="19"/>
                <w:szCs w:val="19"/>
              </w:rPr>
              <w:t xml:space="preserve">beacon.telemetry.v1 wire format</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tests/test_reported_numbers.py</w:t>
            </w:r>
          </w:p>
        </w:tc>
        <w:tc>
          <w:tcPr>
            <w:tcW w:type="dxa" w:w="5760"/>
            <w:tcMar>
              <w:top w:type="dxa" w:w="80"/>
              <w:left w:type="dxa" w:w="120"/>
              <w:bottom w:type="dxa" w:w="80"/>
              <w:right w:type="dxa" w:w="120"/>
            </w:tcMar>
          </w:tcPr>
          <w:p>
            <w:pPr>
              <w:spacing w:after="0" w:line="240"/>
            </w:pPr>
            <w:r>
              <w:rPr>
                <w:sz w:val="19"/>
                <w:szCs w:val="19"/>
              </w:rPr>
              <w:t xml:space="preserve">Prose-to-evidence pinning for every quoted figure</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reports/metrics/</w:t>
            </w:r>
          </w:p>
        </w:tc>
        <w:tc>
          <w:tcPr>
            <w:tcW w:type="dxa" w:w="5760"/>
            <w:tcMar>
              <w:top w:type="dxa" w:w="80"/>
              <w:left w:type="dxa" w:w="120"/>
              <w:bottom w:type="dxa" w:w="80"/>
              <w:right w:type="dxa" w:w="120"/>
            </w:tcMar>
          </w:tcPr>
          <w:p>
            <w:pPr>
              <w:spacing w:after="0" w:line="240"/>
            </w:pPr>
            <w:r>
              <w:rPr>
                <w:sz w:val="19"/>
                <w:szCs w:val="19"/>
              </w:rPr>
              <w:t xml:space="preserve">Tracked result artefacts; live test inputs</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firmware/beacon_rig/</w:t>
            </w:r>
          </w:p>
        </w:tc>
        <w:tc>
          <w:tcPr>
            <w:tcW w:type="dxa" w:w="5760"/>
            <w:tcMar>
              <w:top w:type="dxa" w:w="80"/>
              <w:left w:type="dxa" w:w="120"/>
              <w:bottom w:type="dxa" w:w="80"/>
              <w:right w:type="dxa" w:w="120"/>
            </w:tcMar>
          </w:tcPr>
          <w:p>
            <w:pPr>
              <w:spacing w:after="0" w:line="240"/>
            </w:pPr>
            <w:r>
              <w:rPr>
                <w:sz w:val="19"/>
                <w:szCs w:val="19"/>
              </w:rPr>
              <w:t xml:space="preserve">Rig firmware; USE_REAL_SENSORS selects sensors or synthetic profile</w:t>
            </w:r>
          </w:p>
        </w:tc>
      </w:tr>
      <w:tr>
        <w:tc>
          <w:tcPr>
            <w:tcW w:type="dxa" w:w="3600"/>
            <w:tcMar>
              <w:top w:type="dxa" w:w="80"/>
              <w:left w:type="dxa" w:w="120"/>
              <w:bottom w:type="dxa" w:w="80"/>
              <w:right w:type="dxa" w:w="120"/>
            </w:tcMar>
          </w:tcPr>
          <w:p>
            <w:pPr>
              <w:spacing w:after="0" w:line="240"/>
            </w:pPr>
            <w:r>
              <w:rPr>
                <w:rFonts w:ascii="Consolas" w:cs="Consolas" w:eastAsia="Consolas" w:hAnsi="Consolas"/>
                <w:sz w:val="19"/>
                <w:szCs w:val="19"/>
              </w:rPr>
              <w:t xml:space="preserve">data/interim/rig_stage_b_voltage_verified.txt</w:t>
            </w:r>
          </w:p>
        </w:tc>
        <w:tc>
          <w:tcPr>
            <w:tcW w:type="dxa" w:w="5760"/>
            <w:tcMar>
              <w:top w:type="dxa" w:w="80"/>
              <w:left w:type="dxa" w:w="120"/>
              <w:bottom w:type="dxa" w:w="80"/>
              <w:right w:type="dxa" w:w="120"/>
            </w:tcMar>
          </w:tcPr>
          <w:p>
            <w:pPr>
              <w:spacing w:after="0" w:line="240"/>
            </w:pPr>
            <w:r>
              <w:rPr>
                <w:sz w:val="19"/>
                <w:szCs w:val="19"/>
              </w:rPr>
              <w:t xml:space="preserve">The hardware capture reported in Section 19.2</w:t>
            </w:r>
          </w:p>
        </w:tc>
      </w:tr>
    </w:tbl>
    <w:sectPr>
      <w:headerReference w:type="default" r:id="rId7"/>
      <w:footerReference w:type="default" r:id="rId8"/>
      <w:pgSz w:w="11906" w:h="16838" w:orient="portrait"/>
      <w:pgMar w:top="1200" w:right="1150" w:bottom="12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B94A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4"/>
      </w:pBdr>
      <w:spacing w:after="60"/>
      <w:jc w:val="right"/>
    </w:pPr>
    <w:r>
      <w:rPr>
        <w:color w:val="8B94A3"/>
        <w:sz w:val="16"/>
        <w:szCs w:val="16"/>
      </w:rPr>
      <w:t xml:space="preserve">BEACON — Complete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489"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BEACON — Complete Project Report</dc:title>
  <dc:creator>BEACON project</dc:creator>
  <dc:description>From lithium-ion degradation to a validated battery monitoring system</dc:description>
  <cp:lastModifiedBy>Un-named</cp:lastModifiedBy>
  <cp:revision>1</cp:revision>
  <dcterms:created xsi:type="dcterms:W3CDTF">2026-09-18T11:11:17.492Z</dcterms:created>
  <dcterms:modified xsi:type="dcterms:W3CDTF">2026-09-18T11:11:17.494Z</dcterms:modified>
</cp:coreProperties>
</file>

<file path=docProps/custom.xml><?xml version="1.0" encoding="utf-8"?>
<Properties xmlns="http://schemas.openxmlformats.org/officeDocument/2006/custom-properties" xmlns:vt="http://schemas.openxmlformats.org/officeDocument/2006/docPropsVTypes"/>
</file>