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80"/>
        <w:jc w:val="center"/>
      </w:pPr>
      <w:r>
        <w:rPr>
          <w:b/>
          <w:bCs/>
          <w:color w:val="111826"/>
          <w:sz w:val="68"/>
          <w:szCs w:val="68"/>
        </w:rPr>
        <w:t xml:space="preserve">BEACON</w:t>
      </w:r>
    </w:p>
    <w:p>
      <w:pPr>
        <w:spacing w:after="400"/>
        <w:jc w:val="center"/>
      </w:pPr>
      <w:r>
        <w:rPr>
          <w:b/>
          <w:bCs/>
          <w:color w:val="1F6F4A"/>
          <w:sz w:val="19"/>
          <w:szCs w:val="19"/>
        </w:rPr>
        <w:t xml:space="preserve">B E H A V I O U R - A W A R E   B A T T E R Y   M O N I T O R I N G</w:t>
      </w:r>
    </w:p>
    <w:p>
      <w:pPr>
        <w:spacing w:after="140"/>
        <w:jc w:val="center"/>
      </w:pPr>
      <w:r>
        <w:rPr>
          <w:color w:val="2F3B4D"/>
          <w:sz w:val="26"/>
          <w:szCs w:val="26"/>
        </w:rPr>
        <w:t xml:space="preserve">Calibration, Validation and Hardware Integration of a</w:t>
      </w:r>
    </w:p>
    <w:p>
      <w:pPr>
        <w:spacing w:after="520"/>
        <w:jc w:val="center"/>
      </w:pPr>
      <w:r>
        <w:rPr>
          <w:color w:val="2F3B4D"/>
          <w:sz w:val="26"/>
          <w:szCs w:val="26"/>
        </w:rPr>
        <w:t xml:space="preserve">Refusal-Driven Battery Health Monitoring System</w:t>
      </w:r>
    </w:p>
    <w:tbl>
      <w:tblPr>
        <w:tblW w:type="dxa" w:w="9360"/>
        <w:tblBorders>
          <w:top w:val="single" w:color="DDE5DF" w:sz="2"/>
          <w:left w:val="single" w:color="1F6F4A" w:sz="18"/>
          <w:bottom w:val="single" w:color="DDE5DF" w:sz="2"/>
          <w:right w:val="single" w:color="DDE5DF" w:sz="2"/>
          <w:insideH w:val="none"/>
          <w:insideV w:val="none"/>
        </w:tblBorders>
      </w:tblPr>
      <w:tblGrid>
        <w:gridCol w:w="9360"/>
      </w:tblGrid>
      <w:tr>
        <w:tc>
          <w:tcPr>
            <w:tcW w:type="dxa" w:w="9360"/>
            <w:shd w:fill="F1F7F3" w:val="clear"/>
            <w:tcMar>
              <w:top w:type="dxa" w:w="140"/>
              <w:left w:type="dxa" w:w="200"/>
              <w:bottom w:type="dxa" w:w="140"/>
              <w:right w:type="dxa" w:w="200"/>
            </w:tcMar>
          </w:tcPr>
          <w:p>
            <w:pPr>
              <w:spacing w:after="0" w:line="276"/>
            </w:pPr>
            <w:r>
              <w:rPr>
                <w:b/>
                <w:bCs/>
                <w:sz w:val="21"/>
                <w:szCs w:val="21"/>
              </w:rPr>
              <w:t xml:space="preserve">Headline result. </w:t>
            </w:r>
            <w:r>
              <w:rPr>
                <w:sz w:val="21"/>
                <w:szCs w:val="21"/>
              </w:rPr>
              <w:t xml:space="preserve">The prediction target this project was built around carries a maximum attainable R² of 0.044 — roughly 96% of its variance is measurement noise. Consequently the system reports what it can measure and refuses what it cannot support, and the refusals are the engineering deliverable.</w:t>
            </w:r>
          </w:p>
        </w:tc>
      </w:tr>
    </w:tbl>
    <w:p>
      <w:pPr>
        <w:spacing w:after="600"/>
      </w:pPr>
    </w:p>
    <w:p>
      <w:pPr>
        <w:spacing w:after="60"/>
        <w:jc w:val="center"/>
      </w:pPr>
      <w:r>
        <w:rPr>
          <w:b/>
          <w:bCs/>
          <w:sz w:val="22"/>
          <w:szCs w:val="22"/>
        </w:rPr>
        <w:t xml:space="preserve">Technical Project Report</w:t>
      </w:r>
    </w:p>
    <w:p>
      <w:pPr>
        <w:spacing w:after="60"/>
        <w:jc w:val="center"/>
      </w:pPr>
      <w:r>
        <w:rPr>
          <w:color w:val="5B6678"/>
          <w:sz w:val="20"/>
          <w:szCs w:val="20"/>
        </w:rPr>
        <w:t xml:space="preserve">Department of Computer and Communication Engineering</w:t>
      </w:r>
    </w:p>
    <w:p>
      <w:pPr>
        <w:jc w:val="center"/>
      </w:pPr>
      <w:r>
        <w:rPr>
          <w:color w:val="5B6678"/>
          <w:sz w:val="20"/>
          <w:szCs w:val="20"/>
        </w:rPr>
        <w:t xml:space="preserve">18 September 2026</w:t>
      </w:r>
    </w:p>
    <w:p>
      <w:r>
        <w:br w:type="page"/>
      </w:r>
    </w:p>
    <w:p>
      <w:pPr>
        <w:pStyle w:val="Heading1"/>
        <w:spacing w:after="170" w:before="380"/>
      </w:pPr>
      <w:r>
        <w:rPr>
          <w:b/>
          <w:bCs/>
          <w:color w:val="111826"/>
          <w:sz w:val="30"/>
          <w:szCs w:val="30"/>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70" w:before="380"/>
      </w:pPr>
      <w:r>
        <w:rPr>
          <w:b/>
          <w:bCs/>
          <w:color w:val="111826"/>
          <w:sz w:val="30"/>
          <w:szCs w:val="30"/>
        </w:rPr>
        <w:t xml:space="preserve">Abstract</w:t>
      </w:r>
    </w:p>
    <w:p>
      <w:pPr>
        <w:spacing w:after="140" w:line="276"/>
      </w:pPr>
      <w:r>
        <w:rPr>
          <w:sz w:val="21"/>
          <w:szCs w:val="21"/>
        </w:rPr>
        <w:t xml:space="preserve">BEACON is a three-tier battery telemetry and health-monitoring system that ingests data from a CAN bus, a USB serial bench rig, or research datasets, converges all three on a single unified schema, and scores them through one shared pipeline into health, risk and remaining-useful-life estimates.</w:t>
      </w:r>
    </w:p>
    <w:p>
      <w:pPr>
        <w:spacing w:after="140" w:line="276"/>
      </w:pPr>
      <w:r>
        <w:rPr>
          <w:sz w:val="21"/>
          <w:szCs w:val="21"/>
        </w:rPr>
        <w:t xml:space="preserve">The system began as a rule-based scoring layer with hand-picked weights and thresholds, entirely unvalidated against real degradation data. This report documents the calibration effort undertaken against two public datasets — NASA Li-ion cycling data (34 cells) and CALCE PLN pouch cells — and reports four principal findings.</w:t>
      </w:r>
    </w:p>
    <w:p>
      <w:pPr>
        <w:pStyle w:val="ListParagraph"/>
        <w:numPr>
          <w:ilvl w:val="0"/>
          <w:numId w:val="2"/>
        </w:numPr>
        <w:spacing w:after="90" w:line="276"/>
      </w:pPr>
      <w:r>
        <w:rPr>
          <w:sz w:val="21"/>
          <w:szCs w:val="21"/>
        </w:rPr>
        <w:t xml:space="preserve">The original heuristic health index shows no statistically significant relationship with measured capacity fade (Spearman ρ = −0.269, p = 0.124, n = 33).</w:t>
      </w:r>
    </w:p>
    <w:p>
      <w:pPr>
        <w:pStyle w:val="ListParagraph"/>
        <w:numPr>
          <w:ilvl w:val="0"/>
          <w:numId w:val="2"/>
        </w:numPr>
        <w:spacing w:after="90" w:line="276"/>
      </w:pPr>
      <w:r>
        <w:rPr>
          <w:sz w:val="21"/>
          <w:szCs w:val="21"/>
        </w:rPr>
        <w:t xml:space="preserve">One behavioural signal, temperature exposure, shows a real, cohort-controlled, statistically significant relationship with fade — but does not transfer across ambient conditions, for a measurement reason identified in Section 7.</w:t>
      </w:r>
    </w:p>
    <w:p>
      <w:pPr>
        <w:pStyle w:val="ListParagraph"/>
        <w:numPr>
          <w:ilvl w:val="0"/>
          <w:numId w:val="2"/>
        </w:numPr>
        <w:spacing w:after="90" w:line="276"/>
      </w:pPr>
      <w:r>
        <w:rPr>
          <w:sz w:val="21"/>
          <w:szCs w:val="21"/>
        </w:rPr>
        <w:t xml:space="preserve">The prediction target originally used, per-cycle capacity delta, has a signal fraction of 0.044. No method could have exceeded an R² of 0.044 against it. The central null result was therefore substantially an artefact of target definition.</w:t>
      </w:r>
    </w:p>
    <w:p>
      <w:pPr>
        <w:pStyle w:val="ListParagraph"/>
        <w:numPr>
          <w:ilvl w:val="0"/>
          <w:numId w:val="2"/>
        </w:numPr>
        <w:spacing w:after="90" w:line="276"/>
      </w:pPr>
      <w:r>
        <w:rPr>
          <w:sz w:val="21"/>
          <w:szCs w:val="21"/>
        </w:rPr>
        <w:t xml:space="preserve">At the sample sizes standard battery datasets provide, a single leave-one-cohort-out estimate cannot distinguish between candidate methods: the estimator is approximately 2.7 times noisier than the effect it is used to rank. Six method-ranking claims were made during this work and all six were subsequently withdrawn.</w:t>
      </w:r>
    </w:p>
    <w:p>
      <w:pPr>
        <w:spacing w:after="140" w:line="276"/>
      </w:pPr>
      <w:r>
        <w:rPr>
          <w:sz w:val="21"/>
          <w:szCs w:val="21"/>
        </w:rPr>
        <w:t xml:space="preserve">The engineering response to these findings is a validation gate that refuses to emit metrics the data cannot support, returning a stated reason in place of a value. This report also documents a physical bench rig built around an INA219 current/voltage sensor and an ESP8266, which measures a real 18650 cell, and demonstrates the refusal mechanism operating on live hardware.</w:t>
      </w:r>
    </w:p>
    <w:p>
      <w:r>
        <w:br w:type="page"/>
      </w:r>
    </w:p>
    <w:p>
      <w:pPr>
        <w:pStyle w:val="Heading1"/>
        <w:spacing w:after="170" w:before="380"/>
      </w:pPr>
      <w:r>
        <w:rPr>
          <w:b/>
          <w:bCs/>
          <w:color w:val="111826"/>
          <w:sz w:val="30"/>
          <w:szCs w:val="30"/>
        </w:rPr>
        <w:t xml:space="preserve">1. Introduction and Objectives</w:t>
      </w:r>
    </w:p>
    <w:p>
      <w:pPr>
        <w:pStyle w:val="Heading2"/>
        <w:spacing w:after="130" w:before="280"/>
      </w:pPr>
      <w:r>
        <w:rPr>
          <w:b/>
          <w:bCs/>
          <w:color w:val="1B2433"/>
          <w:sz w:val="25"/>
          <w:szCs w:val="25"/>
        </w:rPr>
        <w:t xml:space="preserve">1.1 Problem statement</w:t>
      </w:r>
    </w:p>
    <w:p>
      <w:pPr>
        <w:spacing w:after="140" w:line="276"/>
      </w:pPr>
      <w:r>
        <w:rPr>
          <w:sz w:val="21"/>
          <w:szCs w:val="21"/>
        </w:rPr>
        <w:t xml:space="preserve">Battery management systems in electric vehicles and stationary storage estimate state of health (SOH) and remaining useful life (RUL) from operational telemetry. A recurring weakness in the applied literature is that such estimates are validated by random or k-fold cross-validation over pooled cycle data, which leaks information between training and test folds: cycles from the same cell, and often adjacent cycles, appear on both sides of the split.</w:t>
      </w:r>
    </w:p>
    <w:p>
      <w:pPr>
        <w:spacing w:after="140" w:line="276"/>
      </w:pPr>
      <w:r>
        <w:rPr>
          <w:sz w:val="21"/>
          <w:szCs w:val="21"/>
        </w:rPr>
        <w:t xml:space="preserve">This project set out to build a behaviour-aware monitoring system — one that scores a battery from how it has been used, not only from how old it is — and to validate it honestly.</w:t>
      </w:r>
    </w:p>
    <w:p>
      <w:pPr>
        <w:pStyle w:val="Heading2"/>
        <w:spacing w:after="130" w:before="280"/>
      </w:pPr>
      <w:r>
        <w:rPr>
          <w:b/>
          <w:bCs/>
          <w:color w:val="1B2433"/>
          <w:sz w:val="25"/>
          <w:szCs w:val="25"/>
        </w:rPr>
        <w:t xml:space="preserve">1.2 Objectives and outcomes</w:t>
      </w:r>
    </w:p>
    <w:tbl>
      <w:tblPr>
        <w:tblW w:type="dxa" w:w="9360"/>
        <w:tblBorders>
          <w:top w:val="single" w:color="B9C2CE" w:sz="4"/>
          <w:left w:val="none"/>
          <w:bottom w:val="single" w:color="B9C2CE" w:sz="4"/>
          <w:right w:val="none"/>
          <w:insideH w:val="single" w:color="E1E6EC" w:sz="2"/>
          <w:insideV w:val="none"/>
        </w:tblBorders>
      </w:tblPr>
      <w:tblGrid>
        <w:gridCol w:w="3400"/>
        <w:gridCol w:w="5960"/>
      </w:tblGrid>
      <w:tr>
        <w:trPr>
          <w:tblHeader/>
        </w:trPr>
        <w:tc>
          <w:tcPr>
            <w:tcW w:type="dxa" w:w="3400"/>
            <w:shd w:fill="EEF2F6" w:val="clear"/>
            <w:tcMar>
              <w:top w:type="dxa" w:w="80"/>
              <w:left w:type="dxa" w:w="120"/>
              <w:bottom w:type="dxa" w:w="80"/>
              <w:right w:type="dxa" w:w="120"/>
            </w:tcMar>
          </w:tcPr>
          <w:p>
            <w:pPr>
              <w:spacing w:after="0" w:line="240"/>
            </w:pPr>
            <w:r>
              <w:rPr>
                <w:b/>
                <w:bCs/>
                <w:sz w:val="19"/>
                <w:szCs w:val="19"/>
              </w:rPr>
              <w:t xml:space="preserve">Objective</w:t>
            </w:r>
          </w:p>
        </w:tc>
        <w:tc>
          <w:tcPr>
            <w:tcW w:type="dxa" w:w="5960"/>
            <w:shd w:fill="EEF2F6" w:val="clear"/>
            <w:tcMar>
              <w:top w:type="dxa" w:w="80"/>
              <w:left w:type="dxa" w:w="120"/>
              <w:bottom w:type="dxa" w:w="80"/>
              <w:right w:type="dxa" w:w="120"/>
            </w:tcMar>
          </w:tcPr>
          <w:p>
            <w:pPr>
              <w:spacing w:after="0" w:line="240"/>
            </w:pPr>
            <w:r>
              <w:rPr>
                <w:b/>
                <w:bCs/>
                <w:sz w:val="19"/>
                <w:szCs w:val="19"/>
              </w:rPr>
              <w:t xml:space="preserve">Outcome</w:t>
            </w:r>
          </w:p>
        </w:tc>
      </w:tr>
      <w:tr>
        <w:tc>
          <w:tcPr>
            <w:tcW w:type="dxa" w:w="3400"/>
            <w:tcMar>
              <w:top w:type="dxa" w:w="80"/>
              <w:left w:type="dxa" w:w="120"/>
              <w:bottom w:type="dxa" w:w="80"/>
              <w:right w:type="dxa" w:w="120"/>
            </w:tcMar>
          </w:tcPr>
          <w:p>
            <w:pPr>
              <w:spacing w:after="0" w:line="240"/>
            </w:pPr>
            <w:r>
              <w:rPr>
                <w:sz w:val="19"/>
                <w:szCs w:val="19"/>
              </w:rPr>
              <w:t xml:space="preserve">O1 — Ingest telemetry from heterogeneous transports onto one schema</w:t>
            </w:r>
          </w:p>
        </w:tc>
        <w:tc>
          <w:tcPr>
            <w:tcW w:type="dxa" w:w="5960"/>
            <w:tcMar>
              <w:top w:type="dxa" w:w="80"/>
              <w:left w:type="dxa" w:w="120"/>
              <w:bottom w:type="dxa" w:w="80"/>
              <w:right w:type="dxa" w:w="120"/>
            </w:tcMar>
          </w:tcPr>
          <w:p>
            <w:pPr>
              <w:spacing w:after="0" w:line="240"/>
            </w:pPr>
            <w:r>
              <w:rPr>
                <w:sz w:val="19"/>
                <w:szCs w:val="19"/>
              </w:rPr>
              <w:t xml:space="preserve">Met. CAN, USB serial and dataset replay converge on one unified schema and one scoring pipeline.</w:t>
            </w:r>
          </w:p>
        </w:tc>
      </w:tr>
      <w:tr>
        <w:tc>
          <w:tcPr>
            <w:tcW w:type="dxa" w:w="3400"/>
            <w:tcMar>
              <w:top w:type="dxa" w:w="80"/>
              <w:left w:type="dxa" w:w="120"/>
              <w:bottom w:type="dxa" w:w="80"/>
              <w:right w:type="dxa" w:w="120"/>
            </w:tcMar>
          </w:tcPr>
          <w:p>
            <w:pPr>
              <w:spacing w:after="0" w:line="240"/>
            </w:pPr>
            <w:r>
              <w:rPr>
                <w:sz w:val="19"/>
                <w:szCs w:val="19"/>
              </w:rPr>
              <w:t xml:space="preserve">O2 — Derive behavioural features from usage telemetry</w:t>
            </w:r>
          </w:p>
        </w:tc>
        <w:tc>
          <w:tcPr>
            <w:tcW w:type="dxa" w:w="5960"/>
            <w:tcMar>
              <w:top w:type="dxa" w:w="80"/>
              <w:left w:type="dxa" w:w="120"/>
              <w:bottom w:type="dxa" w:w="80"/>
              <w:right w:type="dxa" w:w="120"/>
            </w:tcMar>
          </w:tcPr>
          <w:p>
            <w:pPr>
              <w:spacing w:after="0" w:line="240"/>
            </w:pPr>
            <w:r>
              <w:rPr>
                <w:sz w:val="19"/>
                <w:szCs w:val="19"/>
              </w:rPr>
              <w:t xml:space="preserve">Met. C-rate, depth-of-discharge, thermal exposure and cycle segmentation implemented and tested.</w:t>
            </w:r>
          </w:p>
        </w:tc>
      </w:tr>
      <w:tr>
        <w:tc>
          <w:tcPr>
            <w:tcW w:type="dxa" w:w="3400"/>
            <w:tcMar>
              <w:top w:type="dxa" w:w="80"/>
              <w:left w:type="dxa" w:w="120"/>
              <w:bottom w:type="dxa" w:w="80"/>
              <w:right w:type="dxa" w:w="120"/>
            </w:tcMar>
          </w:tcPr>
          <w:p>
            <w:pPr>
              <w:spacing w:after="0" w:line="240"/>
            </w:pPr>
            <w:r>
              <w:rPr>
                <w:sz w:val="19"/>
                <w:szCs w:val="19"/>
              </w:rPr>
              <w:t xml:space="preserve">O3 — Serve results through an API and dashboard</w:t>
            </w:r>
          </w:p>
        </w:tc>
        <w:tc>
          <w:tcPr>
            <w:tcW w:type="dxa" w:w="5960"/>
            <w:tcMar>
              <w:top w:type="dxa" w:w="80"/>
              <w:left w:type="dxa" w:w="120"/>
              <w:bottom w:type="dxa" w:w="80"/>
              <w:right w:type="dxa" w:w="120"/>
            </w:tcMar>
          </w:tcPr>
          <w:p>
            <w:pPr>
              <w:spacing w:after="0" w:line="240"/>
            </w:pPr>
            <w:r>
              <w:rPr>
                <w:sz w:val="19"/>
                <w:szCs w:val="19"/>
              </w:rPr>
              <w:t xml:space="preserve">Met. FastAPI service, Express gateway, React client.</w:t>
            </w:r>
          </w:p>
        </w:tc>
      </w:tr>
      <w:tr>
        <w:tc>
          <w:tcPr>
            <w:tcW w:type="dxa" w:w="3400"/>
            <w:tcMar>
              <w:top w:type="dxa" w:w="80"/>
              <w:left w:type="dxa" w:w="120"/>
              <w:bottom w:type="dxa" w:w="80"/>
              <w:right w:type="dxa" w:w="120"/>
            </w:tcMar>
          </w:tcPr>
          <w:p>
            <w:pPr>
              <w:spacing w:after="0" w:line="240"/>
            </w:pPr>
            <w:r>
              <w:rPr>
                <w:sz w:val="19"/>
                <w:szCs w:val="19"/>
              </w:rPr>
              <w:t xml:space="preserve">O4 — Demonstrate that behavioural scores predict capacity fade</w:t>
            </w:r>
          </w:p>
        </w:tc>
        <w:tc>
          <w:tcPr>
            <w:tcW w:type="dxa" w:w="5960"/>
            <w:tcMar>
              <w:top w:type="dxa" w:w="80"/>
              <w:left w:type="dxa" w:w="120"/>
              <w:bottom w:type="dxa" w:w="80"/>
              <w:right w:type="dxa" w:w="120"/>
            </w:tcMar>
          </w:tcPr>
          <w:p>
            <w:pPr>
              <w:spacing w:after="0" w:line="240"/>
            </w:pPr>
            <w:r>
              <w:rPr>
                <w:sz w:val="19"/>
                <w:szCs w:val="19"/>
              </w:rPr>
              <w:t xml:space="preserve">Not met, and the reason is this project’s main result. See Sections 4–8.</w:t>
            </w:r>
          </w:p>
        </w:tc>
      </w:tr>
      <w:tr>
        <w:tc>
          <w:tcPr>
            <w:tcW w:type="dxa" w:w="3400"/>
            <w:tcMar>
              <w:top w:type="dxa" w:w="80"/>
              <w:left w:type="dxa" w:w="120"/>
              <w:bottom w:type="dxa" w:w="80"/>
              <w:right w:type="dxa" w:w="120"/>
            </w:tcMar>
          </w:tcPr>
          <w:p>
            <w:pPr>
              <w:spacing w:after="0" w:line="240"/>
            </w:pPr>
            <w:r>
              <w:rPr>
                <w:sz w:val="19"/>
                <w:szCs w:val="19"/>
              </w:rPr>
              <w:t xml:space="preserve">O5 — Validate the ingest path on physical hardware</w:t>
            </w:r>
          </w:p>
        </w:tc>
        <w:tc>
          <w:tcPr>
            <w:tcW w:type="dxa" w:w="5960"/>
            <w:tcMar>
              <w:top w:type="dxa" w:w="80"/>
              <w:left w:type="dxa" w:w="120"/>
              <w:bottom w:type="dxa" w:w="80"/>
              <w:right w:type="dxa" w:w="120"/>
            </w:tcMar>
          </w:tcPr>
          <w:p>
            <w:pPr>
              <w:spacing w:after="0" w:line="240"/>
            </w:pPr>
            <w:r>
              <w:rPr>
                <w:sz w:val="19"/>
                <w:szCs w:val="19"/>
              </w:rPr>
              <w:t xml:space="preserve">Met for voltage and current; temperature channel absent. See Section 9.</w:t>
            </w:r>
          </w:p>
        </w:tc>
      </w:tr>
    </w:tbl>
    <w:p>
      <w:pPr>
        <w:spacing w:after="180"/>
      </w:pPr>
    </w:p>
    <w:tbl>
      <w:tblPr>
        <w:tblW w:type="dxa" w:w="9360"/>
        <w:tblBorders>
          <w:top w:val="single" w:color="DDE5DF" w:sz="2"/>
          <w:left w:val="single" w:color="1F6F4A" w:sz="18"/>
          <w:bottom w:val="single" w:color="DDE5DF" w:sz="2"/>
          <w:right w:val="single" w:color="DDE5DF" w:sz="2"/>
          <w:insideH w:val="none"/>
          <w:insideV w:val="none"/>
        </w:tblBorders>
      </w:tblPr>
      <w:tblGrid>
        <w:gridCol w:w="9360"/>
      </w:tblGrid>
      <w:tr>
        <w:tc>
          <w:tcPr>
            <w:tcW w:type="dxa" w:w="9360"/>
            <w:shd w:fill="F1F7F3" w:val="clear"/>
            <w:tcMar>
              <w:top w:type="dxa" w:w="140"/>
              <w:left w:type="dxa" w:w="200"/>
              <w:bottom w:type="dxa" w:w="140"/>
              <w:right w:type="dxa" w:w="200"/>
            </w:tcMar>
          </w:tcPr>
          <w:p>
            <w:pPr>
              <w:spacing w:after="0" w:line="276"/>
            </w:pPr>
            <w:r>
              <w:rPr>
                <w:b/>
                <w:bCs/>
                <w:sz w:val="21"/>
                <w:szCs w:val="21"/>
              </w:rPr>
              <w:t xml:space="preserve">On O4. </w:t>
            </w:r>
            <w:r>
              <w:rPr>
                <w:sz w:val="21"/>
                <w:szCs w:val="21"/>
              </w:rPr>
              <w:t xml:space="preserve">A project that reported O4 as met would have had to ignore the evidence in Sections 4 and 6. This report treats not meeting it as the finding. The result that replaced it — that the standard validation protocol in this field cannot support the claims routinely made on it at these sample sizes — does not depend on batteries and is testable by anyone with two protocols and a held-out group.</w:t>
            </w:r>
          </w:p>
        </w:tc>
      </w:tr>
    </w:tbl>
    <w:p>
      <w:r>
        <w:br w:type="page"/>
      </w:r>
    </w:p>
    <w:p>
      <w:pPr>
        <w:pStyle w:val="Heading1"/>
        <w:spacing w:after="170" w:before="380"/>
      </w:pPr>
      <w:r>
        <w:rPr>
          <w:b/>
          <w:bCs/>
          <w:color w:val="111826"/>
          <w:sz w:val="30"/>
          <w:szCs w:val="30"/>
        </w:rPr>
        <w:t xml:space="preserve">2. System Architecture</w:t>
      </w:r>
    </w:p>
    <w:p>
      <w:pPr>
        <w:spacing w:after="140" w:line="276"/>
      </w:pPr>
      <w:r>
        <w:rPr>
          <w:sz w:val="21"/>
          <w:szCs w:val="21"/>
        </w:rPr>
        <w:t xml:space="preserve">The system is built in Python (FastAPI, pandas, scikit-learn), Node (Express), React (Vite) and C++ (Arduino firmware). It comprises approximately 27,500 lines across 33 test modules with a seven-job continuous-integration pipeline.</w:t>
      </w:r>
    </w:p>
    <w:p>
      <w:pPr>
        <w:pStyle w:val="Heading2"/>
        <w:spacing w:after="130" w:before="280"/>
      </w:pPr>
      <w:r>
        <w:rPr>
          <w:b/>
          <w:bCs/>
          <w:color w:val="1B2433"/>
          <w:sz w:val="25"/>
          <w:szCs w:val="25"/>
        </w:rPr>
        <w:t xml:space="preserve">2.1 Data flow</w:t>
      </w:r>
    </w:p>
    <w:p>
      <w:pPr>
        <w:spacing w:after="140" w:line="276"/>
      </w:pPr>
      <w:r>
        <w:rPr>
          <w:rFonts w:ascii="Consolas" w:cs="Consolas" w:eastAsia="Consolas" w:hAnsi="Consolas"/>
          <w:sz w:val="19"/>
          <w:szCs w:val="19"/>
        </w:rPr>
        <w:t xml:space="preserve">CAN bus  ─┐</w:t>
      </w:r>
    </w:p>
    <w:p>
      <w:pPr>
        <w:spacing w:after="140" w:line="276"/>
      </w:pPr>
      <w:r>
        <w:rPr>
          <w:rFonts w:ascii="Consolas" w:cs="Consolas" w:eastAsia="Consolas" w:hAnsi="Consolas"/>
          <w:sz w:val="19"/>
          <w:szCs w:val="19"/>
        </w:rPr>
        <w:t xml:space="preserve">USB rig  ─┼─►  unified schema  ─►  feature layer  ─►  coverage gate  ─►  scoring  ─►  REST API  ─►  dashboard</w:t>
      </w:r>
    </w:p>
    <w:p>
      <w:pPr>
        <w:spacing w:after="220" w:line="276"/>
      </w:pPr>
      <w:r>
        <w:rPr>
          <w:rFonts w:ascii="Consolas" w:cs="Consolas" w:eastAsia="Consolas" w:hAnsi="Consolas"/>
          <w:sz w:val="19"/>
          <w:szCs w:val="19"/>
        </w:rPr>
        <w:t xml:space="preserve">datasets ─┘</w:t>
      </w:r>
    </w:p>
    <w:p>
      <w:pPr>
        <w:spacing w:after="140" w:line="276"/>
      </w:pPr>
      <w:r>
        <w:rPr>
          <w:sz w:val="21"/>
          <w:szCs w:val="21"/>
        </w:rPr>
        <w:t xml:space="preserve">The coverage gate sits between the feature layer and scoring. Every value reaching the dashboard has passed it, or arrives as a refusal carrying its reason.</w:t>
      </w:r>
    </w:p>
    <w:p>
      <w:pPr>
        <w:pStyle w:val="Heading2"/>
        <w:spacing w:after="130" w:before="280"/>
      </w:pPr>
      <w:r>
        <w:rPr>
          <w:b/>
          <w:bCs/>
          <w:color w:val="1B2433"/>
          <w:sz w:val="25"/>
          <w:szCs w:val="25"/>
        </w:rPr>
        <w:t xml:space="preserve">2.2 Refusals as return values</w:t>
      </w:r>
    </w:p>
    <w:p>
      <w:pPr>
        <w:spacing w:after="140" w:line="276"/>
      </w:pPr>
      <w:r>
        <w:rPr>
          <w:sz w:val="21"/>
          <w:szCs w:val="21"/>
        </w:rPr>
        <w:t xml:space="preserve">Refusals are returned inside the result object rather than raised as exceptions. This is a deliberate architectural decision: an exception would become an HTTP 500 and lose the reason, whereas a refusal travels through the pipeline and reaches the user interface intact, where it is rendered in place of the value it replaces.</w:t>
      </w:r>
    </w:p>
    <w:p>
      <w:pPr>
        <w:spacing w:after="140" w:line="276"/>
      </w:pPr>
      <w:r>
        <w:rPr>
          <w:sz w:val="21"/>
          <w:szCs w:val="21"/>
        </w:rPr>
        <w:t xml:space="preserve">The governing rule, recorded as Architecture Decision Record 0004:</w:t>
      </w:r>
    </w:p>
    <w:tbl>
      <w:tblPr>
        <w:tblW w:type="dxa" w:w="9360"/>
        <w:tblBorders>
          <w:top w:val="single" w:color="DDE5DF" w:sz="2"/>
          <w:left w:val="single" w:color="1F6F4A" w:sz="18"/>
          <w:bottom w:val="single" w:color="DDE5DF" w:sz="2"/>
          <w:right w:val="single" w:color="DDE5DF" w:sz="2"/>
          <w:insideH w:val="none"/>
          <w:insideV w:val="none"/>
        </w:tblBorders>
      </w:tblPr>
      <w:tblGrid>
        <w:gridCol w:w="9360"/>
      </w:tblGrid>
      <w:tr>
        <w:tc>
          <w:tcPr>
            <w:tcW w:type="dxa" w:w="9360"/>
            <w:shd w:fill="F1F7F3" w:val="clear"/>
            <w:tcMar>
              <w:top w:type="dxa" w:w="140"/>
              <w:left w:type="dxa" w:w="200"/>
              <w:bottom w:type="dxa" w:w="140"/>
              <w:right w:type="dxa" w:w="200"/>
            </w:tcMar>
          </w:tcPr>
          <w:p>
            <w:pPr>
              <w:spacing w:after="0" w:line="276"/>
            </w:pPr>
            <w:r>
              <w:rPr>
                <w:sz w:val="21"/>
                <w:szCs w:val="21"/>
              </w:rPr>
              <w:t xml:space="preserve">Any metric the input data cannot support is rendered as unavailable, with its reason, and is never replaced by a substituted or default value.</w:t>
            </w:r>
          </w:p>
        </w:tc>
      </w:tr>
    </w:tbl>
    <w:p>
      <w:pPr>
        <w:spacing w:after="160"/>
      </w:pPr>
    </w:p>
    <w:p>
      <w:pPr>
        <w:spacing w:after="140" w:line="276"/>
      </w:pPr>
      <w:r>
        <w:rPr>
          <w:sz w:val="21"/>
          <w:szCs w:val="21"/>
        </w:rPr>
        <w:t xml:space="preserve">This has a practical consequence for anyone maintaining the system: a refusal in the output is not a defect. Making a number appear where the system has declined to produce one would defeat the system’s purpose.</w:t>
      </w:r>
    </w:p>
    <w:p>
      <w:pPr>
        <w:pStyle w:val="Heading2"/>
        <w:spacing w:after="130" w:before="280"/>
      </w:pPr>
      <w:r>
        <w:rPr>
          <w:b/>
          <w:bCs/>
          <w:color w:val="1B2433"/>
          <w:sz w:val="25"/>
          <w:szCs w:val="25"/>
        </w:rPr>
        <w:t xml:space="preserve">2.3 Decision records and evidence pinning</w:t>
      </w:r>
    </w:p>
    <w:p>
      <w:pPr>
        <w:spacing w:after="140" w:line="276"/>
      </w:pPr>
      <w:r>
        <w:rPr>
          <w:sz w:val="21"/>
          <w:szCs w:val="21"/>
        </w:rPr>
        <w:t xml:space="preserve">Fourteen Architecture Decision Records under docs/adr/ document each significant decision and what forced it. Separately, tests/test_reported_numbers.py pins every figure quoted in the documentation to the artefact it was computed from, with two assertions per claim: that the number is still present in the prose, and that the artefact still yields it.</w:t>
      </w:r>
    </w:p>
    <w:p>
      <w:pPr>
        <w:spacing w:after="140" w:line="276"/>
      </w:pPr>
      <w:r>
        <w:rPr>
          <w:sz w:val="21"/>
          <w:szCs w:val="21"/>
        </w:rPr>
        <w:t xml:space="preserve">This exists because figures went stale silently during development. The SOH ceiling moved from 0.612 to 0.569 when one cell left the screening criteria, and the NASA benchmark table was superseded twice; each was caught only by a human noticing. Derived figures are recomputed inside the test from recorded recipes rather than read from a stored column, so a changed recipe fails the test with the recipe stated.</w:t>
      </w:r>
    </w:p>
    <w:p>
      <w:r>
        <w:br w:type="page"/>
      </w:r>
    </w:p>
    <w:p>
      <w:pPr>
        <w:pStyle w:val="Heading1"/>
        <w:spacing w:after="170" w:before="380"/>
      </w:pPr>
      <w:r>
        <w:rPr>
          <w:b/>
          <w:bCs/>
          <w:color w:val="111826"/>
          <w:sz w:val="30"/>
          <w:szCs w:val="30"/>
        </w:rPr>
        <w:t xml:space="preserve">3. Datasets and Experimental Frame</w:t>
      </w:r>
    </w:p>
    <w:p>
      <w:pPr>
        <w:pStyle w:val="Heading2"/>
        <w:spacing w:after="130" w:before="280"/>
      </w:pPr>
      <w:r>
        <w:rPr>
          <w:b/>
          <w:bCs/>
          <w:color w:val="1B2433"/>
          <w:sz w:val="25"/>
          <w:szCs w:val="25"/>
        </w:rPr>
        <w:t xml:space="preserve">3.1 Sources</w:t>
      </w:r>
    </w:p>
    <w:tbl>
      <w:tblPr>
        <w:tblW w:type="dxa" w:w="9360"/>
        <w:tblBorders>
          <w:top w:val="single" w:color="B9C2CE" w:sz="4"/>
          <w:left w:val="none"/>
          <w:bottom w:val="single" w:color="B9C2CE" w:sz="4"/>
          <w:right w:val="none"/>
          <w:insideH w:val="single" w:color="E1E6EC" w:sz="2"/>
          <w:insideV w:val="none"/>
        </w:tblBorders>
      </w:tblPr>
      <w:tblGrid>
        <w:gridCol w:w="2600"/>
        <w:gridCol w:w="1900"/>
        <w:gridCol w:w="2560"/>
        <w:gridCol w:w="2300"/>
      </w:tblGrid>
      <w:tr>
        <w:trPr>
          <w:tblHeader/>
        </w:trPr>
        <w:tc>
          <w:tcPr>
            <w:tcW w:type="dxa" w:w="2600"/>
            <w:shd w:fill="EEF2F6" w:val="clear"/>
            <w:tcMar>
              <w:top w:type="dxa" w:w="80"/>
              <w:left w:type="dxa" w:w="120"/>
              <w:bottom w:type="dxa" w:w="80"/>
              <w:right w:type="dxa" w:w="120"/>
            </w:tcMar>
          </w:tcPr>
          <w:p>
            <w:pPr>
              <w:spacing w:after="0" w:line="240"/>
            </w:pPr>
            <w:r>
              <w:rPr>
                <w:b/>
                <w:bCs/>
                <w:sz w:val="19"/>
                <w:szCs w:val="19"/>
              </w:rPr>
              <w:t xml:space="preserve">Dataset</w:t>
            </w:r>
          </w:p>
        </w:tc>
        <w:tc>
          <w:tcPr>
            <w:tcW w:type="dxa" w:w="1900"/>
            <w:shd w:fill="EEF2F6" w:val="clear"/>
            <w:tcMar>
              <w:top w:type="dxa" w:w="80"/>
              <w:left w:type="dxa" w:w="120"/>
              <w:bottom w:type="dxa" w:w="80"/>
              <w:right w:type="dxa" w:w="120"/>
            </w:tcMar>
          </w:tcPr>
          <w:p>
            <w:pPr>
              <w:spacing w:after="0" w:line="240"/>
            </w:pPr>
            <w:r>
              <w:rPr>
                <w:b/>
                <w:bCs/>
                <w:sz w:val="19"/>
                <w:szCs w:val="19"/>
              </w:rPr>
              <w:t xml:space="preserve">Cells</w:t>
            </w:r>
          </w:p>
        </w:tc>
        <w:tc>
          <w:tcPr>
            <w:tcW w:type="dxa" w:w="2560"/>
            <w:shd w:fill="EEF2F6" w:val="clear"/>
            <w:tcMar>
              <w:top w:type="dxa" w:w="80"/>
              <w:left w:type="dxa" w:w="120"/>
              <w:bottom w:type="dxa" w:w="80"/>
              <w:right w:type="dxa" w:w="120"/>
            </w:tcMar>
          </w:tcPr>
          <w:p>
            <w:pPr>
              <w:spacing w:after="0" w:line="240"/>
            </w:pPr>
            <w:r>
              <w:rPr>
                <w:b/>
                <w:bCs/>
                <w:sz w:val="19"/>
                <w:szCs w:val="19"/>
              </w:rPr>
              <w:t xml:space="preserve">Cohort axis</w:t>
            </w:r>
          </w:p>
        </w:tc>
        <w:tc>
          <w:tcPr>
            <w:tcW w:type="dxa" w:w="2300"/>
            <w:shd w:fill="EEF2F6" w:val="clear"/>
            <w:tcMar>
              <w:top w:type="dxa" w:w="80"/>
              <w:left w:type="dxa" w:w="120"/>
              <w:bottom w:type="dxa" w:w="80"/>
              <w:right w:type="dxa" w:w="120"/>
            </w:tcMar>
          </w:tcPr>
          <w:p>
            <w:pPr>
              <w:spacing w:after="0" w:line="240"/>
            </w:pPr>
            <w:r>
              <w:rPr>
                <w:b/>
                <w:bCs/>
                <w:sz w:val="19"/>
                <w:szCs w:val="19"/>
              </w:rPr>
              <w:t xml:space="preserve">Role</w:t>
            </w:r>
          </w:p>
        </w:tc>
      </w:tr>
      <w:tr>
        <w:tc>
          <w:tcPr>
            <w:tcW w:type="dxa" w:w="2600"/>
            <w:tcMar>
              <w:top w:type="dxa" w:w="80"/>
              <w:left w:type="dxa" w:w="120"/>
              <w:bottom w:type="dxa" w:w="80"/>
              <w:right w:type="dxa" w:w="120"/>
            </w:tcMar>
          </w:tcPr>
          <w:p>
            <w:pPr>
              <w:spacing w:after="0" w:line="240"/>
            </w:pPr>
            <w:r>
              <w:rPr>
                <w:sz w:val="19"/>
                <w:szCs w:val="19"/>
              </w:rPr>
              <w:t xml:space="preserve">NASA Li-ion cycling</w:t>
            </w:r>
          </w:p>
        </w:tc>
        <w:tc>
          <w:tcPr>
            <w:tcW w:type="dxa" w:w="1900"/>
            <w:tcMar>
              <w:top w:type="dxa" w:w="80"/>
              <w:left w:type="dxa" w:w="120"/>
              <w:bottom w:type="dxa" w:w="80"/>
              <w:right w:type="dxa" w:w="120"/>
            </w:tcMar>
          </w:tcPr>
          <w:p>
            <w:pPr>
              <w:spacing w:after="0" w:line="240"/>
            </w:pPr>
            <w:r>
              <w:rPr>
                <w:sz w:val="19"/>
                <w:szCs w:val="19"/>
              </w:rPr>
              <w:t xml:space="preserve">34 (33 after screening)</w:t>
            </w:r>
          </w:p>
        </w:tc>
        <w:tc>
          <w:tcPr>
            <w:tcW w:type="dxa" w:w="2560"/>
            <w:tcMar>
              <w:top w:type="dxa" w:w="80"/>
              <w:left w:type="dxa" w:w="120"/>
              <w:bottom w:type="dxa" w:w="80"/>
              <w:right w:type="dxa" w:w="120"/>
            </w:tcMar>
          </w:tcPr>
          <w:p>
            <w:pPr>
              <w:spacing w:after="0" w:line="240"/>
            </w:pPr>
            <w:r>
              <w:rPr>
                <w:sz w:val="19"/>
                <w:szCs w:val="19"/>
              </w:rPr>
              <w:t xml:space="preserve">Ambient temperature, 9 protocols</w:t>
            </w:r>
          </w:p>
        </w:tc>
        <w:tc>
          <w:tcPr>
            <w:tcW w:type="dxa" w:w="2300"/>
            <w:tcMar>
              <w:top w:type="dxa" w:w="80"/>
              <w:left w:type="dxa" w:w="120"/>
              <w:bottom w:type="dxa" w:w="80"/>
              <w:right w:type="dxa" w:w="120"/>
            </w:tcMar>
          </w:tcPr>
          <w:p>
            <w:pPr>
              <w:spacing w:after="0" w:line="240"/>
            </w:pPr>
            <w:r>
              <w:rPr>
                <w:sz w:val="19"/>
                <w:szCs w:val="19"/>
              </w:rPr>
              <w:t xml:space="preserve">Primary calibration and validation</w:t>
            </w:r>
          </w:p>
        </w:tc>
      </w:tr>
      <w:tr>
        <w:tc>
          <w:tcPr>
            <w:tcW w:type="dxa" w:w="2600"/>
            <w:tcMar>
              <w:top w:type="dxa" w:w="80"/>
              <w:left w:type="dxa" w:w="120"/>
              <w:bottom w:type="dxa" w:w="80"/>
              <w:right w:type="dxa" w:w="120"/>
            </w:tcMar>
          </w:tcPr>
          <w:p>
            <w:pPr>
              <w:spacing w:after="0" w:line="240"/>
            </w:pPr>
            <w:r>
              <w:rPr>
                <w:sz w:val="19"/>
                <w:szCs w:val="19"/>
              </w:rPr>
              <w:t xml:space="preserve">CALCE PLN pouch cells</w:t>
            </w:r>
          </w:p>
        </w:tc>
        <w:tc>
          <w:tcPr>
            <w:tcW w:type="dxa" w:w="1900"/>
            <w:tcMar>
              <w:top w:type="dxa" w:w="80"/>
              <w:left w:type="dxa" w:w="120"/>
              <w:bottom w:type="dxa" w:w="80"/>
              <w:right w:type="dxa" w:w="120"/>
            </w:tcMar>
          </w:tcPr>
          <w:p>
            <w:pPr>
              <w:spacing w:after="0" w:line="240"/>
            </w:pPr>
            <w:r>
              <w:rPr>
                <w:sz w:val="19"/>
                <w:szCs w:val="19"/>
              </w:rPr>
              <w:t xml:space="preserve">19</w:t>
            </w:r>
          </w:p>
        </w:tc>
        <w:tc>
          <w:tcPr>
            <w:tcW w:type="dxa" w:w="2560"/>
            <w:tcMar>
              <w:top w:type="dxa" w:w="80"/>
              <w:left w:type="dxa" w:w="120"/>
              <w:bottom w:type="dxa" w:w="80"/>
              <w:right w:type="dxa" w:w="120"/>
            </w:tcMar>
          </w:tcPr>
          <w:p>
            <w:pPr>
              <w:spacing w:after="0" w:line="240"/>
            </w:pPr>
            <w:r>
              <w:rPr>
                <w:sz w:val="19"/>
                <w:szCs w:val="19"/>
              </w:rPr>
              <w:t xml:space="preserve">Depth of discharge, 8 cohorts, 2 cell families</w:t>
            </w:r>
          </w:p>
        </w:tc>
        <w:tc>
          <w:tcPr>
            <w:tcW w:type="dxa" w:w="2300"/>
            <w:tcMar>
              <w:top w:type="dxa" w:w="80"/>
              <w:left w:type="dxa" w:w="120"/>
              <w:bottom w:type="dxa" w:w="80"/>
              <w:right w:type="dxa" w:w="120"/>
            </w:tcMar>
          </w:tcPr>
          <w:p>
            <w:pPr>
              <w:spacing w:after="0" w:line="240"/>
            </w:pPr>
            <w:r>
              <w:rPr>
                <w:sz w:val="19"/>
                <w:szCs w:val="19"/>
              </w:rPr>
              <w:t xml:space="preserve">Independent replication</w:t>
            </w:r>
          </w:p>
        </w:tc>
      </w:tr>
    </w:tbl>
    <w:p>
      <w:pPr>
        <w:spacing w:after="180"/>
      </w:pPr>
    </w:p>
    <w:p>
      <w:pPr>
        <w:pStyle w:val="Heading2"/>
        <w:spacing w:after="130" w:before="280"/>
      </w:pPr>
      <w:r>
        <w:rPr>
          <w:b/>
          <w:bCs/>
          <w:color w:val="1B2433"/>
          <w:sz w:val="25"/>
          <w:szCs w:val="25"/>
        </w:rPr>
        <w:t xml:space="preserve">3.2 Cohort definition</w:t>
      </w:r>
    </w:p>
    <w:p>
      <w:pPr>
        <w:spacing w:after="140" w:line="276"/>
      </w:pPr>
      <w:r>
        <w:rPr>
          <w:sz w:val="21"/>
          <w:szCs w:val="21"/>
        </w:rPr>
        <w:t xml:space="preserve">A cohort is a group of cells sharing an operating protocol. In the NASA data the cohort axis is ambient temperature; in CALCE it is depth of discharge. The distinction between holding out a cell and holding out a cohort is the central methodological concern of this report and is developed in Section 5.</w:t>
      </w:r>
    </w:p>
    <w:p>
      <w:pPr>
        <w:spacing w:after="140" w:line="276"/>
      </w:pPr>
      <w:r>
        <w:rPr>
          <w:sz w:val="21"/>
          <w:szCs w:val="21"/>
        </w:rPr>
        <w:t xml:space="preserve">The cohort axis differs deliberately between the two datasets. A replication that reproduced the result on the same axis would establish only that the analysis is repeatable; reproducing it on a different axis establishes that the effect is a property of protocol shift rather than of temperature specifically.</w:t>
      </w:r>
    </w:p>
    <w:p>
      <w:r>
        <w:br w:type="page"/>
      </w:r>
    </w:p>
    <w:p>
      <w:pPr>
        <w:pStyle w:val="Heading1"/>
        <w:spacing w:after="170" w:before="380"/>
      </w:pPr>
      <w:r>
        <w:rPr>
          <w:b/>
          <w:bCs/>
          <w:color w:val="111826"/>
          <w:sz w:val="30"/>
          <w:szCs w:val="30"/>
        </w:rPr>
        <w:t xml:space="preserve">4. The Target-Definition Problem</w:t>
      </w:r>
    </w:p>
    <w:p>
      <w:pPr>
        <w:spacing w:after="140" w:line="276"/>
      </w:pPr>
      <w:r>
        <w:rPr>
          <w:sz w:val="21"/>
          <w:szCs w:val="21"/>
        </w:rPr>
        <w:t xml:space="preserve">This section should be read before any result in this report. It determines what the other numbers mean.</w:t>
      </w:r>
    </w:p>
    <w:p>
      <w:pPr>
        <w:pStyle w:val="Heading2"/>
        <w:spacing w:after="130" w:before="280"/>
      </w:pPr>
      <w:r>
        <w:rPr>
          <w:b/>
          <w:bCs/>
          <w:color w:val="1B2433"/>
          <w:sz w:val="25"/>
          <w:szCs w:val="25"/>
        </w:rPr>
        <w:t xml:space="preserve">4.1 Method</w:t>
      </w:r>
    </w:p>
    <w:p>
      <w:pPr>
        <w:spacing w:after="140" w:line="276"/>
      </w:pPr>
      <w:r>
        <w:rPr>
          <w:sz w:val="21"/>
          <w:szCs w:val="21"/>
        </w:rPr>
        <w:t xml:space="preserve">The routine benchmarks/targets.signal_to_noise decomposes each candidate target’s within-cell variance into monotone trend and residual, using isotonic regression against cycle index. A monotone fit assumes only that degradation does not reverse — the weakest assumption that still defines a trend. It was chosen deliberately over a polynomial, which would bend to absorb noise and overstate the recoverable signal.</w:t>
      </w:r>
    </w:p>
    <w:p>
      <w:pPr>
        <w:spacing w:after="140" w:line="276"/>
      </w:pPr>
      <w:r>
        <w:rPr>
          <w:sz w:val="21"/>
          <w:szCs w:val="21"/>
        </w:rPr>
        <w:t xml:space="preserve">The resulting trend fraction is a ceiling on attainable R², because nothing can predict the residual.</w:t>
      </w:r>
    </w:p>
    <w:p>
      <w:pPr>
        <w:pStyle w:val="Heading2"/>
        <w:spacing w:after="130" w:before="280"/>
      </w:pPr>
      <w:r>
        <w:rPr>
          <w:b/>
          <w:bCs/>
          <w:color w:val="1B2433"/>
          <w:sz w:val="25"/>
          <w:szCs w:val="25"/>
        </w:rPr>
        <w:t xml:space="preserve">4.2 Results</w:t>
      </w:r>
    </w:p>
    <w:tbl>
      <w:tblPr>
        <w:tblW w:type="dxa" w:w="9360"/>
        <w:tblBorders>
          <w:top w:val="single" w:color="B9C2CE" w:sz="4"/>
          <w:left w:val="none"/>
          <w:bottom w:val="single" w:color="B9C2CE" w:sz="4"/>
          <w:right w:val="none"/>
          <w:insideH w:val="single" w:color="E1E6EC" w:sz="2"/>
          <w:insideV w:val="none"/>
        </w:tblBorders>
      </w:tblPr>
      <w:tblGrid>
        <w:gridCol w:w="2700"/>
        <w:gridCol w:w="3560"/>
        <w:gridCol w:w="1500"/>
        <w:gridCol w:w="1600"/>
      </w:tblGrid>
      <w:tr>
        <w:trPr>
          <w:tblHeader/>
        </w:trPr>
        <w:tc>
          <w:tcPr>
            <w:tcW w:type="dxa" w:w="2700"/>
            <w:shd w:fill="EEF2F6" w:val="clear"/>
            <w:tcMar>
              <w:top w:type="dxa" w:w="80"/>
              <w:left w:type="dxa" w:w="120"/>
              <w:bottom w:type="dxa" w:w="80"/>
              <w:right w:type="dxa" w:w="120"/>
            </w:tcMar>
          </w:tcPr>
          <w:p>
            <w:pPr>
              <w:spacing w:after="0" w:line="240"/>
            </w:pPr>
            <w:r>
              <w:rPr>
                <w:b/>
                <w:bCs/>
                <w:sz w:val="19"/>
                <w:szCs w:val="19"/>
              </w:rPr>
              <w:t xml:space="preserve">Target</w:t>
            </w:r>
          </w:p>
        </w:tc>
        <w:tc>
          <w:tcPr>
            <w:tcW w:type="dxa" w:w="3560"/>
            <w:shd w:fill="EEF2F6" w:val="clear"/>
            <w:tcMar>
              <w:top w:type="dxa" w:w="80"/>
              <w:left w:type="dxa" w:w="120"/>
              <w:bottom w:type="dxa" w:w="80"/>
              <w:right w:type="dxa" w:w="120"/>
            </w:tcMar>
          </w:tcPr>
          <w:p>
            <w:pPr>
              <w:spacing w:after="0" w:line="240"/>
              <w:jc w:val="right"/>
            </w:pPr>
            <w:r>
              <w:rPr>
                <w:b/>
                <w:bCs/>
                <w:sz w:val="19"/>
                <w:szCs w:val="19"/>
              </w:rPr>
              <w:t xml:space="preserve">Signal fraction (max attainable R²)</w:t>
            </w:r>
          </w:p>
        </w:tc>
        <w:tc>
          <w:tcPr>
            <w:tcW w:type="dxa" w:w="1500"/>
            <w:shd w:fill="EEF2F6" w:val="clear"/>
            <w:tcMar>
              <w:top w:type="dxa" w:w="80"/>
              <w:left w:type="dxa" w:w="120"/>
              <w:bottom w:type="dxa" w:w="80"/>
              <w:right w:type="dxa" w:w="120"/>
            </w:tcMar>
          </w:tcPr>
          <w:p>
            <w:pPr>
              <w:spacing w:after="0" w:line="240"/>
              <w:jc w:val="right"/>
            </w:pPr>
            <w:r>
              <w:rPr>
                <w:b/>
                <w:bCs/>
                <w:sz w:val="19"/>
                <w:szCs w:val="19"/>
              </w:rPr>
              <w:t xml:space="preserve">Cells</w:t>
            </w:r>
          </w:p>
        </w:tc>
        <w:tc>
          <w:tcPr>
            <w:tcW w:type="dxa" w:w="1600"/>
            <w:shd w:fill="EEF2F6" w:val="clear"/>
            <w:tcMar>
              <w:top w:type="dxa" w:w="80"/>
              <w:left w:type="dxa" w:w="120"/>
              <w:bottom w:type="dxa" w:w="80"/>
              <w:right w:type="dxa" w:w="120"/>
            </w:tcMar>
          </w:tcPr>
          <w:p>
            <w:pPr>
              <w:spacing w:after="0" w:line="240"/>
              <w:jc w:val="right"/>
            </w:pPr>
            <w:r>
              <w:rPr>
                <w:b/>
                <w:bCs/>
                <w:sz w:val="19"/>
                <w:szCs w:val="19"/>
              </w:rPr>
              <w:t xml:space="preserve">Rows</w:t>
            </w:r>
          </w:p>
        </w:tc>
      </w:tr>
      <w:tr>
        <w:tc>
          <w:tcPr>
            <w:tcW w:type="dxa" w:w="2700"/>
            <w:tcMar>
              <w:top w:type="dxa" w:w="80"/>
              <w:left w:type="dxa" w:w="120"/>
              <w:bottom w:type="dxa" w:w="80"/>
              <w:right w:type="dxa" w:w="120"/>
            </w:tcMar>
          </w:tcPr>
          <w:p>
            <w:pPr>
              <w:spacing w:after="0" w:line="240"/>
            </w:pPr>
            <w:r>
              <w:rPr>
                <w:rFonts w:ascii="Consolas" w:cs="Consolas" w:eastAsia="Consolas" w:hAnsi="Consolas"/>
                <w:b w:val="false"/>
                <w:bCs w:val="false"/>
                <w:sz w:val="19"/>
                <w:szCs w:val="19"/>
              </w:rPr>
              <w:t xml:space="preserve">capacity_loss</w:t>
            </w:r>
          </w:p>
        </w:tc>
        <w:tc>
          <w:tcPr>
            <w:tcW w:type="dxa" w:w="3560"/>
            <w:tcMar>
              <w:top w:type="dxa" w:w="80"/>
              <w:left w:type="dxa" w:w="120"/>
              <w:bottom w:type="dxa" w:w="80"/>
              <w:right w:type="dxa" w:w="120"/>
            </w:tcMar>
          </w:tcPr>
          <w:p>
            <w:pPr>
              <w:spacing w:after="0" w:line="240"/>
              <w:jc w:val="right"/>
            </w:pPr>
            <w:r>
              <w:rPr>
                <w:b w:val="false"/>
                <w:bCs w:val="false"/>
                <w:sz w:val="19"/>
                <w:szCs w:val="19"/>
              </w:rPr>
              <w:t xml:space="preserve">0.044</w:t>
            </w:r>
          </w:p>
        </w:tc>
        <w:tc>
          <w:tcPr>
            <w:tcW w:type="dxa" w:w="1500"/>
            <w:tcMar>
              <w:top w:type="dxa" w:w="80"/>
              <w:left w:type="dxa" w:w="120"/>
              <w:bottom w:type="dxa" w:w="80"/>
              <w:right w:type="dxa" w:w="120"/>
            </w:tcMar>
          </w:tcPr>
          <w:p>
            <w:pPr>
              <w:spacing w:after="0" w:line="240"/>
              <w:jc w:val="right"/>
            </w:pPr>
            <w:r>
              <w:rPr>
                <w:b w:val="false"/>
                <w:bCs w:val="false"/>
                <w:sz w:val="19"/>
                <w:szCs w:val="19"/>
              </w:rPr>
              <w:t xml:space="preserve">33</w:t>
            </w:r>
          </w:p>
        </w:tc>
        <w:tc>
          <w:tcPr>
            <w:tcW w:type="dxa" w:w="1600"/>
            <w:tcMar>
              <w:top w:type="dxa" w:w="80"/>
              <w:left w:type="dxa" w:w="120"/>
              <w:bottom w:type="dxa" w:w="80"/>
              <w:right w:type="dxa" w:w="120"/>
            </w:tcMar>
          </w:tcPr>
          <w:p>
            <w:pPr>
              <w:spacing w:after="0" w:line="240"/>
              <w:jc w:val="right"/>
            </w:pPr>
            <w:r>
              <w:rPr>
                <w:b w:val="false"/>
                <w:bCs w:val="false"/>
                <w:sz w:val="19"/>
                <w:szCs w:val="19"/>
              </w:rPr>
              <w:t xml:space="preserve">2,680</w:t>
            </w:r>
          </w:p>
        </w:tc>
      </w:tr>
      <w:tr>
        <w:tc>
          <w:tcPr>
            <w:tcW w:type="dxa" w:w="2700"/>
            <w:tcMar>
              <w:top w:type="dxa" w:w="80"/>
              <w:left w:type="dxa" w:w="120"/>
              <w:bottom w:type="dxa" w:w="80"/>
              <w:right w:type="dxa" w:w="120"/>
            </w:tcMar>
          </w:tcPr>
          <w:p>
            <w:pPr>
              <w:spacing w:after="0" w:line="240"/>
            </w:pPr>
            <w:r>
              <w:rPr>
                <w:rFonts w:ascii="Consolas" w:cs="Consolas" w:eastAsia="Consolas" w:hAnsi="Consolas"/>
                <w:b w:val="false"/>
                <w:bCs w:val="false"/>
                <w:sz w:val="19"/>
                <w:szCs w:val="19"/>
              </w:rPr>
              <w:t xml:space="preserve">soh / cumulative_fade</w:t>
            </w:r>
          </w:p>
        </w:tc>
        <w:tc>
          <w:tcPr>
            <w:tcW w:type="dxa" w:w="3560"/>
            <w:tcMar>
              <w:top w:type="dxa" w:w="80"/>
              <w:left w:type="dxa" w:w="120"/>
              <w:bottom w:type="dxa" w:w="80"/>
              <w:right w:type="dxa" w:w="120"/>
            </w:tcMar>
          </w:tcPr>
          <w:p>
            <w:pPr>
              <w:spacing w:after="0" w:line="240"/>
              <w:jc w:val="right"/>
            </w:pPr>
            <w:r>
              <w:rPr>
                <w:b w:val="false"/>
                <w:bCs w:val="false"/>
                <w:sz w:val="19"/>
                <w:szCs w:val="19"/>
              </w:rPr>
              <w:t xml:space="preserve">0.569</w:t>
            </w:r>
          </w:p>
        </w:tc>
        <w:tc>
          <w:tcPr>
            <w:tcW w:type="dxa" w:w="1500"/>
            <w:tcMar>
              <w:top w:type="dxa" w:w="80"/>
              <w:left w:type="dxa" w:w="120"/>
              <w:bottom w:type="dxa" w:w="80"/>
              <w:right w:type="dxa" w:w="120"/>
            </w:tcMar>
          </w:tcPr>
          <w:p>
            <w:pPr>
              <w:spacing w:after="0" w:line="240"/>
              <w:jc w:val="right"/>
            </w:pPr>
            <w:r>
              <w:rPr>
                <w:b w:val="false"/>
                <w:bCs w:val="false"/>
                <w:sz w:val="19"/>
                <w:szCs w:val="19"/>
              </w:rPr>
              <w:t xml:space="preserve">31</w:t>
            </w:r>
          </w:p>
        </w:tc>
        <w:tc>
          <w:tcPr>
            <w:tcW w:type="dxa" w:w="1600"/>
            <w:tcMar>
              <w:top w:type="dxa" w:w="80"/>
              <w:left w:type="dxa" w:w="120"/>
              <w:bottom w:type="dxa" w:w="80"/>
              <w:right w:type="dxa" w:w="120"/>
            </w:tcMar>
          </w:tcPr>
          <w:p>
            <w:pPr>
              <w:spacing w:after="0" w:line="240"/>
              <w:jc w:val="right"/>
            </w:pPr>
            <w:r>
              <w:rPr>
                <w:b w:val="false"/>
                <w:bCs w:val="false"/>
                <w:sz w:val="19"/>
                <w:szCs w:val="19"/>
              </w:rPr>
              <w:t xml:space="preserve">2,585</w:t>
            </w:r>
          </w:p>
        </w:tc>
      </w:tr>
      <w:tr>
        <w:tc>
          <w:tcPr>
            <w:tcW w:type="dxa" w:w="2700"/>
            <w:tcMar>
              <w:top w:type="dxa" w:w="80"/>
              <w:left w:type="dxa" w:w="120"/>
              <w:bottom w:type="dxa" w:w="80"/>
              <w:right w:type="dxa" w:w="120"/>
            </w:tcMar>
          </w:tcPr>
          <w:p>
            <w:pPr>
              <w:spacing w:after="0" w:line="240"/>
            </w:pPr>
            <w:r>
              <w:rPr>
                <w:rFonts w:ascii="Consolas" w:cs="Consolas" w:eastAsia="Consolas" w:hAnsi="Consolas"/>
                <w:b w:val="false"/>
                <w:bCs w:val="false"/>
                <w:sz w:val="19"/>
                <w:szCs w:val="19"/>
              </w:rPr>
              <w:t xml:space="preserve">horizon_fade_10</w:t>
            </w:r>
          </w:p>
        </w:tc>
        <w:tc>
          <w:tcPr>
            <w:tcW w:type="dxa" w:w="3560"/>
            <w:tcMar>
              <w:top w:type="dxa" w:w="80"/>
              <w:left w:type="dxa" w:w="120"/>
              <w:bottom w:type="dxa" w:w="80"/>
              <w:right w:type="dxa" w:w="120"/>
            </w:tcMar>
          </w:tcPr>
          <w:p>
            <w:pPr>
              <w:spacing w:after="0" w:line="240"/>
              <w:jc w:val="right"/>
            </w:pPr>
            <w:r>
              <w:rPr>
                <w:b w:val="false"/>
                <w:bCs w:val="false"/>
                <w:sz w:val="19"/>
                <w:szCs w:val="19"/>
              </w:rPr>
              <w:t xml:space="preserve">0.389</w:t>
            </w:r>
          </w:p>
        </w:tc>
        <w:tc>
          <w:tcPr>
            <w:tcW w:type="dxa" w:w="1500"/>
            <w:tcMar>
              <w:top w:type="dxa" w:w="80"/>
              <w:left w:type="dxa" w:w="120"/>
              <w:bottom w:type="dxa" w:w="80"/>
              <w:right w:type="dxa" w:w="120"/>
            </w:tcMar>
          </w:tcPr>
          <w:p>
            <w:pPr>
              <w:spacing w:after="0" w:line="240"/>
              <w:jc w:val="right"/>
            </w:pPr>
            <w:r>
              <w:rPr>
                <w:b w:val="false"/>
                <w:bCs w:val="false"/>
                <w:sz w:val="19"/>
                <w:szCs w:val="19"/>
              </w:rPr>
              <w:t xml:space="preserve">31</w:t>
            </w:r>
          </w:p>
        </w:tc>
        <w:tc>
          <w:tcPr>
            <w:tcW w:type="dxa" w:w="1600"/>
            <w:tcMar>
              <w:top w:type="dxa" w:w="80"/>
              <w:left w:type="dxa" w:w="120"/>
              <w:bottom w:type="dxa" w:w="80"/>
              <w:right w:type="dxa" w:w="120"/>
            </w:tcMar>
          </w:tcPr>
          <w:p>
            <w:pPr>
              <w:spacing w:after="0" w:line="240"/>
              <w:jc w:val="right"/>
            </w:pPr>
            <w:r>
              <w:rPr>
                <w:b w:val="false"/>
                <w:bCs w:val="false"/>
                <w:sz w:val="19"/>
                <w:szCs w:val="19"/>
              </w:rPr>
              <w:t xml:space="preserve">2,268</w:t>
            </w:r>
          </w:p>
        </w:tc>
      </w:tr>
      <w:tr>
        <w:tc>
          <w:tcPr>
            <w:tcW w:type="dxa" w:w="2700"/>
            <w:tcMar>
              <w:top w:type="dxa" w:w="80"/>
              <w:left w:type="dxa" w:w="120"/>
              <w:bottom w:type="dxa" w:w="80"/>
              <w:right w:type="dxa" w:w="120"/>
            </w:tcMar>
          </w:tcPr>
          <w:p>
            <w:pPr>
              <w:spacing w:after="0" w:line="240"/>
            </w:pPr>
            <w:r>
              <w:rPr>
                <w:rFonts w:ascii="Consolas" w:cs="Consolas" w:eastAsia="Consolas" w:hAnsi="Consolas"/>
                <w:b w:val="false"/>
                <w:bCs w:val="false"/>
                <w:sz w:val="19"/>
                <w:szCs w:val="19"/>
              </w:rPr>
              <w:t xml:space="preserve">horizon_fade_20</w:t>
            </w:r>
          </w:p>
        </w:tc>
        <w:tc>
          <w:tcPr>
            <w:tcW w:type="dxa" w:w="3560"/>
            <w:tcMar>
              <w:top w:type="dxa" w:w="80"/>
              <w:left w:type="dxa" w:w="120"/>
              <w:bottom w:type="dxa" w:w="80"/>
              <w:right w:type="dxa" w:w="120"/>
            </w:tcMar>
          </w:tcPr>
          <w:p>
            <w:pPr>
              <w:spacing w:after="0" w:line="240"/>
              <w:jc w:val="right"/>
            </w:pPr>
            <w:r>
              <w:rPr>
                <w:b w:val="false"/>
                <w:bCs w:val="false"/>
                <w:sz w:val="19"/>
                <w:szCs w:val="19"/>
              </w:rPr>
              <w:t xml:space="preserve">0.639</w:t>
            </w:r>
          </w:p>
        </w:tc>
        <w:tc>
          <w:tcPr>
            <w:tcW w:type="dxa" w:w="1500"/>
            <w:tcMar>
              <w:top w:type="dxa" w:w="80"/>
              <w:left w:type="dxa" w:w="120"/>
              <w:bottom w:type="dxa" w:w="80"/>
              <w:right w:type="dxa" w:w="120"/>
            </w:tcMar>
          </w:tcPr>
          <w:p>
            <w:pPr>
              <w:spacing w:after="0" w:line="240"/>
              <w:jc w:val="right"/>
            </w:pPr>
            <w:r>
              <w:rPr>
                <w:b w:val="false"/>
                <w:bCs w:val="false"/>
                <w:sz w:val="19"/>
                <w:szCs w:val="19"/>
              </w:rPr>
              <w:t xml:space="preserve">25</w:t>
            </w:r>
          </w:p>
        </w:tc>
        <w:tc>
          <w:tcPr>
            <w:tcW w:type="dxa" w:w="1600"/>
            <w:tcMar>
              <w:top w:type="dxa" w:w="80"/>
              <w:left w:type="dxa" w:w="120"/>
              <w:bottom w:type="dxa" w:w="80"/>
              <w:right w:type="dxa" w:w="120"/>
            </w:tcMar>
          </w:tcPr>
          <w:p>
            <w:pPr>
              <w:spacing w:after="0" w:line="240"/>
              <w:jc w:val="right"/>
            </w:pPr>
            <w:r>
              <w:rPr>
                <w:b w:val="false"/>
                <w:bCs w:val="false"/>
                <w:sz w:val="19"/>
                <w:szCs w:val="19"/>
              </w:rPr>
              <w:t xml:space="preserve">1,933</w:t>
            </w:r>
          </w:p>
        </w:tc>
      </w:tr>
      <w:tr>
        <w:tc>
          <w:tcPr>
            <w:tcW w:type="dxa" w:w="2700"/>
            <w:tcMar>
              <w:top w:type="dxa" w:w="80"/>
              <w:left w:type="dxa" w:w="120"/>
              <w:bottom w:type="dxa" w:w="80"/>
              <w:right w:type="dxa" w:w="120"/>
            </w:tcMar>
          </w:tcPr>
          <w:p>
            <w:pPr>
              <w:spacing w:after="0" w:line="240"/>
            </w:pPr>
            <w:r>
              <w:rPr>
                <w:rFonts w:ascii="Consolas" w:cs="Consolas" w:eastAsia="Consolas" w:hAnsi="Consolas"/>
                <w:b w:val="false"/>
                <w:bCs w:val="false"/>
                <w:sz w:val="19"/>
                <w:szCs w:val="19"/>
              </w:rPr>
              <w:t xml:space="preserve">horizon_fade_50</w:t>
            </w:r>
          </w:p>
        </w:tc>
        <w:tc>
          <w:tcPr>
            <w:tcW w:type="dxa" w:w="3560"/>
            <w:tcMar>
              <w:top w:type="dxa" w:w="80"/>
              <w:left w:type="dxa" w:w="120"/>
              <w:bottom w:type="dxa" w:w="80"/>
              <w:right w:type="dxa" w:w="120"/>
            </w:tcMar>
          </w:tcPr>
          <w:p>
            <w:pPr>
              <w:spacing w:after="0" w:line="240"/>
              <w:jc w:val="right"/>
            </w:pPr>
            <w:r>
              <w:rPr>
                <w:b w:val="false"/>
                <w:bCs w:val="false"/>
                <w:sz w:val="19"/>
                <w:szCs w:val="19"/>
              </w:rPr>
              <w:t xml:space="preserve">0.967</w:t>
            </w:r>
          </w:p>
        </w:tc>
        <w:tc>
          <w:tcPr>
            <w:tcW w:type="dxa" w:w="1500"/>
            <w:tcMar>
              <w:top w:type="dxa" w:w="80"/>
              <w:left w:type="dxa" w:w="120"/>
              <w:bottom w:type="dxa" w:w="80"/>
              <w:right w:type="dxa" w:w="120"/>
            </w:tcMar>
          </w:tcPr>
          <w:p>
            <w:pPr>
              <w:spacing w:after="0" w:line="240"/>
              <w:jc w:val="right"/>
            </w:pPr>
            <w:r>
              <w:rPr>
                <w:b w:val="false"/>
                <w:bCs w:val="false"/>
                <w:sz w:val="19"/>
                <w:szCs w:val="19"/>
              </w:rPr>
              <w:t xml:space="preserve">17</w:t>
            </w:r>
          </w:p>
        </w:tc>
        <w:tc>
          <w:tcPr>
            <w:tcW w:type="dxa" w:w="1600"/>
            <w:tcMar>
              <w:top w:type="dxa" w:w="80"/>
              <w:left w:type="dxa" w:w="120"/>
              <w:bottom w:type="dxa" w:w="80"/>
              <w:right w:type="dxa" w:w="120"/>
            </w:tcMar>
          </w:tcPr>
          <w:p>
            <w:pPr>
              <w:spacing w:after="0" w:line="240"/>
              <w:jc w:val="right"/>
            </w:pPr>
            <w:r>
              <w:rPr>
                <w:b w:val="false"/>
                <w:bCs w:val="false"/>
                <w:sz w:val="19"/>
                <w:szCs w:val="19"/>
              </w:rPr>
              <w:t xml:space="preserve">1,246</w:t>
            </w:r>
          </w:p>
        </w:tc>
      </w:tr>
    </w:tbl>
    <w:p>
      <w:pPr>
        <w:spacing w:after="180"/>
      </w:pPr>
    </w:p>
    <w:tbl>
      <w:tblPr>
        <w:tblW w:type="dxa" w:w="9360"/>
        <w:tblBorders>
          <w:top w:val="single" w:color="DDE5DF" w:sz="2"/>
          <w:left w:val="single" w:color="B3261E" w:sz="18"/>
          <w:bottom w:val="single" w:color="DDE5DF" w:sz="2"/>
          <w:right w:val="single" w:color="DDE5DF" w:sz="2"/>
          <w:insideH w:val="none"/>
          <w:insideV w:val="none"/>
        </w:tblBorders>
      </w:tblPr>
      <w:tblGrid>
        <w:gridCol w:w="9360"/>
      </w:tblGrid>
      <w:tr>
        <w:tc>
          <w:tcPr>
            <w:tcW w:type="dxa" w:w="9360"/>
            <w:shd w:fill="FBF0EF" w:val="clear"/>
            <w:tcMar>
              <w:top w:type="dxa" w:w="140"/>
              <w:left w:type="dxa" w:w="200"/>
              <w:bottom w:type="dxa" w:w="140"/>
              <w:right w:type="dxa" w:w="200"/>
            </w:tcMar>
          </w:tcPr>
          <w:p>
            <w:pPr>
              <w:spacing w:after="0" w:line="276"/>
            </w:pPr>
            <w:r>
              <w:rPr>
                <w:b/>
                <w:bCs/>
                <w:sz w:val="21"/>
                <w:szCs w:val="21"/>
              </w:rPr>
              <w:t xml:space="preserve">An R² of 0.044 was the best score obtainable on the target against which this project’s central negative result was originally measured.</w:t>
            </w:r>
          </w:p>
        </w:tc>
      </w:tr>
    </w:tbl>
    <w:p>
      <w:pPr>
        <w:spacing w:after="180"/>
      </w:pPr>
    </w:p>
    <w:p>
      <w:pPr>
        <w:pStyle w:val="Heading2"/>
        <w:spacing w:after="130" w:before="280"/>
      </w:pPr>
      <w:r>
        <w:rPr>
          <w:b/>
          <w:bCs/>
          <w:color w:val="1B2433"/>
          <w:sz w:val="25"/>
          <w:szCs w:val="25"/>
        </w:rPr>
        <w:t xml:space="preserve">4.3 Mechanism</w:t>
      </w:r>
    </w:p>
    <w:p>
      <w:pPr>
        <w:spacing w:after="140" w:line="276"/>
      </w:pPr>
      <w:r>
        <w:rPr>
          <w:sz w:val="21"/>
          <w:szCs w:val="21"/>
        </w:rPr>
        <w:t xml:space="preserve">The mechanism is arithmetic rather than subtle, and will be familiar to anyone who has differenced noisy capacity measurements. A per-cycle capacity delta is the difference of two noisy measurements: it inherits both error terms while cancelling almost all of the underlying trend.</w:t>
      </w:r>
    </w:p>
    <w:p>
      <w:pPr>
        <w:spacing w:after="140" w:line="276"/>
      </w:pPr>
      <w:r>
        <w:rPr>
          <w:sz w:val="21"/>
          <w:szCs w:val="21"/>
        </w:rPr>
        <w:t xml:space="preserve">The empirical distribution confirms this directly. Mean 0.003 Ah, standard deviation 0.132 Ah, minimum −2.61 Ah. A cell does not recover 2.61 Ah of capacity in a single cycle; that value is noise, and it is in the labels.</w:t>
      </w:r>
    </w:p>
    <w:p>
      <w:pPr>
        <w:pStyle w:val="Heading2"/>
        <w:spacing w:after="130" w:before="280"/>
      </w:pPr>
      <w:r>
        <w:rPr>
          <w:b/>
          <w:bCs/>
          <w:color w:val="1B2433"/>
          <w:sz w:val="25"/>
          <w:szCs w:val="25"/>
        </w:rPr>
        <w:t xml:space="preserve">4.4 Consequence for the project’s central claim</w:t>
      </w:r>
    </w:p>
    <w:p>
      <w:pPr>
        <w:spacing w:after="140" w:line="276"/>
      </w:pPr>
      <w:r>
        <w:rPr>
          <w:sz w:val="21"/>
          <w:szCs w:val="21"/>
        </w:rPr>
        <w:t xml:space="preserve">The original negative result — that no method beat a constant predictor — was real. Its scope was wrong.</w:t>
      </w:r>
    </w:p>
    <w:p>
      <w:pPr>
        <w:pStyle w:val="ListParagraph"/>
        <w:numPr>
          <w:ilvl w:val="0"/>
          <w:numId w:val="3"/>
        </w:numPr>
        <w:spacing w:after="90" w:line="276"/>
      </w:pPr>
      <w:r>
        <w:rPr>
          <w:b/>
          <w:bCs/>
          <w:sz w:val="21"/>
          <w:szCs w:val="21"/>
        </w:rPr>
        <w:t xml:space="preserve">Defensible: </w:t>
      </w:r>
      <w:r>
        <w:rPr>
          <w:sz w:val="21"/>
          <w:szCs w:val="21"/>
        </w:rPr>
        <w:t xml:space="preserve">these scores do not predict per-cycle capacity delta, which is mostly measurement noise.</w:t>
      </w:r>
    </w:p>
    <w:p>
      <w:pPr>
        <w:pStyle w:val="ListParagraph"/>
        <w:numPr>
          <w:ilvl w:val="0"/>
          <w:numId w:val="3"/>
        </w:numPr>
        <w:spacing w:after="90" w:line="276"/>
      </w:pPr>
      <w:r>
        <w:rPr>
          <w:b/>
          <w:bCs/>
          <w:sz w:val="21"/>
          <w:szCs w:val="21"/>
        </w:rPr>
        <w:t xml:space="preserve">Not defensible: </w:t>
      </w:r>
      <w:r>
        <w:rPr>
          <w:sz w:val="21"/>
          <w:szCs w:val="21"/>
        </w:rPr>
        <w:t xml:space="preserve">these scores do not predict degradation.</w:t>
      </w:r>
    </w:p>
    <w:p>
      <w:pPr>
        <w:spacing w:after="140" w:line="276"/>
      </w:pPr>
      <w:r>
        <w:rPr>
          <w:sz w:val="21"/>
          <w:szCs w:val="21"/>
        </w:rPr>
        <w:t xml:space="preserve">Against the cleaner soh target (ceiling 0.569), four candidate methods do clear the bar the original target rejected. The methods were never as uninformative as the first framing suggested; the target was unsuitable.</w:t>
      </w:r>
    </w:p>
    <w:p>
      <w:pPr>
        <w:spacing w:after="140" w:line="276"/>
      </w:pPr>
      <w:r>
        <w:rPr>
          <w:sz w:val="21"/>
          <w:szCs w:val="21"/>
        </w:rPr>
        <w:t xml:space="preserve">This also resolves an earlier puzzle. Lengthening the prediction horizon improved out-of-sample rank correlation but not R², originally attributed to the cohort intercept generalising worse as loss magnitude grows. The ceiling table supplies a simpler contributing explanation: horizon length and signal fraction rise together, so part of what was being measured was the target becoming cleaner.</w:t>
      </w:r>
    </w:p>
    <w:p>
      <w:r>
        <w:br w:type="page"/>
      </w:r>
    </w:p>
    <w:p>
      <w:pPr>
        <w:pStyle w:val="Heading1"/>
        <w:spacing w:after="170" w:before="380"/>
      </w:pPr>
      <w:r>
        <w:rPr>
          <w:b/>
          <w:bCs/>
          <w:color w:val="111826"/>
          <w:sz w:val="30"/>
          <w:szCs w:val="30"/>
        </w:rPr>
        <w:t xml:space="preserve">5. Validation Protocol: LOBO versus LOCO</w:t>
      </w:r>
    </w:p>
    <w:p>
      <w:pPr>
        <w:pStyle w:val="Heading2"/>
        <w:spacing w:after="130" w:before="280"/>
      </w:pPr>
      <w:r>
        <w:rPr>
          <w:b/>
          <w:bCs/>
          <w:color w:val="1B2433"/>
          <w:sz w:val="25"/>
          <w:szCs w:val="25"/>
        </w:rPr>
        <w:t xml:space="preserve">5.1 Definitions</w:t>
      </w:r>
    </w:p>
    <w:p>
      <w:pPr>
        <w:pStyle w:val="ListParagraph"/>
        <w:numPr>
          <w:ilvl w:val="0"/>
          <w:numId w:val="3"/>
        </w:numPr>
        <w:spacing w:after="90" w:line="276"/>
      </w:pPr>
      <w:r>
        <w:rPr>
          <w:b/>
          <w:bCs/>
          <w:sz w:val="21"/>
          <w:szCs w:val="21"/>
        </w:rPr>
        <w:t xml:space="preserve">LOBO — leave-one-battery-out. </w:t>
      </w:r>
      <w:r>
        <w:rPr>
          <w:sz w:val="21"/>
          <w:szCs w:val="21"/>
        </w:rPr>
        <w:t xml:space="preserve">One cell is held out; its operating protocol remains represented in the training set.</w:t>
      </w:r>
    </w:p>
    <w:p>
      <w:pPr>
        <w:pStyle w:val="ListParagraph"/>
        <w:numPr>
          <w:ilvl w:val="0"/>
          <w:numId w:val="3"/>
        </w:numPr>
        <w:spacing w:after="90" w:line="276"/>
      </w:pPr>
      <w:r>
        <w:rPr>
          <w:b/>
          <w:bCs/>
          <w:sz w:val="21"/>
          <w:szCs w:val="21"/>
        </w:rPr>
        <w:t xml:space="preserve">LOCO — leave-one-cohort-out. </w:t>
      </w:r>
      <w:r>
        <w:rPr>
          <w:sz w:val="21"/>
          <w:szCs w:val="21"/>
        </w:rPr>
        <w:t xml:space="preserve">An entire operating protocol is held out. Substantially harder, and rare in the applied literature.</w:t>
      </w:r>
    </w:p>
    <w:p>
      <w:pPr>
        <w:spacing w:after="140" w:line="276"/>
      </w:pPr>
      <w:r>
        <w:rPr>
          <w:sz w:val="21"/>
          <w:szCs w:val="21"/>
        </w:rPr>
        <w:t xml:space="preserve">The literature on this data offers a calibration point for how much protocol matters. Published work reports R² ≈ 0.91 on the same NASA data under cell-wise validation and describes it as optimistically biased; a 119% gap between 5-fold cross-validation and LOBO on NASA has also been reported. This project’s contribution is to take the next step and hold out the protocol.</w:t>
      </w:r>
    </w:p>
    <w:p>
      <w:pPr>
        <w:pStyle w:val="Heading2"/>
        <w:spacing w:after="130" w:before="280"/>
      </w:pPr>
      <w:r>
        <w:rPr>
          <w:b/>
          <w:bCs/>
          <w:color w:val="1B2433"/>
          <w:sz w:val="25"/>
          <w:szCs w:val="25"/>
        </w:rPr>
        <w:t xml:space="preserve">5.2 The collapse</w:t>
      </w:r>
    </w:p>
    <w:p>
      <w:pPr>
        <w:spacing w:after="140" w:line="276"/>
      </w:pPr>
      <w:r>
        <w:rPr>
          <w:sz w:val="21"/>
          <w:szCs w:val="21"/>
        </w:rPr>
        <w:t xml:space="preserve">Ranking 33 cells by measured fade_rate_ah_per_cycle, Spearman ρ, permutation-tested with 5,000 resamples:</w:t>
      </w:r>
    </w:p>
    <w:tbl>
      <w:tblPr>
        <w:tblW w:type="dxa" w:w="9360"/>
        <w:tblBorders>
          <w:top w:val="single" w:color="B9C2CE" w:sz="4"/>
          <w:left w:val="none"/>
          <w:bottom w:val="single" w:color="B9C2CE" w:sz="4"/>
          <w:right w:val="none"/>
          <w:insideH w:val="single" w:color="E1E6EC" w:sz="2"/>
          <w:insideV w:val="none"/>
        </w:tblBorders>
      </w:tblPr>
      <w:tblGrid>
        <w:gridCol w:w="4200"/>
        <w:gridCol w:w="1500"/>
        <w:gridCol w:w="1400"/>
        <w:gridCol w:w="2260"/>
      </w:tblGrid>
      <w:tr>
        <w:trPr>
          <w:tblHeader/>
        </w:trPr>
        <w:tc>
          <w:tcPr>
            <w:tcW w:type="dxa" w:w="4200"/>
            <w:shd w:fill="EEF2F6" w:val="clear"/>
            <w:tcMar>
              <w:top w:type="dxa" w:w="80"/>
              <w:left w:type="dxa" w:w="120"/>
              <w:bottom w:type="dxa" w:w="80"/>
              <w:right w:type="dxa" w:w="120"/>
            </w:tcMar>
          </w:tcPr>
          <w:p>
            <w:pPr>
              <w:spacing w:after="0" w:line="240"/>
            </w:pPr>
            <w:r>
              <w:rPr>
                <w:b/>
                <w:bCs/>
                <w:sz w:val="19"/>
                <w:szCs w:val="19"/>
              </w:rPr>
              <w:t xml:space="preserve">Candidate</w:t>
            </w:r>
          </w:p>
        </w:tc>
        <w:tc>
          <w:tcPr>
            <w:tcW w:type="dxa" w:w="1500"/>
            <w:shd w:fill="EEF2F6" w:val="clear"/>
            <w:tcMar>
              <w:top w:type="dxa" w:w="80"/>
              <w:left w:type="dxa" w:w="120"/>
              <w:bottom w:type="dxa" w:w="80"/>
              <w:right w:type="dxa" w:w="120"/>
            </w:tcMar>
          </w:tcPr>
          <w:p>
            <w:pPr>
              <w:spacing w:after="0" w:line="240"/>
              <w:jc w:val="right"/>
            </w:pPr>
            <w:r>
              <w:rPr>
                <w:b/>
                <w:bCs/>
                <w:sz w:val="19"/>
                <w:szCs w:val="19"/>
              </w:rPr>
              <w:t xml:space="preserve">ρ</w:t>
            </w:r>
          </w:p>
        </w:tc>
        <w:tc>
          <w:tcPr>
            <w:tcW w:type="dxa" w:w="1400"/>
            <w:shd w:fill="EEF2F6" w:val="clear"/>
            <w:tcMar>
              <w:top w:type="dxa" w:w="80"/>
              <w:left w:type="dxa" w:w="120"/>
              <w:bottom w:type="dxa" w:w="80"/>
              <w:right w:type="dxa" w:w="120"/>
            </w:tcMar>
          </w:tcPr>
          <w:p>
            <w:pPr>
              <w:spacing w:after="0" w:line="240"/>
              <w:jc w:val="right"/>
            </w:pPr>
            <w:r>
              <w:rPr>
                <w:b/>
                <w:bCs/>
                <w:sz w:val="19"/>
                <w:szCs w:val="19"/>
              </w:rPr>
              <w:t xml:space="preserve">p</w:t>
            </w:r>
          </w:p>
        </w:tc>
        <w:tc>
          <w:tcPr>
            <w:tcW w:type="dxa" w:w="2260"/>
            <w:shd w:fill="EEF2F6" w:val="clear"/>
            <w:tcMar>
              <w:top w:type="dxa" w:w="80"/>
              <w:left w:type="dxa" w:w="120"/>
              <w:bottom w:type="dxa" w:w="80"/>
              <w:right w:type="dxa" w:w="120"/>
            </w:tcMar>
          </w:tcPr>
          <w:p>
            <w:pPr>
              <w:spacing w:after="0" w:line="240"/>
              <w:jc w:val="right"/>
            </w:pPr>
            <w:r>
              <w:rPr>
                <w:b/>
                <w:bCs/>
                <w:sz w:val="19"/>
                <w:szCs w:val="19"/>
              </w:rPr>
              <w:t xml:space="preserve">Distinct outputs</w:t>
            </w:r>
          </w:p>
        </w:tc>
      </w:tr>
      <w:tr>
        <w:tc>
          <w:tcPr>
            <w:tcW w:type="dxa" w:w="4200"/>
            <w:tcMar>
              <w:top w:type="dxa" w:w="80"/>
              <w:left w:type="dxa" w:w="120"/>
              <w:bottom w:type="dxa" w:w="80"/>
              <w:right w:type="dxa" w:w="120"/>
            </w:tcMar>
          </w:tcPr>
          <w:p>
            <w:pPr>
              <w:spacing w:after="0" w:line="240"/>
            </w:pPr>
            <w:r>
              <w:rPr>
                <w:sz w:val="19"/>
                <w:szCs w:val="19"/>
              </w:rPr>
              <w:t xml:space="preserve">v1 rule-based health index</w:t>
            </w:r>
          </w:p>
        </w:tc>
        <w:tc>
          <w:tcPr>
            <w:tcW w:type="dxa" w:w="1500"/>
            <w:tcMar>
              <w:top w:type="dxa" w:w="80"/>
              <w:left w:type="dxa" w:w="120"/>
              <w:bottom w:type="dxa" w:w="80"/>
              <w:right w:type="dxa" w:w="120"/>
            </w:tcMar>
          </w:tcPr>
          <w:p>
            <w:pPr>
              <w:spacing w:after="0" w:line="240"/>
              <w:jc w:val="right"/>
            </w:pPr>
            <w:r>
              <w:rPr>
                <w:sz w:val="19"/>
                <w:szCs w:val="19"/>
              </w:rPr>
              <w:t xml:space="preserve">−0.269</w:t>
            </w:r>
          </w:p>
        </w:tc>
        <w:tc>
          <w:tcPr>
            <w:tcW w:type="dxa" w:w="1400"/>
            <w:tcMar>
              <w:top w:type="dxa" w:w="80"/>
              <w:left w:type="dxa" w:w="120"/>
              <w:bottom w:type="dxa" w:w="80"/>
              <w:right w:type="dxa" w:w="120"/>
            </w:tcMar>
          </w:tcPr>
          <w:p>
            <w:pPr>
              <w:spacing w:after="0" w:line="240"/>
              <w:jc w:val="right"/>
            </w:pPr>
            <w:r>
              <w:rPr>
                <w:sz w:val="19"/>
                <w:szCs w:val="19"/>
              </w:rPr>
              <w:t xml:space="preserve">0.124</w:t>
            </w:r>
          </w:p>
        </w:tc>
        <w:tc>
          <w:tcPr>
            <w:tcW w:type="dxa" w:w="2260"/>
            <w:tcMar>
              <w:top w:type="dxa" w:w="80"/>
              <w:left w:type="dxa" w:w="120"/>
              <w:bottom w:type="dxa" w:w="80"/>
              <w:right w:type="dxa" w:w="120"/>
            </w:tcMar>
          </w:tcPr>
          <w:p>
            <w:pPr>
              <w:spacing w:after="0" w:line="240"/>
              <w:jc w:val="right"/>
            </w:pPr>
            <w:r>
              <w:rPr>
                <w:sz w:val="19"/>
                <w:szCs w:val="19"/>
              </w:rPr>
              <w:t xml:space="preserve">6 of 33</w:t>
            </w:r>
          </w:p>
        </w:tc>
      </w:tr>
      <w:tr>
        <w:tc>
          <w:tcPr>
            <w:tcW w:type="dxa" w:w="4200"/>
            <w:tcMar>
              <w:top w:type="dxa" w:w="80"/>
              <w:left w:type="dxa" w:w="120"/>
              <w:bottom w:type="dxa" w:w="80"/>
              <w:right w:type="dxa" w:w="120"/>
            </w:tcMar>
          </w:tcPr>
          <w:p>
            <w:pPr>
              <w:spacing w:after="0" w:line="240"/>
            </w:pPr>
            <w:r>
              <w:rPr>
                <w:sz w:val="19"/>
                <w:szCs w:val="19"/>
              </w:rPr>
              <w:t xml:space="preserve">v2 fitted OLS, in-sample</w:t>
            </w:r>
          </w:p>
        </w:tc>
        <w:tc>
          <w:tcPr>
            <w:tcW w:type="dxa" w:w="1500"/>
            <w:tcMar>
              <w:top w:type="dxa" w:w="80"/>
              <w:left w:type="dxa" w:w="120"/>
              <w:bottom w:type="dxa" w:w="80"/>
              <w:right w:type="dxa" w:w="120"/>
            </w:tcMar>
          </w:tcPr>
          <w:p>
            <w:pPr>
              <w:spacing w:after="0" w:line="240"/>
              <w:jc w:val="right"/>
            </w:pPr>
            <w:r>
              <w:rPr>
                <w:sz w:val="19"/>
                <w:szCs w:val="19"/>
              </w:rPr>
              <w:t xml:space="preserve">0.870</w:t>
            </w:r>
          </w:p>
        </w:tc>
        <w:tc>
          <w:tcPr>
            <w:tcW w:type="dxa" w:w="1400"/>
            <w:tcMar>
              <w:top w:type="dxa" w:w="80"/>
              <w:left w:type="dxa" w:w="120"/>
              <w:bottom w:type="dxa" w:w="80"/>
              <w:right w:type="dxa" w:w="120"/>
            </w:tcMar>
          </w:tcPr>
          <w:p>
            <w:pPr>
              <w:spacing w:after="0" w:line="240"/>
              <w:jc w:val="right"/>
            </w:pPr>
            <w:r>
              <w:rPr>
                <w:sz w:val="19"/>
                <w:szCs w:val="19"/>
              </w:rPr>
              <w:t xml:space="preserve">0.0002</w:t>
            </w:r>
          </w:p>
        </w:tc>
        <w:tc>
          <w:tcPr>
            <w:tcW w:type="dxa" w:w="2260"/>
            <w:tcMar>
              <w:top w:type="dxa" w:w="80"/>
              <w:left w:type="dxa" w:w="120"/>
              <w:bottom w:type="dxa" w:w="80"/>
              <w:right w:type="dxa" w:w="120"/>
            </w:tcMar>
          </w:tcPr>
          <w:p>
            <w:pPr>
              <w:spacing w:after="0" w:line="240"/>
              <w:jc w:val="right"/>
            </w:pPr>
            <w:r>
              <w:rPr>
                <w:sz w:val="19"/>
                <w:szCs w:val="19"/>
              </w:rPr>
              <w:t xml:space="preserve">33</w:t>
            </w:r>
          </w:p>
        </w:tc>
      </w:tr>
      <w:tr>
        <w:tc>
          <w:tcPr>
            <w:tcW w:type="dxa" w:w="4200"/>
            <w:tcMar>
              <w:top w:type="dxa" w:w="80"/>
              <w:left w:type="dxa" w:w="120"/>
              <w:bottom w:type="dxa" w:w="80"/>
              <w:right w:type="dxa" w:w="120"/>
            </w:tcMar>
          </w:tcPr>
          <w:p>
            <w:pPr>
              <w:spacing w:after="0" w:line="240"/>
            </w:pPr>
            <w:r>
              <w:rPr>
                <w:sz w:val="19"/>
                <w:szCs w:val="19"/>
              </w:rPr>
              <w:t xml:space="preserve">v2, LOBO-refit (unseen cell, known protocol)</w:t>
            </w:r>
          </w:p>
        </w:tc>
        <w:tc>
          <w:tcPr>
            <w:tcW w:type="dxa" w:w="1500"/>
            <w:tcMar>
              <w:top w:type="dxa" w:w="80"/>
              <w:left w:type="dxa" w:w="120"/>
              <w:bottom w:type="dxa" w:w="80"/>
              <w:right w:type="dxa" w:w="120"/>
            </w:tcMar>
          </w:tcPr>
          <w:p>
            <w:pPr>
              <w:spacing w:after="0" w:line="240"/>
              <w:jc w:val="right"/>
            </w:pPr>
            <w:r>
              <w:rPr>
                <w:sz w:val="19"/>
                <w:szCs w:val="19"/>
              </w:rPr>
              <w:t xml:space="preserve">0.841</w:t>
            </w:r>
          </w:p>
        </w:tc>
        <w:tc>
          <w:tcPr>
            <w:tcW w:type="dxa" w:w="1400"/>
            <w:tcMar>
              <w:top w:type="dxa" w:w="80"/>
              <w:left w:type="dxa" w:w="120"/>
              <w:bottom w:type="dxa" w:w="80"/>
              <w:right w:type="dxa" w:w="120"/>
            </w:tcMar>
          </w:tcPr>
          <w:p>
            <w:pPr>
              <w:spacing w:after="0" w:line="240"/>
              <w:jc w:val="right"/>
            </w:pPr>
            <w:r>
              <w:rPr>
                <w:sz w:val="19"/>
                <w:szCs w:val="19"/>
              </w:rPr>
              <w:t xml:space="preserve">0.0002</w:t>
            </w:r>
          </w:p>
        </w:tc>
        <w:tc>
          <w:tcPr>
            <w:tcW w:type="dxa" w:w="2260"/>
            <w:tcMar>
              <w:top w:type="dxa" w:w="80"/>
              <w:left w:type="dxa" w:w="120"/>
              <w:bottom w:type="dxa" w:w="80"/>
              <w:right w:type="dxa" w:w="120"/>
            </w:tcMar>
          </w:tcPr>
          <w:p>
            <w:pPr>
              <w:spacing w:after="0" w:line="240"/>
              <w:jc w:val="right"/>
            </w:pPr>
            <w:r>
              <w:rPr>
                <w:sz w:val="19"/>
                <w:szCs w:val="19"/>
              </w:rPr>
              <w:t xml:space="preserve">33</w:t>
            </w:r>
          </w:p>
        </w:tc>
      </w:tr>
      <w:tr>
        <w:tc>
          <w:tcPr>
            <w:tcW w:type="dxa" w:w="4200"/>
            <w:tcMar>
              <w:top w:type="dxa" w:w="80"/>
              <w:left w:type="dxa" w:w="120"/>
              <w:bottom w:type="dxa" w:w="80"/>
              <w:right w:type="dxa" w:w="120"/>
            </w:tcMar>
          </w:tcPr>
          <w:p>
            <w:pPr>
              <w:spacing w:after="0" w:line="240"/>
            </w:pPr>
            <w:r>
              <w:rPr>
                <w:sz w:val="19"/>
                <w:szCs w:val="19"/>
              </w:rPr>
              <w:t xml:space="preserve">v2, LOCO-refit (unseen protocol)</w:t>
            </w:r>
          </w:p>
        </w:tc>
        <w:tc>
          <w:tcPr>
            <w:tcW w:type="dxa" w:w="1500"/>
            <w:tcMar>
              <w:top w:type="dxa" w:w="80"/>
              <w:left w:type="dxa" w:w="120"/>
              <w:bottom w:type="dxa" w:w="80"/>
              <w:right w:type="dxa" w:w="120"/>
            </w:tcMar>
          </w:tcPr>
          <w:p>
            <w:pPr>
              <w:spacing w:after="0" w:line="240"/>
              <w:jc w:val="right"/>
            </w:pPr>
            <w:r>
              <w:rPr>
                <w:sz w:val="19"/>
                <w:szCs w:val="19"/>
              </w:rPr>
              <w:t xml:space="preserve">−0.295</w:t>
            </w:r>
          </w:p>
        </w:tc>
        <w:tc>
          <w:tcPr>
            <w:tcW w:type="dxa" w:w="1400"/>
            <w:tcMar>
              <w:top w:type="dxa" w:w="80"/>
              <w:left w:type="dxa" w:w="120"/>
              <w:bottom w:type="dxa" w:w="80"/>
              <w:right w:type="dxa" w:w="120"/>
            </w:tcMar>
          </w:tcPr>
          <w:p>
            <w:pPr>
              <w:spacing w:after="0" w:line="240"/>
              <w:jc w:val="right"/>
            </w:pPr>
            <w:r>
              <w:rPr>
                <w:sz w:val="19"/>
                <w:szCs w:val="19"/>
              </w:rPr>
              <w:t xml:space="preserve">0.097</w:t>
            </w:r>
          </w:p>
        </w:tc>
        <w:tc>
          <w:tcPr>
            <w:tcW w:type="dxa" w:w="2260"/>
            <w:tcMar>
              <w:top w:type="dxa" w:w="80"/>
              <w:left w:type="dxa" w:w="120"/>
              <w:bottom w:type="dxa" w:w="80"/>
              <w:right w:type="dxa" w:w="120"/>
            </w:tcMar>
          </w:tcPr>
          <w:p>
            <w:pPr>
              <w:spacing w:after="0" w:line="240"/>
              <w:jc w:val="right"/>
            </w:pPr>
            <w:r>
              <w:rPr>
                <w:sz w:val="19"/>
                <w:szCs w:val="19"/>
              </w:rPr>
              <w:t xml:space="preserve">33</w:t>
            </w:r>
          </w:p>
        </w:tc>
      </w:tr>
    </w:tbl>
    <w:p>
      <w:pPr>
        <w:spacing w:after="180"/>
      </w:pPr>
    </w:p>
    <w:p>
      <w:pPr>
        <w:spacing w:after="140" w:line="276"/>
      </w:pPr>
      <w:r>
        <w:rPr>
          <w:sz w:val="21"/>
          <w:szCs w:val="21"/>
        </w:rPr>
        <w:t xml:space="preserve">The in-sample row is inadmissible and is shown only to make the gap visible: the shipped v2 coefficients include a fitted intercept per cohort estimated on these same cells, and fade rate varies strongly by cohort. Refitting inside each fold is what makes the remaining rows meaningful.</w:t>
      </w:r>
    </w:p>
    <w:tbl>
      <w:tblPr>
        <w:tblW w:type="dxa" w:w="9360"/>
        <w:tblBorders>
          <w:top w:val="single" w:color="DDE5DF" w:sz="2"/>
          <w:left w:val="single" w:color="B3261E" w:sz="18"/>
          <w:bottom w:val="single" w:color="DDE5DF" w:sz="2"/>
          <w:right w:val="single" w:color="DDE5DF" w:sz="2"/>
          <w:insideH w:val="none"/>
          <w:insideV w:val="none"/>
        </w:tblBorders>
      </w:tblPr>
      <w:tblGrid>
        <w:gridCol w:w="9360"/>
      </w:tblGrid>
      <w:tr>
        <w:tc>
          <w:tcPr>
            <w:tcW w:type="dxa" w:w="9360"/>
            <w:shd w:fill="FBF0EF" w:val="clear"/>
            <w:tcMar>
              <w:top w:type="dxa" w:w="140"/>
              <w:left w:type="dxa" w:w="200"/>
              <w:bottom w:type="dxa" w:w="140"/>
              <w:right w:type="dxa" w:w="200"/>
            </w:tcMar>
          </w:tcPr>
          <w:p>
            <w:pPr>
              <w:spacing w:after="0" w:line="276"/>
            </w:pPr>
            <w:r>
              <w:rPr>
                <w:b/>
                <w:bCs/>
                <w:sz w:val="21"/>
                <w:szCs w:val="21"/>
              </w:rPr>
              <w:t xml:space="preserve">ρ = 0.841 becomes ρ = −0.295 when the held-out axis changes from cell to protocol. Same model, same data, same features.</w:t>
            </w:r>
          </w:p>
        </w:tc>
      </w:tr>
    </w:tbl>
    <w:p>
      <w:pPr>
        <w:spacing w:after="180"/>
      </w:pPr>
    </w:p>
    <w:p>
      <w:pPr>
        <w:pStyle w:val="Heading2"/>
        <w:spacing w:after="130" w:before="280"/>
      </w:pPr>
      <w:r>
        <w:rPr>
          <w:b/>
          <w:bCs/>
          <w:color w:val="1B2433"/>
          <w:sz w:val="25"/>
          <w:szCs w:val="25"/>
        </w:rPr>
        <w:t xml:space="preserve">5.3 Model selection on LOBO selects the wrong model</w:t>
      </w:r>
    </w:p>
    <w:p>
      <w:pPr>
        <w:spacing w:after="140" w:line="276"/>
      </w:pPr>
      <w:r>
        <w:rPr>
          <w:sz w:val="21"/>
          <w:szCs w:val="21"/>
        </w:rPr>
        <w:t xml:space="preserve">A benchmark of twelve published methods, including a genuine XGBoost implementation and a genuine LSTM over ten consecutive cycles per cell, was evaluated under both protocols. LOBO rank carries essentially no information about LOCO rank: Spearman ρ = +0.084, p = 0.795, n = 12. Selecting a method by LOBO costs 0.309 R² relative to selecting by LOCO.</w:t>
      </w:r>
    </w:p>
    <w:p>
      <w:r>
        <w:br w:type="page"/>
      </w:r>
    </w:p>
    <w:p>
      <w:pPr>
        <w:pStyle w:val="Heading1"/>
        <w:spacing w:after="170" w:before="380"/>
      </w:pPr>
      <w:r>
        <w:rPr>
          <w:b/>
          <w:bCs/>
          <w:color w:val="111826"/>
          <w:sz w:val="30"/>
          <w:szCs w:val="30"/>
        </w:rPr>
        <w:t xml:space="preserve">6. Benchmark Results</w:t>
      </w:r>
    </w:p>
    <w:p>
      <w:pPr>
        <w:spacing w:after="140" w:line="276"/>
      </w:pPr>
      <w:r>
        <w:rPr>
          <w:sz w:val="21"/>
          <w:szCs w:val="21"/>
        </w:rPr>
        <w:t xml:space="preserve">Target soh, 2,585 rows, 31 cells, 9 cohorts, ceiling 0.569. Sorted by LOCO R², the column that matters.</w:t>
      </w:r>
    </w:p>
    <w:tbl>
      <w:tblPr>
        <w:tblW w:type="dxa" w:w="9360"/>
        <w:tblBorders>
          <w:top w:val="single" w:color="B9C2CE" w:sz="4"/>
          <w:left w:val="none"/>
          <w:bottom w:val="single" w:color="B9C2CE" w:sz="4"/>
          <w:right w:val="none"/>
          <w:insideH w:val="single" w:color="E1E6EC" w:sz="2"/>
          <w:insideV w:val="none"/>
        </w:tblBorders>
      </w:tblPr>
      <w:tblGrid>
        <w:gridCol w:w="2760"/>
        <w:gridCol w:w="1320"/>
        <w:gridCol w:w="1320"/>
        <w:gridCol w:w="1320"/>
        <w:gridCol w:w="1320"/>
        <w:gridCol w:w="1320"/>
      </w:tblGrid>
      <w:tr>
        <w:trPr>
          <w:tblHeader/>
        </w:trPr>
        <w:tc>
          <w:tcPr>
            <w:tcW w:type="dxa" w:w="2760"/>
            <w:shd w:fill="EEF2F6" w:val="clear"/>
            <w:tcMar>
              <w:top w:type="dxa" w:w="80"/>
              <w:left w:type="dxa" w:w="120"/>
              <w:bottom w:type="dxa" w:w="80"/>
              <w:right w:type="dxa" w:w="120"/>
            </w:tcMar>
          </w:tcPr>
          <w:p>
            <w:pPr>
              <w:spacing w:after="0" w:line="240"/>
            </w:pPr>
            <w:r>
              <w:rPr>
                <w:b/>
                <w:bCs/>
                <w:sz w:val="19"/>
                <w:szCs w:val="19"/>
              </w:rPr>
              <w:t xml:space="preserve">Method</w:t>
            </w:r>
          </w:p>
        </w:tc>
        <w:tc>
          <w:tcPr>
            <w:tcW w:type="dxa" w:w="1320"/>
            <w:shd w:fill="EEF2F6" w:val="clear"/>
            <w:tcMar>
              <w:top w:type="dxa" w:w="80"/>
              <w:left w:type="dxa" w:w="120"/>
              <w:bottom w:type="dxa" w:w="80"/>
              <w:right w:type="dxa" w:w="120"/>
            </w:tcMar>
          </w:tcPr>
          <w:p>
            <w:pPr>
              <w:spacing w:after="0" w:line="240"/>
              <w:jc w:val="right"/>
            </w:pPr>
            <w:r>
              <w:rPr>
                <w:b/>
                <w:bCs/>
                <w:sz w:val="19"/>
                <w:szCs w:val="19"/>
              </w:rPr>
              <w:t xml:space="preserve">LOBO MAE</w:t>
            </w:r>
          </w:p>
        </w:tc>
        <w:tc>
          <w:tcPr>
            <w:tcW w:type="dxa" w:w="1320"/>
            <w:shd w:fill="EEF2F6" w:val="clear"/>
            <w:tcMar>
              <w:top w:type="dxa" w:w="80"/>
              <w:left w:type="dxa" w:w="120"/>
              <w:bottom w:type="dxa" w:w="80"/>
              <w:right w:type="dxa" w:w="120"/>
            </w:tcMar>
          </w:tcPr>
          <w:p>
            <w:pPr>
              <w:spacing w:after="0" w:line="240"/>
              <w:jc w:val="right"/>
            </w:pPr>
            <w:r>
              <w:rPr>
                <w:b/>
                <w:bCs/>
                <w:sz w:val="19"/>
                <w:szCs w:val="19"/>
              </w:rPr>
              <w:t xml:space="preserve">LOCO MAE</w:t>
            </w:r>
          </w:p>
        </w:tc>
        <w:tc>
          <w:tcPr>
            <w:tcW w:type="dxa" w:w="1320"/>
            <w:shd w:fill="EEF2F6" w:val="clear"/>
            <w:tcMar>
              <w:top w:type="dxa" w:w="80"/>
              <w:left w:type="dxa" w:w="120"/>
              <w:bottom w:type="dxa" w:w="80"/>
              <w:right w:type="dxa" w:w="120"/>
            </w:tcMar>
          </w:tcPr>
          <w:p>
            <w:pPr>
              <w:spacing w:after="0" w:line="240"/>
              <w:jc w:val="right"/>
            </w:pPr>
            <w:r>
              <w:rPr>
                <w:b/>
                <w:bCs/>
                <w:sz w:val="19"/>
                <w:szCs w:val="19"/>
              </w:rPr>
              <w:t xml:space="preserve">LOBO R²</w:t>
            </w:r>
          </w:p>
        </w:tc>
        <w:tc>
          <w:tcPr>
            <w:tcW w:type="dxa" w:w="1320"/>
            <w:shd w:fill="EEF2F6" w:val="clear"/>
            <w:tcMar>
              <w:top w:type="dxa" w:w="80"/>
              <w:left w:type="dxa" w:w="120"/>
              <w:bottom w:type="dxa" w:w="80"/>
              <w:right w:type="dxa" w:w="120"/>
            </w:tcMar>
          </w:tcPr>
          <w:p>
            <w:pPr>
              <w:spacing w:after="0" w:line="240"/>
              <w:jc w:val="right"/>
            </w:pPr>
            <w:r>
              <w:rPr>
                <w:b/>
                <w:bCs/>
                <w:sz w:val="19"/>
                <w:szCs w:val="19"/>
              </w:rPr>
              <w:t xml:space="preserve">LOCO R²</w:t>
            </w:r>
          </w:p>
        </w:tc>
        <w:tc>
          <w:tcPr>
            <w:tcW w:type="dxa" w:w="1320"/>
            <w:shd w:fill="EEF2F6" w:val="clear"/>
            <w:tcMar>
              <w:top w:type="dxa" w:w="80"/>
              <w:left w:type="dxa" w:w="120"/>
              <w:bottom w:type="dxa" w:w="80"/>
              <w:right w:type="dxa" w:w="120"/>
            </w:tcMar>
          </w:tcPr>
          <w:p>
            <w:pPr>
              <w:spacing w:after="0" w:line="240"/>
              <w:jc w:val="right"/>
            </w:pPr>
            <w:r>
              <w:rPr>
                <w:b/>
                <w:bCs/>
                <w:sz w:val="19"/>
                <w:szCs w:val="19"/>
              </w:rPr>
              <w:t xml:space="preserve">Δ</w:t>
            </w:r>
          </w:p>
        </w:tc>
      </w:tr>
      <w:tr>
        <w:tc>
          <w:tcPr>
            <w:tcW w:type="dxa" w:w="2760"/>
            <w:tcMar>
              <w:top w:type="dxa" w:w="80"/>
              <w:left w:type="dxa" w:w="120"/>
              <w:bottom w:type="dxa" w:w="80"/>
              <w:right w:type="dxa" w:w="120"/>
            </w:tcMar>
          </w:tcPr>
          <w:p>
            <w:pPr>
              <w:spacing w:after="0" w:line="240"/>
            </w:pPr>
            <w:r>
              <w:rPr>
                <w:rFonts w:ascii="Consolas" w:cs="Consolas" w:eastAsia="Consolas" w:hAnsi="Consolas"/>
                <w:sz w:val="19"/>
                <w:szCs w:val="19"/>
              </w:rPr>
              <w:t xml:space="preserve">xgboost</w:t>
            </w:r>
          </w:p>
        </w:tc>
        <w:tc>
          <w:tcPr>
            <w:tcW w:type="dxa" w:w="1320"/>
            <w:tcMar>
              <w:top w:type="dxa" w:w="80"/>
              <w:left w:type="dxa" w:w="120"/>
              <w:bottom w:type="dxa" w:w="80"/>
              <w:right w:type="dxa" w:w="120"/>
            </w:tcMar>
          </w:tcPr>
          <w:p>
            <w:pPr>
              <w:spacing w:after="0" w:line="240"/>
              <w:jc w:val="right"/>
            </w:pPr>
            <w:r>
              <w:rPr>
                <w:sz w:val="19"/>
                <w:szCs w:val="19"/>
              </w:rPr>
              <w:t xml:space="preserve">4.21%</w:t>
            </w:r>
          </w:p>
        </w:tc>
        <w:tc>
          <w:tcPr>
            <w:tcW w:type="dxa" w:w="1320"/>
            <w:tcMar>
              <w:top w:type="dxa" w:w="80"/>
              <w:left w:type="dxa" w:w="120"/>
              <w:bottom w:type="dxa" w:w="80"/>
              <w:right w:type="dxa" w:w="120"/>
            </w:tcMar>
          </w:tcPr>
          <w:p>
            <w:pPr>
              <w:spacing w:after="0" w:line="240"/>
              <w:jc w:val="right"/>
            </w:pPr>
            <w:r>
              <w:rPr>
                <w:sz w:val="19"/>
                <w:szCs w:val="19"/>
              </w:rPr>
              <w:t xml:space="preserve">7.62%</w:t>
            </w:r>
          </w:p>
        </w:tc>
        <w:tc>
          <w:tcPr>
            <w:tcW w:type="dxa" w:w="1320"/>
            <w:tcMar>
              <w:top w:type="dxa" w:w="80"/>
              <w:left w:type="dxa" w:w="120"/>
              <w:bottom w:type="dxa" w:w="80"/>
              <w:right w:type="dxa" w:w="120"/>
            </w:tcMar>
          </w:tcPr>
          <w:p>
            <w:pPr>
              <w:spacing w:after="0" w:line="240"/>
              <w:jc w:val="right"/>
            </w:pPr>
            <w:r>
              <w:rPr>
                <w:sz w:val="19"/>
                <w:szCs w:val="19"/>
              </w:rPr>
              <w:t xml:space="preserve">0.732</w:t>
            </w:r>
          </w:p>
        </w:tc>
        <w:tc>
          <w:tcPr>
            <w:tcW w:type="dxa" w:w="1320"/>
            <w:tcMar>
              <w:top w:type="dxa" w:w="80"/>
              <w:left w:type="dxa" w:w="120"/>
              <w:bottom w:type="dxa" w:w="80"/>
              <w:right w:type="dxa" w:w="120"/>
            </w:tcMar>
          </w:tcPr>
          <w:p>
            <w:pPr>
              <w:spacing w:after="0" w:line="240"/>
              <w:jc w:val="right"/>
            </w:pPr>
            <w:r>
              <w:rPr>
                <w:sz w:val="19"/>
                <w:szCs w:val="19"/>
              </w:rPr>
              <w:t xml:space="preserve">0.459</w:t>
            </w:r>
          </w:p>
        </w:tc>
        <w:tc>
          <w:tcPr>
            <w:tcW w:type="dxa" w:w="1320"/>
            <w:tcMar>
              <w:top w:type="dxa" w:w="80"/>
              <w:left w:type="dxa" w:w="120"/>
              <w:bottom w:type="dxa" w:w="80"/>
              <w:right w:type="dxa" w:w="120"/>
            </w:tcMar>
          </w:tcPr>
          <w:p>
            <w:pPr>
              <w:spacing w:after="0" w:line="240"/>
              <w:jc w:val="right"/>
            </w:pPr>
            <w:r>
              <w:rPr>
                <w:sz w:val="19"/>
                <w:szCs w:val="19"/>
              </w:rPr>
              <w:t xml:space="preserve">−0.273</w:t>
            </w:r>
          </w:p>
        </w:tc>
      </w:tr>
      <w:tr>
        <w:tc>
          <w:tcPr>
            <w:tcW w:type="dxa" w:w="2760"/>
            <w:tcMar>
              <w:top w:type="dxa" w:w="80"/>
              <w:left w:type="dxa" w:w="120"/>
              <w:bottom w:type="dxa" w:w="80"/>
              <w:right w:type="dxa" w:w="120"/>
            </w:tcMar>
          </w:tcPr>
          <w:p>
            <w:pPr>
              <w:spacing w:after="0" w:line="240"/>
            </w:pPr>
            <w:r>
              <w:rPr>
                <w:rFonts w:ascii="Consolas" w:cs="Consolas" w:eastAsia="Consolas" w:hAnsi="Consolas"/>
                <w:sz w:val="19"/>
                <w:szCs w:val="19"/>
              </w:rPr>
              <w:t xml:space="preserve">age_linear</w:t>
            </w:r>
          </w:p>
        </w:tc>
        <w:tc>
          <w:tcPr>
            <w:tcW w:type="dxa" w:w="1320"/>
            <w:tcMar>
              <w:top w:type="dxa" w:w="80"/>
              <w:left w:type="dxa" w:w="120"/>
              <w:bottom w:type="dxa" w:w="80"/>
              <w:right w:type="dxa" w:w="120"/>
            </w:tcMar>
          </w:tcPr>
          <w:p>
            <w:pPr>
              <w:spacing w:after="0" w:line="240"/>
              <w:jc w:val="right"/>
            </w:pPr>
            <w:r>
              <w:rPr>
                <w:sz w:val="19"/>
                <w:szCs w:val="19"/>
              </w:rPr>
              <w:t xml:space="preserve">8.54%</w:t>
            </w:r>
          </w:p>
        </w:tc>
        <w:tc>
          <w:tcPr>
            <w:tcW w:type="dxa" w:w="1320"/>
            <w:tcMar>
              <w:top w:type="dxa" w:w="80"/>
              <w:left w:type="dxa" w:w="120"/>
              <w:bottom w:type="dxa" w:w="80"/>
              <w:right w:type="dxa" w:w="120"/>
            </w:tcMar>
          </w:tcPr>
          <w:p>
            <w:pPr>
              <w:spacing w:after="0" w:line="240"/>
              <w:jc w:val="right"/>
            </w:pPr>
            <w:r>
              <w:rPr>
                <w:sz w:val="19"/>
                <w:szCs w:val="19"/>
              </w:rPr>
              <w:t xml:space="preserve">10.71%</w:t>
            </w:r>
          </w:p>
        </w:tc>
        <w:tc>
          <w:tcPr>
            <w:tcW w:type="dxa" w:w="1320"/>
            <w:tcMar>
              <w:top w:type="dxa" w:w="80"/>
              <w:left w:type="dxa" w:w="120"/>
              <w:bottom w:type="dxa" w:w="80"/>
              <w:right w:type="dxa" w:w="120"/>
            </w:tcMar>
          </w:tcPr>
          <w:p>
            <w:pPr>
              <w:spacing w:after="0" w:line="240"/>
              <w:jc w:val="right"/>
            </w:pPr>
            <w:r>
              <w:rPr>
                <w:sz w:val="19"/>
                <w:szCs w:val="19"/>
              </w:rPr>
              <w:t xml:space="preserve">0.483</w:t>
            </w:r>
          </w:p>
        </w:tc>
        <w:tc>
          <w:tcPr>
            <w:tcW w:type="dxa" w:w="1320"/>
            <w:tcMar>
              <w:top w:type="dxa" w:w="80"/>
              <w:left w:type="dxa" w:w="120"/>
              <w:bottom w:type="dxa" w:w="80"/>
              <w:right w:type="dxa" w:w="120"/>
            </w:tcMar>
          </w:tcPr>
          <w:p>
            <w:pPr>
              <w:spacing w:after="0" w:line="240"/>
              <w:jc w:val="right"/>
            </w:pPr>
            <w:r>
              <w:rPr>
                <w:sz w:val="19"/>
                <w:szCs w:val="19"/>
              </w:rPr>
              <w:t xml:space="preserve">0.406</w:t>
            </w:r>
          </w:p>
        </w:tc>
        <w:tc>
          <w:tcPr>
            <w:tcW w:type="dxa" w:w="1320"/>
            <w:tcMar>
              <w:top w:type="dxa" w:w="80"/>
              <w:left w:type="dxa" w:w="120"/>
              <w:bottom w:type="dxa" w:w="80"/>
              <w:right w:type="dxa" w:w="120"/>
            </w:tcMar>
          </w:tcPr>
          <w:p>
            <w:pPr>
              <w:spacing w:after="0" w:line="240"/>
              <w:jc w:val="right"/>
            </w:pPr>
            <w:r>
              <w:rPr>
                <w:sz w:val="19"/>
                <w:szCs w:val="19"/>
              </w:rPr>
              <w:t xml:space="preserve">−0.076</w:t>
            </w:r>
          </w:p>
        </w:tc>
      </w:tr>
      <w:tr>
        <w:tc>
          <w:tcPr>
            <w:tcW w:type="dxa" w:w="2760"/>
            <w:tcMar>
              <w:top w:type="dxa" w:w="80"/>
              <w:left w:type="dxa" w:w="120"/>
              <w:bottom w:type="dxa" w:w="80"/>
              <w:right w:type="dxa" w:w="120"/>
            </w:tcMar>
          </w:tcPr>
          <w:p>
            <w:pPr>
              <w:spacing w:after="0" w:line="240"/>
            </w:pPr>
            <w:r>
              <w:rPr>
                <w:rFonts w:ascii="Consolas" w:cs="Consolas" w:eastAsia="Consolas" w:hAnsi="Consolas"/>
                <w:sz w:val="19"/>
                <w:szCs w:val="19"/>
              </w:rPr>
              <w:t xml:space="preserve">elasticnet</w:t>
            </w:r>
          </w:p>
        </w:tc>
        <w:tc>
          <w:tcPr>
            <w:tcW w:type="dxa" w:w="1320"/>
            <w:tcMar>
              <w:top w:type="dxa" w:w="80"/>
              <w:left w:type="dxa" w:w="120"/>
              <w:bottom w:type="dxa" w:w="80"/>
              <w:right w:type="dxa" w:w="120"/>
            </w:tcMar>
          </w:tcPr>
          <w:p>
            <w:pPr>
              <w:spacing w:after="0" w:line="240"/>
              <w:jc w:val="right"/>
            </w:pPr>
            <w:r>
              <w:rPr>
                <w:sz w:val="19"/>
                <w:szCs w:val="19"/>
              </w:rPr>
              <w:t xml:space="preserve">7.61%</w:t>
            </w:r>
          </w:p>
        </w:tc>
        <w:tc>
          <w:tcPr>
            <w:tcW w:type="dxa" w:w="1320"/>
            <w:tcMar>
              <w:top w:type="dxa" w:w="80"/>
              <w:left w:type="dxa" w:w="120"/>
              <w:bottom w:type="dxa" w:w="80"/>
              <w:right w:type="dxa" w:w="120"/>
            </w:tcMar>
          </w:tcPr>
          <w:p>
            <w:pPr>
              <w:spacing w:after="0" w:line="240"/>
              <w:jc w:val="right"/>
            </w:pPr>
            <w:r>
              <w:rPr>
                <w:sz w:val="19"/>
                <w:szCs w:val="19"/>
              </w:rPr>
              <w:t xml:space="preserve">10.31%</w:t>
            </w:r>
          </w:p>
        </w:tc>
        <w:tc>
          <w:tcPr>
            <w:tcW w:type="dxa" w:w="1320"/>
            <w:tcMar>
              <w:top w:type="dxa" w:w="80"/>
              <w:left w:type="dxa" w:w="120"/>
              <w:bottom w:type="dxa" w:w="80"/>
              <w:right w:type="dxa" w:w="120"/>
            </w:tcMar>
          </w:tcPr>
          <w:p>
            <w:pPr>
              <w:spacing w:after="0" w:line="240"/>
              <w:jc w:val="right"/>
            </w:pPr>
            <w:r>
              <w:rPr>
                <w:sz w:val="19"/>
                <w:szCs w:val="19"/>
              </w:rPr>
              <w:t xml:space="preserve">0.609</w:t>
            </w:r>
          </w:p>
        </w:tc>
        <w:tc>
          <w:tcPr>
            <w:tcW w:type="dxa" w:w="1320"/>
            <w:tcMar>
              <w:top w:type="dxa" w:w="80"/>
              <w:left w:type="dxa" w:w="120"/>
              <w:bottom w:type="dxa" w:w="80"/>
              <w:right w:type="dxa" w:w="120"/>
            </w:tcMar>
          </w:tcPr>
          <w:p>
            <w:pPr>
              <w:spacing w:after="0" w:line="240"/>
              <w:jc w:val="right"/>
            </w:pPr>
            <w:r>
              <w:rPr>
                <w:sz w:val="19"/>
                <w:szCs w:val="19"/>
              </w:rPr>
              <w:t xml:space="preserve">0.355</w:t>
            </w:r>
          </w:p>
        </w:tc>
        <w:tc>
          <w:tcPr>
            <w:tcW w:type="dxa" w:w="1320"/>
            <w:tcMar>
              <w:top w:type="dxa" w:w="80"/>
              <w:left w:type="dxa" w:w="120"/>
              <w:bottom w:type="dxa" w:w="80"/>
              <w:right w:type="dxa" w:w="120"/>
            </w:tcMar>
          </w:tcPr>
          <w:p>
            <w:pPr>
              <w:spacing w:after="0" w:line="240"/>
              <w:jc w:val="right"/>
            </w:pPr>
            <w:r>
              <w:rPr>
                <w:sz w:val="19"/>
                <w:szCs w:val="19"/>
              </w:rPr>
              <w:t xml:space="preserve">−0.254</w:t>
            </w:r>
          </w:p>
        </w:tc>
      </w:tr>
      <w:tr>
        <w:tc>
          <w:tcPr>
            <w:tcW w:type="dxa" w:w="2760"/>
            <w:tcMar>
              <w:top w:type="dxa" w:w="80"/>
              <w:left w:type="dxa" w:w="120"/>
              <w:bottom w:type="dxa" w:w="80"/>
              <w:right w:type="dxa" w:w="120"/>
            </w:tcMar>
          </w:tcPr>
          <w:p>
            <w:pPr>
              <w:spacing w:after="0" w:line="240"/>
            </w:pPr>
            <w:r>
              <w:rPr>
                <w:rFonts w:ascii="Consolas" w:cs="Consolas" w:eastAsia="Consolas" w:hAnsi="Consolas"/>
                <w:sz w:val="19"/>
                <w:szCs w:val="19"/>
              </w:rPr>
              <w:t xml:space="preserve">gpr_matern</w:t>
            </w:r>
          </w:p>
        </w:tc>
        <w:tc>
          <w:tcPr>
            <w:tcW w:type="dxa" w:w="1320"/>
            <w:tcMar>
              <w:top w:type="dxa" w:w="80"/>
              <w:left w:type="dxa" w:w="120"/>
              <w:bottom w:type="dxa" w:w="80"/>
              <w:right w:type="dxa" w:w="120"/>
            </w:tcMar>
          </w:tcPr>
          <w:p>
            <w:pPr>
              <w:spacing w:after="0" w:line="240"/>
              <w:jc w:val="right"/>
            </w:pPr>
            <w:r>
              <w:rPr>
                <w:sz w:val="19"/>
                <w:szCs w:val="19"/>
              </w:rPr>
              <w:t xml:space="preserve">4.48%</w:t>
            </w:r>
          </w:p>
        </w:tc>
        <w:tc>
          <w:tcPr>
            <w:tcW w:type="dxa" w:w="1320"/>
            <w:tcMar>
              <w:top w:type="dxa" w:w="80"/>
              <w:left w:type="dxa" w:w="120"/>
              <w:bottom w:type="dxa" w:w="80"/>
              <w:right w:type="dxa" w:w="120"/>
            </w:tcMar>
          </w:tcPr>
          <w:p>
            <w:pPr>
              <w:spacing w:after="0" w:line="240"/>
              <w:jc w:val="right"/>
            </w:pPr>
            <w:r>
              <w:rPr>
                <w:sz w:val="19"/>
                <w:szCs w:val="19"/>
              </w:rPr>
              <w:t xml:space="preserve">17.06%</w:t>
            </w:r>
          </w:p>
        </w:tc>
        <w:tc>
          <w:tcPr>
            <w:tcW w:type="dxa" w:w="1320"/>
            <w:tcMar>
              <w:top w:type="dxa" w:w="80"/>
              <w:left w:type="dxa" w:w="120"/>
              <w:bottom w:type="dxa" w:w="80"/>
              <w:right w:type="dxa" w:w="120"/>
            </w:tcMar>
          </w:tcPr>
          <w:p>
            <w:pPr>
              <w:spacing w:after="0" w:line="240"/>
              <w:jc w:val="right"/>
            </w:pPr>
            <w:r>
              <w:rPr>
                <w:sz w:val="19"/>
                <w:szCs w:val="19"/>
              </w:rPr>
              <w:t xml:space="preserve">0.725</w:t>
            </w:r>
          </w:p>
        </w:tc>
        <w:tc>
          <w:tcPr>
            <w:tcW w:type="dxa" w:w="1320"/>
            <w:tcMar>
              <w:top w:type="dxa" w:w="80"/>
              <w:left w:type="dxa" w:w="120"/>
              <w:bottom w:type="dxa" w:w="80"/>
              <w:right w:type="dxa" w:w="120"/>
            </w:tcMar>
          </w:tcPr>
          <w:p>
            <w:pPr>
              <w:spacing w:after="0" w:line="240"/>
              <w:jc w:val="right"/>
            </w:pPr>
            <w:r>
              <w:rPr>
                <w:sz w:val="19"/>
                <w:szCs w:val="19"/>
              </w:rPr>
              <w:t xml:space="preserve">0.207</w:t>
            </w:r>
          </w:p>
        </w:tc>
        <w:tc>
          <w:tcPr>
            <w:tcW w:type="dxa" w:w="1320"/>
            <w:tcMar>
              <w:top w:type="dxa" w:w="80"/>
              <w:left w:type="dxa" w:w="120"/>
              <w:bottom w:type="dxa" w:w="80"/>
              <w:right w:type="dxa" w:w="120"/>
            </w:tcMar>
          </w:tcPr>
          <w:p>
            <w:pPr>
              <w:spacing w:after="0" w:line="240"/>
              <w:jc w:val="right"/>
            </w:pPr>
            <w:r>
              <w:rPr>
                <w:sz w:val="19"/>
                <w:szCs w:val="19"/>
              </w:rPr>
              <w:t xml:space="preserve">−0.518</w:t>
            </w:r>
          </w:p>
        </w:tc>
      </w:tr>
      <w:tr>
        <w:tc>
          <w:tcPr>
            <w:tcW w:type="dxa" w:w="2760"/>
            <w:tcMar>
              <w:top w:type="dxa" w:w="80"/>
              <w:left w:type="dxa" w:w="120"/>
              <w:bottom w:type="dxa" w:w="80"/>
              <w:right w:type="dxa" w:w="120"/>
            </w:tcMar>
          </w:tcPr>
          <w:p>
            <w:pPr>
              <w:spacing w:after="0" w:line="240"/>
            </w:pPr>
            <w:r>
              <w:rPr>
                <w:rFonts w:ascii="Consolas" w:cs="Consolas" w:eastAsia="Consolas" w:hAnsi="Consolas"/>
                <w:sz w:val="19"/>
                <w:szCs w:val="19"/>
              </w:rPr>
              <w:t xml:space="preserve">random_forest</w:t>
            </w:r>
          </w:p>
        </w:tc>
        <w:tc>
          <w:tcPr>
            <w:tcW w:type="dxa" w:w="1320"/>
            <w:tcMar>
              <w:top w:type="dxa" w:w="80"/>
              <w:left w:type="dxa" w:w="120"/>
              <w:bottom w:type="dxa" w:w="80"/>
              <w:right w:type="dxa" w:w="120"/>
            </w:tcMar>
          </w:tcPr>
          <w:p>
            <w:pPr>
              <w:spacing w:after="0" w:line="240"/>
              <w:jc w:val="right"/>
            </w:pPr>
            <w:r>
              <w:rPr>
                <w:sz w:val="19"/>
                <w:szCs w:val="19"/>
              </w:rPr>
              <w:t xml:space="preserve">4.90%</w:t>
            </w:r>
          </w:p>
        </w:tc>
        <w:tc>
          <w:tcPr>
            <w:tcW w:type="dxa" w:w="1320"/>
            <w:tcMar>
              <w:top w:type="dxa" w:w="80"/>
              <w:left w:type="dxa" w:w="120"/>
              <w:bottom w:type="dxa" w:w="80"/>
              <w:right w:type="dxa" w:w="120"/>
            </w:tcMar>
          </w:tcPr>
          <w:p>
            <w:pPr>
              <w:spacing w:after="0" w:line="240"/>
              <w:jc w:val="right"/>
            </w:pPr>
            <w:r>
              <w:rPr>
                <w:sz w:val="19"/>
                <w:szCs w:val="19"/>
              </w:rPr>
              <w:t xml:space="preserve">10.67%</w:t>
            </w:r>
          </w:p>
        </w:tc>
        <w:tc>
          <w:tcPr>
            <w:tcW w:type="dxa" w:w="1320"/>
            <w:tcMar>
              <w:top w:type="dxa" w:w="80"/>
              <w:left w:type="dxa" w:w="120"/>
              <w:bottom w:type="dxa" w:w="80"/>
              <w:right w:type="dxa" w:w="120"/>
            </w:tcMar>
          </w:tcPr>
          <w:p>
            <w:pPr>
              <w:spacing w:after="0" w:line="240"/>
              <w:jc w:val="right"/>
            </w:pPr>
            <w:r>
              <w:rPr>
                <w:sz w:val="19"/>
                <w:szCs w:val="19"/>
              </w:rPr>
              <w:t xml:space="preserve">0.773</w:t>
            </w:r>
          </w:p>
        </w:tc>
        <w:tc>
          <w:tcPr>
            <w:tcW w:type="dxa" w:w="1320"/>
            <w:tcMar>
              <w:top w:type="dxa" w:w="80"/>
              <w:left w:type="dxa" w:w="120"/>
              <w:bottom w:type="dxa" w:w="80"/>
              <w:right w:type="dxa" w:w="120"/>
            </w:tcMar>
          </w:tcPr>
          <w:p>
            <w:pPr>
              <w:spacing w:after="0" w:line="240"/>
              <w:jc w:val="right"/>
            </w:pPr>
            <w:r>
              <w:rPr>
                <w:sz w:val="19"/>
                <w:szCs w:val="19"/>
              </w:rPr>
              <w:t xml:space="preserve">0.150</w:t>
            </w:r>
          </w:p>
        </w:tc>
        <w:tc>
          <w:tcPr>
            <w:tcW w:type="dxa" w:w="1320"/>
            <w:tcMar>
              <w:top w:type="dxa" w:w="80"/>
              <w:left w:type="dxa" w:w="120"/>
              <w:bottom w:type="dxa" w:w="80"/>
              <w:right w:type="dxa" w:w="120"/>
            </w:tcMar>
          </w:tcPr>
          <w:p>
            <w:pPr>
              <w:spacing w:after="0" w:line="240"/>
              <w:jc w:val="right"/>
            </w:pPr>
            <w:r>
              <w:rPr>
                <w:sz w:val="19"/>
                <w:szCs w:val="19"/>
              </w:rPr>
              <w:t xml:space="preserve">−0.623</w:t>
            </w:r>
          </w:p>
        </w:tc>
      </w:tr>
      <w:tr>
        <w:tc>
          <w:tcPr>
            <w:tcW w:type="dxa" w:w="2760"/>
            <w:tcMar>
              <w:top w:type="dxa" w:w="80"/>
              <w:left w:type="dxa" w:w="120"/>
              <w:bottom w:type="dxa" w:w="80"/>
              <w:right w:type="dxa" w:w="120"/>
            </w:tcMar>
          </w:tcPr>
          <w:p>
            <w:pPr>
              <w:spacing w:after="0" w:line="240"/>
            </w:pPr>
            <w:r>
              <w:rPr>
                <w:rFonts w:ascii="Consolas" w:cs="Consolas" w:eastAsia="Consolas" w:hAnsi="Consolas"/>
                <w:sz w:val="19"/>
                <w:szCs w:val="19"/>
              </w:rPr>
              <w:t xml:space="preserve">svr_rbf</w:t>
            </w:r>
          </w:p>
        </w:tc>
        <w:tc>
          <w:tcPr>
            <w:tcW w:type="dxa" w:w="1320"/>
            <w:tcMar>
              <w:top w:type="dxa" w:w="80"/>
              <w:left w:type="dxa" w:w="120"/>
              <w:bottom w:type="dxa" w:w="80"/>
              <w:right w:type="dxa" w:w="120"/>
            </w:tcMar>
          </w:tcPr>
          <w:p>
            <w:pPr>
              <w:spacing w:after="0" w:line="240"/>
              <w:jc w:val="right"/>
            </w:pPr>
            <w:r>
              <w:rPr>
                <w:sz w:val="19"/>
                <w:szCs w:val="19"/>
              </w:rPr>
              <w:t xml:space="preserve">6.91%</w:t>
            </w:r>
          </w:p>
        </w:tc>
        <w:tc>
          <w:tcPr>
            <w:tcW w:type="dxa" w:w="1320"/>
            <w:tcMar>
              <w:top w:type="dxa" w:w="80"/>
              <w:left w:type="dxa" w:w="120"/>
              <w:bottom w:type="dxa" w:w="80"/>
              <w:right w:type="dxa" w:w="120"/>
            </w:tcMar>
          </w:tcPr>
          <w:p>
            <w:pPr>
              <w:spacing w:after="0" w:line="240"/>
              <w:jc w:val="right"/>
            </w:pPr>
            <w:r>
              <w:rPr>
                <w:sz w:val="19"/>
                <w:szCs w:val="19"/>
              </w:rPr>
              <w:t xml:space="preserve">14.29%</w:t>
            </w:r>
          </w:p>
        </w:tc>
        <w:tc>
          <w:tcPr>
            <w:tcW w:type="dxa" w:w="1320"/>
            <w:tcMar>
              <w:top w:type="dxa" w:w="80"/>
              <w:left w:type="dxa" w:w="120"/>
              <w:bottom w:type="dxa" w:w="80"/>
              <w:right w:type="dxa" w:w="120"/>
            </w:tcMar>
          </w:tcPr>
          <w:p>
            <w:pPr>
              <w:spacing w:after="0" w:line="240"/>
              <w:jc w:val="right"/>
            </w:pPr>
            <w:r>
              <w:rPr>
                <w:sz w:val="19"/>
                <w:szCs w:val="19"/>
              </w:rPr>
              <w:t xml:space="preserve">0.651</w:t>
            </w:r>
          </w:p>
        </w:tc>
        <w:tc>
          <w:tcPr>
            <w:tcW w:type="dxa" w:w="1320"/>
            <w:tcMar>
              <w:top w:type="dxa" w:w="80"/>
              <w:left w:type="dxa" w:w="120"/>
              <w:bottom w:type="dxa" w:w="80"/>
              <w:right w:type="dxa" w:w="120"/>
            </w:tcMar>
          </w:tcPr>
          <w:p>
            <w:pPr>
              <w:spacing w:after="0" w:line="240"/>
              <w:jc w:val="right"/>
            </w:pPr>
            <w:r>
              <w:rPr>
                <w:sz w:val="19"/>
                <w:szCs w:val="19"/>
              </w:rPr>
              <w:t xml:space="preserve">0.087</w:t>
            </w:r>
          </w:p>
        </w:tc>
        <w:tc>
          <w:tcPr>
            <w:tcW w:type="dxa" w:w="1320"/>
            <w:tcMar>
              <w:top w:type="dxa" w:w="80"/>
              <w:left w:type="dxa" w:w="120"/>
              <w:bottom w:type="dxa" w:w="80"/>
              <w:right w:type="dxa" w:w="120"/>
            </w:tcMar>
          </w:tcPr>
          <w:p>
            <w:pPr>
              <w:spacing w:after="0" w:line="240"/>
              <w:jc w:val="right"/>
            </w:pPr>
            <w:r>
              <w:rPr>
                <w:sz w:val="19"/>
                <w:szCs w:val="19"/>
              </w:rPr>
              <w:t xml:space="preserve">−0.564</w:t>
            </w:r>
          </w:p>
        </w:tc>
      </w:tr>
      <w:tr>
        <w:tc>
          <w:tcPr>
            <w:tcW w:type="dxa" w:w="2760"/>
            <w:tcMar>
              <w:top w:type="dxa" w:w="80"/>
              <w:left w:type="dxa" w:w="120"/>
              <w:bottom w:type="dxa" w:w="80"/>
              <w:right w:type="dxa" w:w="120"/>
            </w:tcMar>
          </w:tcPr>
          <w:p>
            <w:pPr>
              <w:spacing w:after="0" w:line="240"/>
            </w:pPr>
            <w:r>
              <w:rPr>
                <w:rFonts w:ascii="Consolas" w:cs="Consolas" w:eastAsia="Consolas" w:hAnsi="Consolas"/>
                <w:sz w:val="19"/>
                <w:szCs w:val="19"/>
              </w:rPr>
              <w:t xml:space="preserve">age_quadratic</w:t>
            </w:r>
          </w:p>
        </w:tc>
        <w:tc>
          <w:tcPr>
            <w:tcW w:type="dxa" w:w="1320"/>
            <w:tcMar>
              <w:top w:type="dxa" w:w="80"/>
              <w:left w:type="dxa" w:w="120"/>
              <w:bottom w:type="dxa" w:w="80"/>
              <w:right w:type="dxa" w:w="120"/>
            </w:tcMar>
          </w:tcPr>
          <w:p>
            <w:pPr>
              <w:spacing w:after="0" w:line="240"/>
              <w:jc w:val="right"/>
            </w:pPr>
            <w:r>
              <w:rPr>
                <w:sz w:val="19"/>
                <w:szCs w:val="19"/>
              </w:rPr>
              <w:t xml:space="preserve">6.62%</w:t>
            </w:r>
          </w:p>
        </w:tc>
        <w:tc>
          <w:tcPr>
            <w:tcW w:type="dxa" w:w="1320"/>
            <w:tcMar>
              <w:top w:type="dxa" w:w="80"/>
              <w:left w:type="dxa" w:w="120"/>
              <w:bottom w:type="dxa" w:w="80"/>
              <w:right w:type="dxa" w:w="120"/>
            </w:tcMar>
          </w:tcPr>
          <w:p>
            <w:pPr>
              <w:spacing w:after="0" w:line="240"/>
              <w:jc w:val="right"/>
            </w:pPr>
            <w:r>
              <w:rPr>
                <w:sz w:val="19"/>
                <w:szCs w:val="19"/>
              </w:rPr>
              <w:t xml:space="preserve">8.31%</w:t>
            </w:r>
          </w:p>
        </w:tc>
        <w:tc>
          <w:tcPr>
            <w:tcW w:type="dxa" w:w="1320"/>
            <w:tcMar>
              <w:top w:type="dxa" w:w="80"/>
              <w:left w:type="dxa" w:w="120"/>
              <w:bottom w:type="dxa" w:w="80"/>
              <w:right w:type="dxa" w:w="120"/>
            </w:tcMar>
          </w:tcPr>
          <w:p>
            <w:pPr>
              <w:spacing w:after="0" w:line="240"/>
              <w:jc w:val="right"/>
            </w:pPr>
            <w:r>
              <w:rPr>
                <w:sz w:val="19"/>
                <w:szCs w:val="19"/>
              </w:rPr>
              <w:t xml:space="preserve">0.336</w:t>
            </w:r>
          </w:p>
        </w:tc>
        <w:tc>
          <w:tcPr>
            <w:tcW w:type="dxa" w:w="1320"/>
            <w:tcMar>
              <w:top w:type="dxa" w:w="80"/>
              <w:left w:type="dxa" w:w="120"/>
              <w:bottom w:type="dxa" w:w="80"/>
              <w:right w:type="dxa" w:w="120"/>
            </w:tcMar>
          </w:tcPr>
          <w:p>
            <w:pPr>
              <w:spacing w:after="0" w:line="240"/>
              <w:jc w:val="right"/>
            </w:pPr>
            <w:r>
              <w:rPr>
                <w:sz w:val="19"/>
                <w:szCs w:val="19"/>
              </w:rPr>
              <w:t xml:space="preserve">0.034</w:t>
            </w:r>
          </w:p>
        </w:tc>
        <w:tc>
          <w:tcPr>
            <w:tcW w:type="dxa" w:w="1320"/>
            <w:tcMar>
              <w:top w:type="dxa" w:w="80"/>
              <w:left w:type="dxa" w:w="120"/>
              <w:bottom w:type="dxa" w:w="80"/>
              <w:right w:type="dxa" w:w="120"/>
            </w:tcMar>
          </w:tcPr>
          <w:p>
            <w:pPr>
              <w:spacing w:after="0" w:line="240"/>
              <w:jc w:val="right"/>
            </w:pPr>
            <w:r>
              <w:rPr>
                <w:sz w:val="19"/>
                <w:szCs w:val="19"/>
              </w:rPr>
              <w:t xml:space="preserve">−0.301</w:t>
            </w:r>
          </w:p>
        </w:tc>
      </w:tr>
      <w:tr>
        <w:tc>
          <w:tcPr>
            <w:tcW w:type="dxa" w:w="2760"/>
            <w:tcMar>
              <w:top w:type="dxa" w:w="80"/>
              <w:left w:type="dxa" w:w="120"/>
              <w:bottom w:type="dxa" w:w="80"/>
              <w:right w:type="dxa" w:w="120"/>
            </w:tcMar>
          </w:tcPr>
          <w:p>
            <w:pPr>
              <w:spacing w:after="0" w:line="240"/>
            </w:pPr>
            <w:r>
              <w:rPr>
                <w:rFonts w:ascii="Consolas" w:cs="Consolas" w:eastAsia="Consolas" w:hAnsi="Consolas"/>
                <w:sz w:val="19"/>
                <w:szCs w:val="19"/>
              </w:rPr>
              <w:t xml:space="preserve">age_isotonic</w:t>
            </w:r>
          </w:p>
        </w:tc>
        <w:tc>
          <w:tcPr>
            <w:tcW w:type="dxa" w:w="1320"/>
            <w:tcMar>
              <w:top w:type="dxa" w:w="80"/>
              <w:left w:type="dxa" w:w="120"/>
              <w:bottom w:type="dxa" w:w="80"/>
              <w:right w:type="dxa" w:w="120"/>
            </w:tcMar>
          </w:tcPr>
          <w:p>
            <w:pPr>
              <w:spacing w:after="0" w:line="240"/>
              <w:jc w:val="right"/>
            </w:pPr>
            <w:r>
              <w:rPr>
                <w:sz w:val="19"/>
                <w:szCs w:val="19"/>
              </w:rPr>
              <w:t xml:space="preserve">6.99%</w:t>
            </w:r>
          </w:p>
        </w:tc>
        <w:tc>
          <w:tcPr>
            <w:tcW w:type="dxa" w:w="1320"/>
            <w:tcMar>
              <w:top w:type="dxa" w:w="80"/>
              <w:left w:type="dxa" w:w="120"/>
              <w:bottom w:type="dxa" w:w="80"/>
              <w:right w:type="dxa" w:w="120"/>
            </w:tcMar>
          </w:tcPr>
          <w:p>
            <w:pPr>
              <w:spacing w:after="0" w:line="240"/>
              <w:jc w:val="right"/>
            </w:pPr>
            <w:r>
              <w:rPr>
                <w:sz w:val="19"/>
                <w:szCs w:val="19"/>
              </w:rPr>
              <w:t xml:space="preserve">8.50%</w:t>
            </w:r>
          </w:p>
        </w:tc>
        <w:tc>
          <w:tcPr>
            <w:tcW w:type="dxa" w:w="1320"/>
            <w:tcMar>
              <w:top w:type="dxa" w:w="80"/>
              <w:left w:type="dxa" w:w="120"/>
              <w:bottom w:type="dxa" w:w="80"/>
              <w:right w:type="dxa" w:w="120"/>
            </w:tcMar>
          </w:tcPr>
          <w:p>
            <w:pPr>
              <w:spacing w:after="0" w:line="240"/>
              <w:jc w:val="right"/>
            </w:pPr>
            <w:r>
              <w:rPr>
                <w:sz w:val="19"/>
                <w:szCs w:val="19"/>
              </w:rPr>
              <w:t xml:space="preserve">0.278</w:t>
            </w:r>
          </w:p>
        </w:tc>
        <w:tc>
          <w:tcPr>
            <w:tcW w:type="dxa" w:w="1320"/>
            <w:tcMar>
              <w:top w:type="dxa" w:w="80"/>
              <w:left w:type="dxa" w:w="120"/>
              <w:bottom w:type="dxa" w:w="80"/>
              <w:right w:type="dxa" w:w="120"/>
            </w:tcMar>
          </w:tcPr>
          <w:p>
            <w:pPr>
              <w:spacing w:after="0" w:line="240"/>
              <w:jc w:val="right"/>
            </w:pPr>
            <w:r>
              <w:rPr>
                <w:sz w:val="19"/>
                <w:szCs w:val="19"/>
              </w:rPr>
              <w:t xml:space="preserve">0.018</w:t>
            </w:r>
          </w:p>
        </w:tc>
        <w:tc>
          <w:tcPr>
            <w:tcW w:type="dxa" w:w="1320"/>
            <w:tcMar>
              <w:top w:type="dxa" w:w="80"/>
              <w:left w:type="dxa" w:w="120"/>
              <w:bottom w:type="dxa" w:w="80"/>
              <w:right w:type="dxa" w:w="120"/>
            </w:tcMar>
          </w:tcPr>
          <w:p>
            <w:pPr>
              <w:spacing w:after="0" w:line="240"/>
              <w:jc w:val="right"/>
            </w:pPr>
            <w:r>
              <w:rPr>
                <w:sz w:val="19"/>
                <w:szCs w:val="19"/>
              </w:rPr>
              <w:t xml:space="preserve">−0.260</w:t>
            </w:r>
          </w:p>
        </w:tc>
      </w:tr>
      <w:tr>
        <w:tc>
          <w:tcPr>
            <w:tcW w:type="dxa" w:w="2760"/>
            <w:tcMar>
              <w:top w:type="dxa" w:w="80"/>
              <w:left w:type="dxa" w:w="120"/>
              <w:bottom w:type="dxa" w:w="80"/>
              <w:right w:type="dxa" w:w="120"/>
            </w:tcMar>
          </w:tcPr>
          <w:p>
            <w:pPr>
              <w:spacing w:after="0" w:line="240"/>
            </w:pPr>
            <w:r>
              <w:rPr>
                <w:rFonts w:ascii="Consolas" w:cs="Consolas" w:eastAsia="Consolas" w:hAnsi="Consolas"/>
                <w:sz w:val="19"/>
                <w:szCs w:val="19"/>
              </w:rPr>
              <w:t xml:space="preserve">train_mean</w:t>
            </w:r>
          </w:p>
        </w:tc>
        <w:tc>
          <w:tcPr>
            <w:tcW w:type="dxa" w:w="1320"/>
            <w:tcMar>
              <w:top w:type="dxa" w:w="80"/>
              <w:left w:type="dxa" w:w="120"/>
              <w:bottom w:type="dxa" w:w="80"/>
              <w:right w:type="dxa" w:w="120"/>
            </w:tcMar>
          </w:tcPr>
          <w:p>
            <w:pPr>
              <w:spacing w:after="0" w:line="240"/>
              <w:jc w:val="right"/>
            </w:pPr>
            <w:r>
              <w:rPr>
                <w:sz w:val="19"/>
                <w:szCs w:val="19"/>
              </w:rPr>
              <w:t xml:space="preserve">11.17%</w:t>
            </w:r>
          </w:p>
        </w:tc>
        <w:tc>
          <w:tcPr>
            <w:tcW w:type="dxa" w:w="1320"/>
            <w:tcMar>
              <w:top w:type="dxa" w:w="80"/>
              <w:left w:type="dxa" w:w="120"/>
              <w:bottom w:type="dxa" w:w="80"/>
              <w:right w:type="dxa" w:w="120"/>
            </w:tcMar>
          </w:tcPr>
          <w:p>
            <w:pPr>
              <w:spacing w:after="0" w:line="240"/>
              <w:jc w:val="right"/>
            </w:pPr>
            <w:r>
              <w:rPr>
                <w:sz w:val="19"/>
                <w:szCs w:val="19"/>
              </w:rPr>
              <w:t xml:space="preserve">11.92%</w:t>
            </w:r>
          </w:p>
        </w:tc>
        <w:tc>
          <w:tcPr>
            <w:tcW w:type="dxa" w:w="1320"/>
            <w:tcMar>
              <w:top w:type="dxa" w:w="80"/>
              <w:left w:type="dxa" w:w="120"/>
              <w:bottom w:type="dxa" w:w="80"/>
              <w:right w:type="dxa" w:w="120"/>
            </w:tcMar>
          </w:tcPr>
          <w:p>
            <w:pPr>
              <w:spacing w:after="0" w:line="240"/>
              <w:jc w:val="right"/>
            </w:pPr>
            <w:r>
              <w:rPr>
                <w:sz w:val="19"/>
                <w:szCs w:val="19"/>
              </w:rPr>
              <w:t xml:space="preserve">0.000</w:t>
            </w:r>
          </w:p>
        </w:tc>
        <w:tc>
          <w:tcPr>
            <w:tcW w:type="dxa" w:w="1320"/>
            <w:tcMar>
              <w:top w:type="dxa" w:w="80"/>
              <w:left w:type="dxa" w:w="120"/>
              <w:bottom w:type="dxa" w:w="80"/>
              <w:right w:type="dxa" w:w="120"/>
            </w:tcMar>
          </w:tcPr>
          <w:p>
            <w:pPr>
              <w:spacing w:after="0" w:line="240"/>
              <w:jc w:val="right"/>
            </w:pPr>
            <w:r>
              <w:rPr>
                <w:sz w:val="19"/>
                <w:szCs w:val="19"/>
              </w:rPr>
              <w:t xml:space="preserve">0.000</w:t>
            </w:r>
          </w:p>
        </w:tc>
        <w:tc>
          <w:tcPr>
            <w:tcW w:type="dxa" w:w="1320"/>
            <w:tcMar>
              <w:top w:type="dxa" w:w="80"/>
              <w:left w:type="dxa" w:w="120"/>
              <w:bottom w:type="dxa" w:w="80"/>
              <w:right w:type="dxa" w:w="120"/>
            </w:tcMar>
          </w:tcPr>
          <w:p>
            <w:pPr>
              <w:spacing w:after="0" w:line="240"/>
              <w:jc w:val="right"/>
            </w:pPr>
            <w:r>
              <w:rPr>
                <w:sz w:val="19"/>
                <w:szCs w:val="19"/>
              </w:rPr>
              <w:t xml:space="preserve">0.000</w:t>
            </w:r>
          </w:p>
        </w:tc>
      </w:tr>
      <w:tr>
        <w:tc>
          <w:tcPr>
            <w:tcW w:type="dxa" w:w="2760"/>
            <w:tcMar>
              <w:top w:type="dxa" w:w="80"/>
              <w:left w:type="dxa" w:w="120"/>
              <w:bottom w:type="dxa" w:w="80"/>
              <w:right w:type="dxa" w:w="120"/>
            </w:tcMar>
          </w:tcPr>
          <w:p>
            <w:pPr>
              <w:spacing w:after="0" w:line="240"/>
            </w:pPr>
            <w:r>
              <w:rPr>
                <w:rFonts w:ascii="Consolas" w:cs="Consolas" w:eastAsia="Consolas" w:hAnsi="Consolas"/>
                <w:sz w:val="19"/>
                <w:szCs w:val="19"/>
              </w:rPr>
              <w:t xml:space="preserve">lstm</w:t>
            </w:r>
          </w:p>
        </w:tc>
        <w:tc>
          <w:tcPr>
            <w:tcW w:type="dxa" w:w="1320"/>
            <w:tcMar>
              <w:top w:type="dxa" w:w="80"/>
              <w:left w:type="dxa" w:w="120"/>
              <w:bottom w:type="dxa" w:w="80"/>
              <w:right w:type="dxa" w:w="120"/>
            </w:tcMar>
          </w:tcPr>
          <w:p>
            <w:pPr>
              <w:spacing w:after="0" w:line="240"/>
              <w:jc w:val="right"/>
            </w:pPr>
            <w:r>
              <w:rPr>
                <w:sz w:val="19"/>
                <w:szCs w:val="19"/>
              </w:rPr>
              <w:t xml:space="preserve">5.62%</w:t>
            </w:r>
          </w:p>
        </w:tc>
        <w:tc>
          <w:tcPr>
            <w:tcW w:type="dxa" w:w="1320"/>
            <w:tcMar>
              <w:top w:type="dxa" w:w="80"/>
              <w:left w:type="dxa" w:w="120"/>
              <w:bottom w:type="dxa" w:w="80"/>
              <w:right w:type="dxa" w:w="120"/>
            </w:tcMar>
          </w:tcPr>
          <w:p>
            <w:pPr>
              <w:spacing w:after="0" w:line="240"/>
              <w:jc w:val="right"/>
            </w:pPr>
            <w:r>
              <w:rPr>
                <w:sz w:val="19"/>
                <w:szCs w:val="19"/>
              </w:rPr>
              <w:t xml:space="preserve">17.36%</w:t>
            </w:r>
          </w:p>
        </w:tc>
        <w:tc>
          <w:tcPr>
            <w:tcW w:type="dxa" w:w="1320"/>
            <w:tcMar>
              <w:top w:type="dxa" w:w="80"/>
              <w:left w:type="dxa" w:w="120"/>
              <w:bottom w:type="dxa" w:w="80"/>
              <w:right w:type="dxa" w:w="120"/>
            </w:tcMar>
          </w:tcPr>
          <w:p>
            <w:pPr>
              <w:spacing w:after="0" w:line="240"/>
              <w:jc w:val="right"/>
            </w:pPr>
            <w:r>
              <w:rPr>
                <w:sz w:val="19"/>
                <w:szCs w:val="19"/>
              </w:rPr>
              <w:t xml:space="preserve">0.594</w:t>
            </w:r>
          </w:p>
        </w:tc>
        <w:tc>
          <w:tcPr>
            <w:tcW w:type="dxa" w:w="1320"/>
            <w:tcMar>
              <w:top w:type="dxa" w:w="80"/>
              <w:left w:type="dxa" w:w="120"/>
              <w:bottom w:type="dxa" w:w="80"/>
              <w:right w:type="dxa" w:w="120"/>
            </w:tcMar>
          </w:tcPr>
          <w:p>
            <w:pPr>
              <w:spacing w:after="0" w:line="240"/>
              <w:jc w:val="right"/>
            </w:pPr>
            <w:r>
              <w:rPr>
                <w:sz w:val="19"/>
                <w:szCs w:val="19"/>
              </w:rPr>
              <w:t xml:space="preserve">−0.185</w:t>
            </w:r>
          </w:p>
        </w:tc>
        <w:tc>
          <w:tcPr>
            <w:tcW w:type="dxa" w:w="1320"/>
            <w:tcMar>
              <w:top w:type="dxa" w:w="80"/>
              <w:left w:type="dxa" w:w="120"/>
              <w:bottom w:type="dxa" w:w="80"/>
              <w:right w:type="dxa" w:w="120"/>
            </w:tcMar>
          </w:tcPr>
          <w:p>
            <w:pPr>
              <w:spacing w:after="0" w:line="240"/>
              <w:jc w:val="right"/>
            </w:pPr>
            <w:r>
              <w:rPr>
                <w:sz w:val="19"/>
                <w:szCs w:val="19"/>
              </w:rPr>
              <w:t xml:space="preserve">−0.778</w:t>
            </w:r>
          </w:p>
        </w:tc>
      </w:tr>
      <w:tr>
        <w:tc>
          <w:tcPr>
            <w:tcW w:type="dxa" w:w="2760"/>
            <w:tcMar>
              <w:top w:type="dxa" w:w="80"/>
              <w:left w:type="dxa" w:w="120"/>
              <w:bottom w:type="dxa" w:w="80"/>
              <w:right w:type="dxa" w:w="120"/>
            </w:tcMar>
          </w:tcPr>
          <w:p>
            <w:pPr>
              <w:spacing w:after="0" w:line="240"/>
            </w:pPr>
            <w:r>
              <w:rPr>
                <w:rFonts w:ascii="Consolas" w:cs="Consolas" w:eastAsia="Consolas" w:hAnsi="Consolas"/>
                <w:sz w:val="19"/>
                <w:szCs w:val="19"/>
              </w:rPr>
              <w:t xml:space="preserve">hist_gradient_boosting</w:t>
            </w:r>
          </w:p>
        </w:tc>
        <w:tc>
          <w:tcPr>
            <w:tcW w:type="dxa" w:w="1320"/>
            <w:tcMar>
              <w:top w:type="dxa" w:w="80"/>
              <w:left w:type="dxa" w:w="120"/>
              <w:bottom w:type="dxa" w:w="80"/>
              <w:right w:type="dxa" w:w="120"/>
            </w:tcMar>
          </w:tcPr>
          <w:p>
            <w:pPr>
              <w:spacing w:after="0" w:line="240"/>
              <w:jc w:val="right"/>
            </w:pPr>
            <w:r>
              <w:rPr>
                <w:sz w:val="19"/>
                <w:szCs w:val="19"/>
              </w:rPr>
              <w:t xml:space="preserve">4.12%</w:t>
            </w:r>
          </w:p>
        </w:tc>
        <w:tc>
          <w:tcPr>
            <w:tcW w:type="dxa" w:w="1320"/>
            <w:tcMar>
              <w:top w:type="dxa" w:w="80"/>
              <w:left w:type="dxa" w:w="120"/>
              <w:bottom w:type="dxa" w:w="80"/>
              <w:right w:type="dxa" w:w="120"/>
            </w:tcMar>
          </w:tcPr>
          <w:p>
            <w:pPr>
              <w:spacing w:after="0" w:line="240"/>
              <w:jc w:val="right"/>
            </w:pPr>
            <w:r>
              <w:rPr>
                <w:sz w:val="19"/>
                <w:szCs w:val="19"/>
              </w:rPr>
              <w:t xml:space="preserve">10.27%</w:t>
            </w:r>
          </w:p>
        </w:tc>
        <w:tc>
          <w:tcPr>
            <w:tcW w:type="dxa" w:w="1320"/>
            <w:tcMar>
              <w:top w:type="dxa" w:w="80"/>
              <w:left w:type="dxa" w:w="120"/>
              <w:bottom w:type="dxa" w:w="80"/>
              <w:right w:type="dxa" w:w="120"/>
            </w:tcMar>
          </w:tcPr>
          <w:p>
            <w:pPr>
              <w:spacing w:after="0" w:line="240"/>
              <w:jc w:val="right"/>
            </w:pPr>
            <w:r>
              <w:rPr>
                <w:sz w:val="19"/>
                <w:szCs w:val="19"/>
              </w:rPr>
              <w:t xml:space="preserve">0.770</w:t>
            </w:r>
          </w:p>
        </w:tc>
        <w:tc>
          <w:tcPr>
            <w:tcW w:type="dxa" w:w="1320"/>
            <w:tcMar>
              <w:top w:type="dxa" w:w="80"/>
              <w:left w:type="dxa" w:w="120"/>
              <w:bottom w:type="dxa" w:w="80"/>
              <w:right w:type="dxa" w:w="120"/>
            </w:tcMar>
          </w:tcPr>
          <w:p>
            <w:pPr>
              <w:spacing w:after="0" w:line="240"/>
              <w:jc w:val="right"/>
            </w:pPr>
            <w:r>
              <w:rPr>
                <w:sz w:val="19"/>
                <w:szCs w:val="19"/>
              </w:rPr>
              <w:t xml:space="preserve">−0.265</w:t>
            </w:r>
          </w:p>
        </w:tc>
        <w:tc>
          <w:tcPr>
            <w:tcW w:type="dxa" w:w="1320"/>
            <w:tcMar>
              <w:top w:type="dxa" w:w="80"/>
              <w:left w:type="dxa" w:w="120"/>
              <w:bottom w:type="dxa" w:w="80"/>
              <w:right w:type="dxa" w:w="120"/>
            </w:tcMar>
          </w:tcPr>
          <w:p>
            <w:pPr>
              <w:spacing w:after="0" w:line="240"/>
              <w:jc w:val="right"/>
            </w:pPr>
            <w:r>
              <w:rPr>
                <w:sz w:val="19"/>
                <w:szCs w:val="19"/>
              </w:rPr>
              <w:t xml:space="preserve">−1.035</w:t>
            </w:r>
          </w:p>
        </w:tc>
      </w:tr>
      <w:tr>
        <w:tc>
          <w:tcPr>
            <w:tcW w:type="dxa" w:w="2760"/>
            <w:tcMar>
              <w:top w:type="dxa" w:w="80"/>
              <w:left w:type="dxa" w:w="120"/>
              <w:bottom w:type="dxa" w:w="80"/>
              <w:right w:type="dxa" w:w="120"/>
            </w:tcMar>
          </w:tcPr>
          <w:p>
            <w:pPr>
              <w:spacing w:after="0" w:line="240"/>
            </w:pPr>
            <w:r>
              <w:rPr>
                <w:rFonts w:ascii="Consolas" w:cs="Consolas" w:eastAsia="Consolas" w:hAnsi="Consolas"/>
                <w:sz w:val="19"/>
                <w:szCs w:val="19"/>
              </w:rPr>
              <w:t xml:space="preserve">mlp</w:t>
            </w:r>
          </w:p>
        </w:tc>
        <w:tc>
          <w:tcPr>
            <w:tcW w:type="dxa" w:w="1320"/>
            <w:tcMar>
              <w:top w:type="dxa" w:w="80"/>
              <w:left w:type="dxa" w:w="120"/>
              <w:bottom w:type="dxa" w:w="80"/>
              <w:right w:type="dxa" w:w="120"/>
            </w:tcMar>
          </w:tcPr>
          <w:p>
            <w:pPr>
              <w:spacing w:after="0" w:line="240"/>
              <w:jc w:val="right"/>
            </w:pPr>
            <w:r>
              <w:rPr>
                <w:sz w:val="19"/>
                <w:szCs w:val="19"/>
              </w:rPr>
              <w:t xml:space="preserve">4.15%</w:t>
            </w:r>
          </w:p>
        </w:tc>
        <w:tc>
          <w:tcPr>
            <w:tcW w:type="dxa" w:w="1320"/>
            <w:tcMar>
              <w:top w:type="dxa" w:w="80"/>
              <w:left w:type="dxa" w:w="120"/>
              <w:bottom w:type="dxa" w:w="80"/>
              <w:right w:type="dxa" w:w="120"/>
            </w:tcMar>
          </w:tcPr>
          <w:p>
            <w:pPr>
              <w:spacing w:after="0" w:line="240"/>
              <w:jc w:val="right"/>
            </w:pPr>
            <w:r>
              <w:rPr>
                <w:sz w:val="19"/>
                <w:szCs w:val="19"/>
              </w:rPr>
              <w:t xml:space="preserve">14.19%</w:t>
            </w:r>
          </w:p>
        </w:tc>
        <w:tc>
          <w:tcPr>
            <w:tcW w:type="dxa" w:w="1320"/>
            <w:tcMar>
              <w:top w:type="dxa" w:w="80"/>
              <w:left w:type="dxa" w:w="120"/>
              <w:bottom w:type="dxa" w:w="80"/>
              <w:right w:type="dxa" w:w="120"/>
            </w:tcMar>
          </w:tcPr>
          <w:p>
            <w:pPr>
              <w:spacing w:after="0" w:line="240"/>
              <w:jc w:val="right"/>
            </w:pPr>
            <w:r>
              <w:rPr>
                <w:sz w:val="19"/>
                <w:szCs w:val="19"/>
              </w:rPr>
              <w:t xml:space="preserve">0.731</w:t>
            </w:r>
          </w:p>
        </w:tc>
        <w:tc>
          <w:tcPr>
            <w:tcW w:type="dxa" w:w="1320"/>
            <w:tcMar>
              <w:top w:type="dxa" w:w="80"/>
              <w:left w:type="dxa" w:w="120"/>
              <w:bottom w:type="dxa" w:w="80"/>
              <w:right w:type="dxa" w:w="120"/>
            </w:tcMar>
          </w:tcPr>
          <w:p>
            <w:pPr>
              <w:spacing w:after="0" w:line="240"/>
              <w:jc w:val="right"/>
            </w:pPr>
            <w:r>
              <w:rPr>
                <w:sz w:val="19"/>
                <w:szCs w:val="19"/>
              </w:rPr>
              <w:t xml:space="preserve">−0.623</w:t>
            </w:r>
          </w:p>
        </w:tc>
        <w:tc>
          <w:tcPr>
            <w:tcW w:type="dxa" w:w="1320"/>
            <w:tcMar>
              <w:top w:type="dxa" w:w="80"/>
              <w:left w:type="dxa" w:w="120"/>
              <w:bottom w:type="dxa" w:w="80"/>
              <w:right w:type="dxa" w:w="120"/>
            </w:tcMar>
          </w:tcPr>
          <w:p>
            <w:pPr>
              <w:spacing w:after="0" w:line="240"/>
              <w:jc w:val="right"/>
            </w:pPr>
            <w:r>
              <w:rPr>
                <w:sz w:val="19"/>
                <w:szCs w:val="19"/>
              </w:rPr>
              <w:t xml:space="preserve">−1.354</w:t>
            </w:r>
          </w:p>
        </w:tc>
      </w:tr>
    </w:tbl>
    <w:p>
      <w:pPr>
        <w:spacing w:after="180"/>
      </w:pPr>
    </w:p>
    <w:p>
      <w:pPr>
        <w:pStyle w:val="Heading2"/>
        <w:spacing w:after="130" w:before="280"/>
      </w:pPr>
      <w:r>
        <w:rPr>
          <w:b/>
          <w:bCs/>
          <w:color w:val="1B2433"/>
          <w:sz w:val="25"/>
          <w:szCs w:val="25"/>
        </w:rPr>
        <w:t xml:space="preserve">6.1 Reading the table</w:t>
      </w:r>
    </w:p>
    <w:p>
      <w:pPr>
        <w:pStyle w:val="ListParagraph"/>
        <w:numPr>
          <w:ilvl w:val="0"/>
          <w:numId w:val="3"/>
        </w:numPr>
        <w:spacing w:after="90" w:line="276"/>
      </w:pPr>
      <w:r>
        <w:rPr>
          <w:sz w:val="21"/>
          <w:szCs w:val="21"/>
        </w:rPr>
        <w:t xml:space="preserve">Every method loses skill under protocol shift. The question is only how much.</w:t>
      </w:r>
    </w:p>
    <w:p>
      <w:pPr>
        <w:pStyle w:val="ListParagraph"/>
        <w:numPr>
          <w:ilvl w:val="0"/>
          <w:numId w:val="3"/>
        </w:numPr>
        <w:spacing w:after="90" w:line="276"/>
      </w:pPr>
      <w:r>
        <w:rPr>
          <w:sz w:val="21"/>
          <w:szCs w:val="21"/>
        </w:rPr>
        <w:t xml:space="preserve">The most robust method is age_linear, a straight line on cycle count, with Δ = −0.076. It reaches LOCO R² = 0.406 against the best model’s 0.459.</w:t>
      </w:r>
    </w:p>
    <w:p>
      <w:pPr>
        <w:pStyle w:val="ListParagraph"/>
        <w:numPr>
          <w:ilvl w:val="0"/>
          <w:numId w:val="3"/>
        </w:numPr>
        <w:spacing w:after="90" w:line="276"/>
      </w:pPr>
      <w:r>
        <w:rPr>
          <w:sz w:val="21"/>
          <w:szCs w:val="21"/>
        </w:rPr>
        <w:t xml:space="preserve">All behavioural and nonlinear modelling therefore buys approximately 0.05 R² over counting cycles.</w:t>
      </w:r>
    </w:p>
    <w:p>
      <w:pPr>
        <w:pStyle w:val="ListParagraph"/>
        <w:numPr>
          <w:ilvl w:val="0"/>
          <w:numId w:val="3"/>
        </w:numPr>
        <w:spacing w:after="90" w:line="276"/>
      </w:pPr>
      <w:r>
        <w:rPr>
          <w:sz w:val="21"/>
          <w:szCs w:val="21"/>
        </w:rPr>
        <w:t xml:space="preserve">The three methods with the best LOBO R² — random_forest (0.773), hist_gradient_boosting (0.770), mlp (0.731) — rank 5th, 11th and 12th under LOCO. Two of them score below the constant baseline.</w:t>
      </w:r>
    </w:p>
    <w:p>
      <w:pPr>
        <w:spacing w:after="120"/>
      </w:pPr>
    </w:p>
    <w:p>
      <w:pPr>
        <w:spacing w:after="140" w:line="276"/>
      </w:pPr>
      <w:r>
        <w:rPr>
          <w:sz w:val="21"/>
          <w:szCs w:val="21"/>
        </w:rPr>
        <w:t xml:space="preserve">The LSTM and MLP results deserve comment given how commonly such architectures are reported as successful on this dataset. Both achieve competitive LOBO scores and both fall below a constant predictor under protocol shift. This is consistent with them learning the cohort-specific intercept structure rather than a transferable degradation relationship.</w:t>
      </w:r>
    </w:p>
    <w:p>
      <w:r>
        <w:br w:type="page"/>
      </w:r>
    </w:p>
    <w:p>
      <w:pPr>
        <w:pStyle w:val="Heading1"/>
        <w:spacing w:after="170" w:before="380"/>
      </w:pPr>
      <w:r>
        <w:rPr>
          <w:b/>
          <w:bCs/>
          <w:color w:val="111826"/>
          <w:sz w:val="30"/>
          <w:szCs w:val="30"/>
        </w:rPr>
        <w:t xml:space="preserve">7. The Reversible Thermal Offset</w:t>
      </w:r>
    </w:p>
    <w:p>
      <w:pPr>
        <w:spacing w:after="140" w:line="276"/>
      </w:pPr>
      <w:r>
        <w:rPr>
          <w:sz w:val="21"/>
          <w:szCs w:val="21"/>
        </w:rPr>
        <w:t xml:space="preserve">Section 5 established the cross-cohort collapse statistically. This section gives it a measurement explanation, which is the part most likely to interest a reader with electrochemical background.</w:t>
      </w:r>
    </w:p>
    <w:p>
      <w:pPr>
        <w:pStyle w:val="Heading2"/>
        <w:spacing w:after="130" w:before="280"/>
      </w:pPr>
      <w:r>
        <w:rPr>
          <w:b/>
          <w:bCs/>
          <w:color w:val="1B2433"/>
          <w:sz w:val="25"/>
          <w:szCs w:val="25"/>
        </w:rPr>
        <w:t xml:space="preserve">7.1 Observation</w:t>
      </w:r>
    </w:p>
    <w:p>
      <w:pPr>
        <w:spacing w:after="140" w:line="276"/>
      </w:pPr>
      <w:r>
        <w:rPr>
          <w:sz w:val="21"/>
          <w:szCs w:val="21"/>
        </w:rPr>
        <w:t xml:space="preserve">Apparent state of health measured at cycle index ≤ 20 — that is, before meaningful degradation is possible — varies systematically with ambient temperature:</w:t>
      </w:r>
    </w:p>
    <w:tbl>
      <w:tblPr>
        <w:tblW w:type="dxa" w:w="6200"/>
        <w:tblBorders>
          <w:top w:val="single" w:color="B9C2CE" w:sz="4"/>
          <w:left w:val="none"/>
          <w:bottom w:val="single" w:color="B9C2CE" w:sz="4"/>
          <w:right w:val="none"/>
          <w:insideH w:val="single" w:color="E1E6EC" w:sz="2"/>
          <w:insideV w:val="none"/>
        </w:tblBorders>
      </w:tblPr>
      <w:tblGrid>
        <w:gridCol w:w="3000"/>
        <w:gridCol w:w="3200"/>
      </w:tblGrid>
      <w:tr>
        <w:trPr>
          <w:tblHeader/>
        </w:trPr>
        <w:tc>
          <w:tcPr>
            <w:tcW w:type="dxa" w:w="3000"/>
            <w:shd w:fill="EEF2F6" w:val="clear"/>
            <w:tcMar>
              <w:top w:type="dxa" w:w="80"/>
              <w:left w:type="dxa" w:w="120"/>
              <w:bottom w:type="dxa" w:w="80"/>
              <w:right w:type="dxa" w:w="120"/>
            </w:tcMar>
          </w:tcPr>
          <w:p>
            <w:pPr>
              <w:spacing w:after="0" w:line="240"/>
            </w:pPr>
            <w:r>
              <w:rPr>
                <w:b/>
                <w:bCs/>
                <w:sz w:val="19"/>
                <w:szCs w:val="19"/>
              </w:rPr>
              <w:t xml:space="preserve">Ambient</w:t>
            </w:r>
          </w:p>
        </w:tc>
        <w:tc>
          <w:tcPr>
            <w:tcW w:type="dxa" w:w="3200"/>
            <w:shd w:fill="EEF2F6" w:val="clear"/>
            <w:tcMar>
              <w:top w:type="dxa" w:w="80"/>
              <w:left w:type="dxa" w:w="120"/>
              <w:bottom w:type="dxa" w:w="80"/>
              <w:right w:type="dxa" w:w="120"/>
            </w:tcMar>
          </w:tcPr>
          <w:p>
            <w:pPr>
              <w:spacing w:after="0" w:line="240"/>
              <w:jc w:val="right"/>
            </w:pPr>
            <w:r>
              <w:rPr>
                <w:b/>
                <w:bCs/>
                <w:sz w:val="19"/>
                <w:szCs w:val="19"/>
              </w:rPr>
              <w:t xml:space="preserve">Apparent SOH at cycle ≤ 20</w:t>
            </w:r>
          </w:p>
        </w:tc>
      </w:tr>
      <w:tr>
        <w:tc>
          <w:tcPr>
            <w:tcW w:type="dxa" w:w="3000"/>
            <w:tcMar>
              <w:top w:type="dxa" w:w="80"/>
              <w:left w:type="dxa" w:w="120"/>
              <w:bottom w:type="dxa" w:w="80"/>
              <w:right w:type="dxa" w:w="120"/>
            </w:tcMar>
          </w:tcPr>
          <w:p>
            <w:pPr>
              <w:spacing w:after="0" w:line="240"/>
            </w:pPr>
            <w:r>
              <w:rPr>
                <w:sz w:val="19"/>
                <w:szCs w:val="19"/>
              </w:rPr>
              <w:t xml:space="preserve">4 °C</w:t>
            </w:r>
          </w:p>
        </w:tc>
        <w:tc>
          <w:tcPr>
            <w:tcW w:type="dxa" w:w="3200"/>
            <w:tcMar>
              <w:top w:type="dxa" w:w="80"/>
              <w:left w:type="dxa" w:w="120"/>
              <w:bottom w:type="dxa" w:w="80"/>
              <w:right w:type="dxa" w:w="120"/>
            </w:tcMar>
          </w:tcPr>
          <w:p>
            <w:pPr>
              <w:spacing w:after="0" w:line="240"/>
              <w:jc w:val="right"/>
            </w:pPr>
            <w:r>
              <w:rPr>
                <w:sz w:val="19"/>
                <w:szCs w:val="19"/>
              </w:rPr>
              <w:t xml:space="preserve">0.918</w:t>
            </w:r>
          </w:p>
        </w:tc>
      </w:tr>
      <w:tr>
        <w:tc>
          <w:tcPr>
            <w:tcW w:type="dxa" w:w="3000"/>
            <w:tcMar>
              <w:top w:type="dxa" w:w="80"/>
              <w:left w:type="dxa" w:w="120"/>
              <w:bottom w:type="dxa" w:w="80"/>
              <w:right w:type="dxa" w:w="120"/>
            </w:tcMar>
          </w:tcPr>
          <w:p>
            <w:pPr>
              <w:spacing w:after="0" w:line="240"/>
            </w:pPr>
            <w:r>
              <w:rPr>
                <w:sz w:val="19"/>
                <w:szCs w:val="19"/>
              </w:rPr>
              <w:t xml:space="preserve">44 °C</w:t>
            </w:r>
          </w:p>
        </w:tc>
        <w:tc>
          <w:tcPr>
            <w:tcW w:type="dxa" w:w="3200"/>
            <w:tcMar>
              <w:top w:type="dxa" w:w="80"/>
              <w:left w:type="dxa" w:w="120"/>
              <w:bottom w:type="dxa" w:w="80"/>
              <w:right w:type="dxa" w:w="120"/>
            </w:tcMar>
          </w:tcPr>
          <w:p>
            <w:pPr>
              <w:spacing w:after="0" w:line="240"/>
              <w:jc w:val="right"/>
            </w:pPr>
            <w:r>
              <w:rPr>
                <w:sz w:val="19"/>
                <w:szCs w:val="19"/>
              </w:rPr>
              <w:t xml:space="preserve">0.999</w:t>
            </w:r>
          </w:p>
        </w:tc>
      </w:tr>
    </w:tbl>
    <w:p>
      <w:pPr>
        <w:spacing w:after="180"/>
      </w:pPr>
    </w:p>
    <w:p>
      <w:pPr>
        <w:spacing w:after="140" w:line="276"/>
      </w:pPr>
      <w:r>
        <w:rPr>
          <w:sz w:val="21"/>
          <w:szCs w:val="21"/>
        </w:rPr>
        <w:t xml:space="preserve">An 8-point spread in apparent SOH exists before any cell has aged. This is a reversible thermal offset in the measurement, not degradation: at low temperature, increased internal resistance and reduced reaction kinetics curtail the discharge at the cutoff voltage, so less capacity is extracted from an undegraded cell.</w:t>
      </w:r>
    </w:p>
    <w:p>
      <w:pPr>
        <w:pStyle w:val="Heading2"/>
        <w:spacing w:after="130" w:before="280"/>
      </w:pPr>
      <w:r>
        <w:rPr>
          <w:b/>
          <w:bCs/>
          <w:color w:val="1B2433"/>
          <w:sz w:val="25"/>
          <w:szCs w:val="25"/>
        </w:rPr>
        <w:t xml:space="preserve">7.2 Why it inverts the cross-cohort relationship</w:t>
      </w:r>
    </w:p>
    <w:p>
      <w:pPr>
        <w:spacing w:after="140" w:line="276"/>
      </w:pPr>
      <w:r>
        <w:rPr>
          <w:sz w:val="21"/>
          <w:szCs w:val="21"/>
        </w:rPr>
        <w:t xml:space="preserve">Within a fixed-ambient cohort the offset is a constant, so it shifts the intercept and leaves the within-cohort temperature-versus-fade relationship intact. That relationship is real, cohort-controlled and statistically significant.</w:t>
      </w:r>
    </w:p>
    <w:p>
      <w:pPr>
        <w:spacing w:after="140" w:line="276"/>
      </w:pPr>
      <w:r>
        <w:rPr>
          <w:sz w:val="21"/>
          <w:szCs w:val="21"/>
        </w:rPr>
        <w:t xml:space="preserve">Across cohorts the offset switches on, and it is anti-correlated with genuine thermal aging: hot cells show higher apparent capacity from the offset, while simultaneously degrading faster in truth. The two effects oppose, the offset dominates at low cycle counts, and the apparent sign of the relationship reverses.</w:t>
      </w:r>
    </w:p>
    <w:tbl>
      <w:tblPr>
        <w:tblW w:type="dxa" w:w="9360"/>
        <w:tblBorders>
          <w:top w:val="single" w:color="DDE5DF" w:sz="2"/>
          <w:left w:val="single" w:color="B3261E" w:sz="18"/>
          <w:bottom w:val="single" w:color="DDE5DF" w:sz="2"/>
          <w:right w:val="single" w:color="DDE5DF" w:sz="2"/>
          <w:insideH w:val="none"/>
          <w:insideV w:val="none"/>
        </w:tblBorders>
      </w:tblPr>
      <w:tblGrid>
        <w:gridCol w:w="9360"/>
      </w:tblGrid>
      <w:tr>
        <w:tc>
          <w:tcPr>
            <w:tcW w:type="dxa" w:w="9360"/>
            <w:shd w:fill="FBF0EF" w:val="clear"/>
            <w:tcMar>
              <w:top w:type="dxa" w:w="140"/>
              <w:left w:type="dxa" w:w="200"/>
              <w:bottom w:type="dxa" w:w="140"/>
              <w:right w:type="dxa" w:w="200"/>
            </w:tcMar>
          </w:tcPr>
          <w:p>
            <w:pPr>
              <w:spacing w:after="0" w:line="276"/>
            </w:pPr>
            <w:r>
              <w:rPr>
                <w:b/>
                <w:bCs/>
                <w:sz w:val="21"/>
                <w:szCs w:val="21"/>
              </w:rPr>
              <w:t xml:space="preserve">Consequence for the feature layer. </w:t>
            </w:r>
            <w:r>
              <w:rPr>
                <w:sz w:val="21"/>
                <w:szCs w:val="21"/>
              </w:rPr>
              <w:t xml:space="preserve">The current-based signals avg_stress and aggressive_discharge_count are significant and positive in room-temperature cohorts, and significant and negative in cold cohorts. A model fitted across cohorts without accounting for the offset is fitting a sign change.</w:t>
            </w:r>
          </w:p>
        </w:tc>
      </w:tr>
    </w:tbl>
    <w:p>
      <w:pPr>
        <w:spacing w:after="180"/>
      </w:pPr>
    </w:p>
    <w:p>
      <w:pPr>
        <w:spacing w:after="140" w:line="276"/>
      </w:pPr>
      <w:r>
        <w:rPr>
          <w:sz w:val="21"/>
          <w:szCs w:val="21"/>
        </w:rPr>
        <w:t xml:space="preserve">This is a strong argument for capacity normalisation at a controlled reference temperature before any cross-protocol comparison — a step this project does not perform, and which Section 11 lists as the most valuable single piece of future work.</w:t>
      </w:r>
    </w:p>
    <w:p>
      <w:r>
        <w:br w:type="page"/>
      </w:r>
    </w:p>
    <w:p>
      <w:pPr>
        <w:pStyle w:val="Heading1"/>
        <w:spacing w:after="170" w:before="380"/>
      </w:pPr>
      <w:r>
        <w:rPr>
          <w:b/>
          <w:bCs/>
          <w:color w:val="111826"/>
          <w:sz w:val="30"/>
          <w:szCs w:val="30"/>
        </w:rPr>
        <w:t xml:space="preserve">8. Estimator Variance and Withdrawn Claims</w:t>
      </w:r>
    </w:p>
    <w:p>
      <w:pPr>
        <w:spacing w:after="140" w:line="276"/>
      </w:pPr>
      <w:r>
        <w:rPr>
          <w:sz w:val="21"/>
          <w:szCs w:val="21"/>
        </w:rPr>
        <w:t xml:space="preserve">Five ranking claims had been made and withdrawn by the midpoint of this work. Rather than make a sixth, a designed experiment of 220 measurements was run to determine why they were failing to replicate.</w:t>
      </w:r>
    </w:p>
    <w:p>
      <w:pPr>
        <w:pStyle w:val="Heading2"/>
        <w:spacing w:after="130" w:before="280"/>
      </w:pPr>
      <w:r>
        <w:rPr>
          <w:b/>
          <w:bCs/>
          <w:color w:val="1B2433"/>
          <w:sz w:val="25"/>
          <w:szCs w:val="25"/>
        </w:rPr>
        <w:t xml:space="preserve">8.1 The coverage hypothesis, refuted</w:t>
      </w:r>
    </w:p>
    <w:p>
      <w:pPr>
        <w:spacing w:after="140" w:line="276"/>
      </w:pPr>
      <w:r>
        <w:rPr>
          <w:sz w:val="21"/>
          <w:szCs w:val="21"/>
        </w:rPr>
        <w:t xml:space="preserve">The proposed explanation was that the LOBO-to-LOCO gap reflects cohort coverage — that more cohorts in training would close it. This was refuted: the one dataset showing a significant raw correlation lost it entirely once training-set size was regressed out. On the replication, raw ρ(cohorts, gap) = +0.126, p = 0.217, n = 98.</w:t>
      </w:r>
    </w:p>
    <w:p>
      <w:pPr>
        <w:pStyle w:val="Heading2"/>
        <w:spacing w:after="130" w:before="280"/>
      </w:pPr>
      <w:r>
        <w:rPr>
          <w:b/>
          <w:bCs/>
          <w:color w:val="1B2433"/>
          <w:sz w:val="25"/>
          <w:szCs w:val="25"/>
        </w:rPr>
        <w:t xml:space="preserve">8.2 What the experiment did establish</w:t>
      </w:r>
    </w:p>
    <w:p>
      <w:pPr>
        <w:spacing w:after="140" w:line="276"/>
      </w:pPr>
      <w:r>
        <w:rPr>
          <w:sz w:val="21"/>
          <w:szCs w:val="21"/>
        </w:rPr>
        <w:t xml:space="preserve">The LOCO estimate has an interquartile range across cohort draws of 0.724 R², against a median difference between a nonlinear model and a straight line on cycle count of 0.351 R².</w:t>
      </w:r>
    </w:p>
    <w:tbl>
      <w:tblPr>
        <w:tblW w:type="dxa" w:w="9360"/>
        <w:tblBorders>
          <w:top w:val="single" w:color="DDE5DF" w:sz="2"/>
          <w:left w:val="single" w:color="B3261E" w:sz="18"/>
          <w:bottom w:val="single" w:color="DDE5DF" w:sz="2"/>
          <w:right w:val="single" w:color="DDE5DF" w:sz="2"/>
          <w:insideH w:val="none"/>
          <w:insideV w:val="none"/>
        </w:tblBorders>
      </w:tblPr>
      <w:tblGrid>
        <w:gridCol w:w="9360"/>
      </w:tblGrid>
      <w:tr>
        <w:tc>
          <w:tcPr>
            <w:tcW w:type="dxa" w:w="9360"/>
            <w:shd w:fill="FBF0EF" w:val="clear"/>
            <w:tcMar>
              <w:top w:type="dxa" w:w="140"/>
              <w:left w:type="dxa" w:w="200"/>
              <w:bottom w:type="dxa" w:w="140"/>
              <w:right w:type="dxa" w:w="200"/>
            </w:tcMar>
          </w:tcPr>
          <w:p>
            <w:pPr>
              <w:spacing w:after="0" w:line="276"/>
            </w:pPr>
            <w:r>
              <w:rPr>
                <w:b/>
                <w:bCs/>
                <w:sz w:val="21"/>
                <w:szCs w:val="21"/>
              </w:rPr>
              <w:t xml:space="preserve">The measurement is approximately twice as noisy as the effect it is being used to rank. Every ranking claim failed to replicate because the instrument could not resolve the quantity.</w:t>
            </w:r>
          </w:p>
        </w:tc>
      </w:tr>
    </w:tbl>
    <w:p>
      <w:pPr>
        <w:spacing w:after="180"/>
      </w:pPr>
    </w:p>
    <w:p>
      <w:pPr>
        <w:pStyle w:val="Heading2"/>
        <w:spacing w:after="130" w:before="280"/>
      </w:pPr>
      <w:r>
        <w:rPr>
          <w:b/>
          <w:bCs/>
          <w:color w:val="1B2433"/>
          <w:sz w:val="25"/>
          <w:szCs w:val="25"/>
        </w:rPr>
        <w:t xml:space="preserve">8.3 Self-correction against a corrected target</w:t>
      </w:r>
    </w:p>
    <w:p>
      <w:pPr>
        <w:spacing w:after="140" w:line="276"/>
      </w:pPr>
      <w:r>
        <w:rPr>
          <w:sz w:val="21"/>
          <w:szCs w:val="21"/>
        </w:rPr>
        <w:t xml:space="preserve">That result was then itself re-examined against a corrected target derivation — same cells, same features, same two methods, same machinery, differing only in how the target was derived, restricted to the three coverage levels both runs draw fully (k = 3, 4, 5).</w:t>
      </w:r>
    </w:p>
    <w:tbl>
      <w:tblPr>
        <w:tblW w:type="dxa" w:w="9360"/>
        <w:tblBorders>
          <w:top w:val="single" w:color="B9C2CE" w:sz="4"/>
          <w:left w:val="none"/>
          <w:bottom w:val="single" w:color="B9C2CE" w:sz="4"/>
          <w:right w:val="none"/>
          <w:insideH w:val="single" w:color="E1E6EC" w:sz="2"/>
          <w:insideV w:val="none"/>
        </w:tblBorders>
      </w:tblPr>
      <w:tblGrid>
        <w:gridCol w:w="4000"/>
        <w:gridCol w:w="2680"/>
        <w:gridCol w:w="2680"/>
      </w:tblGrid>
      <w:tr>
        <w:trPr>
          <w:tblHeader/>
        </w:trPr>
        <w:tc>
          <w:tcPr>
            <w:tcW w:type="dxa" w:w="4000"/>
            <w:shd w:fill="EEF2F6" w:val="clear"/>
            <w:tcMar>
              <w:top w:type="dxa" w:w="80"/>
              <w:left w:type="dxa" w:w="120"/>
              <w:bottom w:type="dxa" w:w="80"/>
              <w:right w:type="dxa" w:w="120"/>
            </w:tcMar>
          </w:tcPr>
          <w:p>
            <w:pPr>
              <w:spacing w:after="0" w:line="240"/>
            </w:pPr>
            <w:r>
              <w:rPr>
                <w:b/>
                <w:bCs/>
                <w:sz w:val="19"/>
                <w:szCs w:val="19"/>
              </w:rPr>
              <w:t xml:space="preserve">Quantity</w:t>
            </w:r>
          </w:p>
        </w:tc>
        <w:tc>
          <w:tcPr>
            <w:tcW w:type="dxa" w:w="2680"/>
            <w:shd w:fill="EEF2F6" w:val="clear"/>
            <w:tcMar>
              <w:top w:type="dxa" w:w="80"/>
              <w:left w:type="dxa" w:w="120"/>
              <w:bottom w:type="dxa" w:w="80"/>
              <w:right w:type="dxa" w:w="120"/>
            </w:tcMar>
          </w:tcPr>
          <w:p>
            <w:pPr>
              <w:spacing w:after="0" w:line="240"/>
              <w:jc w:val="right"/>
            </w:pPr>
            <w:r>
              <w:rPr>
                <w:b/>
                <w:bCs/>
                <w:sz w:val="19"/>
                <w:szCs w:val="19"/>
              </w:rPr>
              <w:t xml:space="preserve">Cycle_Index target</w:t>
            </w:r>
          </w:p>
        </w:tc>
        <w:tc>
          <w:tcPr>
            <w:tcW w:type="dxa" w:w="2680"/>
            <w:shd w:fill="EEF2F6" w:val="clear"/>
            <w:tcMar>
              <w:top w:type="dxa" w:w="80"/>
              <w:left w:type="dxa" w:w="120"/>
              <w:bottom w:type="dxa" w:w="80"/>
              <w:right w:type="dxa" w:w="120"/>
            </w:tcMar>
          </w:tcPr>
          <w:p>
            <w:pPr>
              <w:spacing w:after="0" w:line="240"/>
              <w:jc w:val="right"/>
            </w:pPr>
            <w:r>
              <w:rPr>
                <w:b/>
                <w:bCs/>
                <w:sz w:val="19"/>
                <w:szCs w:val="19"/>
              </w:rPr>
              <w:t xml:space="preserve">Full-discharge target</w:t>
            </w:r>
          </w:p>
        </w:tc>
      </w:tr>
      <w:tr>
        <w:tc>
          <w:tcPr>
            <w:tcW w:type="dxa" w:w="4000"/>
            <w:tcMar>
              <w:top w:type="dxa" w:w="80"/>
              <w:left w:type="dxa" w:w="120"/>
              <w:bottom w:type="dxa" w:w="80"/>
              <w:right w:type="dxa" w:w="120"/>
            </w:tcMar>
          </w:tcPr>
          <w:p>
            <w:pPr>
              <w:spacing w:after="0" w:line="240"/>
            </w:pPr>
            <w:r>
              <w:rPr>
                <w:sz w:val="19"/>
                <w:szCs w:val="19"/>
              </w:rPr>
              <w:t xml:space="preserve">LOCO IQR of the gap</w:t>
            </w:r>
          </w:p>
        </w:tc>
        <w:tc>
          <w:tcPr>
            <w:tcW w:type="dxa" w:w="2680"/>
            <w:tcMar>
              <w:top w:type="dxa" w:w="80"/>
              <w:left w:type="dxa" w:w="120"/>
              <w:bottom w:type="dxa" w:w="80"/>
              <w:right w:type="dxa" w:w="120"/>
            </w:tcMar>
          </w:tcPr>
          <w:p>
            <w:pPr>
              <w:spacing w:after="0" w:line="240"/>
              <w:jc w:val="right"/>
            </w:pPr>
            <w:r>
              <w:rPr>
                <w:sz w:val="19"/>
                <w:szCs w:val="19"/>
              </w:rPr>
              <w:t xml:space="preserve">0.892</w:t>
            </w:r>
          </w:p>
        </w:tc>
        <w:tc>
          <w:tcPr>
            <w:tcW w:type="dxa" w:w="2680"/>
            <w:tcMar>
              <w:top w:type="dxa" w:w="80"/>
              <w:left w:type="dxa" w:w="120"/>
              <w:bottom w:type="dxa" w:w="80"/>
              <w:right w:type="dxa" w:w="120"/>
            </w:tcMar>
          </w:tcPr>
          <w:p>
            <w:pPr>
              <w:spacing w:after="0" w:line="240"/>
              <w:jc w:val="right"/>
            </w:pPr>
            <w:r>
              <w:rPr>
                <w:sz w:val="19"/>
                <w:szCs w:val="19"/>
              </w:rPr>
              <w:t xml:space="preserve">0.296</w:t>
            </w:r>
          </w:p>
        </w:tc>
      </w:tr>
      <w:tr>
        <w:tc>
          <w:tcPr>
            <w:tcW w:type="dxa" w:w="4000"/>
            <w:tcMar>
              <w:top w:type="dxa" w:w="80"/>
              <w:left w:type="dxa" w:w="120"/>
              <w:bottom w:type="dxa" w:w="80"/>
              <w:right w:type="dxa" w:w="120"/>
            </w:tcMar>
          </w:tcPr>
          <w:p>
            <w:pPr>
              <w:spacing w:after="0" w:line="240"/>
            </w:pPr>
            <w:r>
              <w:rPr>
                <w:sz w:val="19"/>
                <w:szCs w:val="19"/>
              </w:rPr>
              <w:t xml:space="preserve">Median paired svr_rbf − age_linear</w:t>
            </w:r>
          </w:p>
        </w:tc>
        <w:tc>
          <w:tcPr>
            <w:tcW w:type="dxa" w:w="2680"/>
            <w:tcMar>
              <w:top w:type="dxa" w:w="80"/>
              <w:left w:type="dxa" w:w="120"/>
              <w:bottom w:type="dxa" w:w="80"/>
              <w:right w:type="dxa" w:w="120"/>
            </w:tcMar>
          </w:tcPr>
          <w:p>
            <w:pPr>
              <w:spacing w:after="0" w:line="240"/>
              <w:jc w:val="right"/>
            </w:pPr>
            <w:r>
              <w:rPr>
                <w:sz w:val="19"/>
                <w:szCs w:val="19"/>
              </w:rPr>
              <w:t xml:space="preserve">−0.336</w:t>
            </w:r>
          </w:p>
        </w:tc>
        <w:tc>
          <w:tcPr>
            <w:tcW w:type="dxa" w:w="2680"/>
            <w:tcMar>
              <w:top w:type="dxa" w:w="80"/>
              <w:left w:type="dxa" w:w="120"/>
              <w:bottom w:type="dxa" w:w="80"/>
              <w:right w:type="dxa" w:w="120"/>
            </w:tcMar>
          </w:tcPr>
          <w:p>
            <w:pPr>
              <w:spacing w:after="0" w:line="240"/>
              <w:jc w:val="right"/>
            </w:pPr>
            <w:r>
              <w:rPr>
                <w:sz w:val="19"/>
                <w:szCs w:val="19"/>
              </w:rPr>
              <w:t xml:space="preserve">−0.110</w:t>
            </w:r>
          </w:p>
        </w:tc>
      </w:tr>
      <w:tr>
        <w:tc>
          <w:tcPr>
            <w:tcW w:type="dxa" w:w="4000"/>
            <w:tcMar>
              <w:top w:type="dxa" w:w="80"/>
              <w:left w:type="dxa" w:w="120"/>
              <w:bottom w:type="dxa" w:w="80"/>
              <w:right w:type="dxa" w:w="120"/>
            </w:tcMar>
          </w:tcPr>
          <w:p>
            <w:pPr>
              <w:spacing w:after="0" w:line="240"/>
            </w:pPr>
            <w:r>
              <w:rPr>
                <w:sz w:val="19"/>
                <w:szCs w:val="19"/>
              </w:rPr>
              <w:t xml:space="preserve">Draws where svr_rbf wins</w:t>
            </w:r>
          </w:p>
        </w:tc>
        <w:tc>
          <w:tcPr>
            <w:tcW w:type="dxa" w:w="2680"/>
            <w:tcMar>
              <w:top w:type="dxa" w:w="80"/>
              <w:left w:type="dxa" w:w="120"/>
              <w:bottom w:type="dxa" w:w="80"/>
              <w:right w:type="dxa" w:w="120"/>
            </w:tcMar>
          </w:tcPr>
          <w:p>
            <w:pPr>
              <w:spacing w:after="0" w:line="240"/>
              <w:jc w:val="right"/>
            </w:pPr>
            <w:r>
              <w:rPr>
                <w:sz w:val="19"/>
                <w:szCs w:val="19"/>
              </w:rPr>
              <w:t xml:space="preserve">13.9%</w:t>
            </w:r>
          </w:p>
        </w:tc>
        <w:tc>
          <w:tcPr>
            <w:tcW w:type="dxa" w:w="2680"/>
            <w:tcMar>
              <w:top w:type="dxa" w:w="80"/>
              <w:left w:type="dxa" w:w="120"/>
              <w:bottom w:type="dxa" w:w="80"/>
              <w:right w:type="dxa" w:w="120"/>
            </w:tcMar>
          </w:tcPr>
          <w:p>
            <w:pPr>
              <w:spacing w:after="0" w:line="240"/>
              <w:jc w:val="right"/>
            </w:pPr>
            <w:r>
              <w:rPr>
                <w:sz w:val="19"/>
                <w:szCs w:val="19"/>
              </w:rPr>
              <w:t xml:space="preserve">38.9%</w:t>
            </w:r>
          </w:p>
        </w:tc>
      </w:tr>
      <w:tr>
        <w:tc>
          <w:tcPr>
            <w:tcW w:type="dxa" w:w="4000"/>
            <w:tcMar>
              <w:top w:type="dxa" w:w="80"/>
              <w:left w:type="dxa" w:w="120"/>
              <w:bottom w:type="dxa" w:w="80"/>
              <w:right w:type="dxa" w:w="120"/>
            </w:tcMar>
          </w:tcPr>
          <w:p>
            <w:pPr>
              <w:spacing w:after="0" w:line="240"/>
            </w:pPr>
            <w:r>
              <w:rPr>
                <w:sz w:val="19"/>
                <w:szCs w:val="19"/>
              </w:rPr>
              <w:t xml:space="preserve">Noise-to-effect ratio</w:t>
            </w:r>
          </w:p>
        </w:tc>
        <w:tc>
          <w:tcPr>
            <w:tcW w:type="dxa" w:w="2680"/>
            <w:tcMar>
              <w:top w:type="dxa" w:w="80"/>
              <w:left w:type="dxa" w:w="120"/>
              <w:bottom w:type="dxa" w:w="80"/>
              <w:right w:type="dxa" w:w="120"/>
            </w:tcMar>
          </w:tcPr>
          <w:p>
            <w:pPr>
              <w:spacing w:after="0" w:line="240"/>
              <w:jc w:val="right"/>
            </w:pPr>
            <w:r>
              <w:rPr>
                <w:sz w:val="19"/>
                <w:szCs w:val="19"/>
              </w:rPr>
              <w:t xml:space="preserve">2.66</w:t>
            </w:r>
          </w:p>
        </w:tc>
        <w:tc>
          <w:tcPr>
            <w:tcW w:type="dxa" w:w="2680"/>
            <w:tcMar>
              <w:top w:type="dxa" w:w="80"/>
              <w:left w:type="dxa" w:w="120"/>
              <w:bottom w:type="dxa" w:w="80"/>
              <w:right w:type="dxa" w:w="120"/>
            </w:tcMar>
          </w:tcPr>
          <w:p>
            <w:pPr>
              <w:spacing w:after="0" w:line="240"/>
              <w:jc w:val="right"/>
            </w:pPr>
            <w:r>
              <w:rPr>
                <w:sz w:val="19"/>
                <w:szCs w:val="19"/>
              </w:rPr>
              <w:t xml:space="preserve">2.70</w:t>
            </w:r>
          </w:p>
        </w:tc>
      </w:tr>
    </w:tbl>
    <w:p>
      <w:pPr>
        <w:spacing w:after="180"/>
      </w:pPr>
    </w:p>
    <w:p>
      <w:pPr>
        <w:spacing w:after="140" w:line="276"/>
      </w:pPr>
      <w:r>
        <w:rPr>
          <w:sz w:val="21"/>
          <w:szCs w:val="21"/>
        </w:rPr>
        <w:t xml:space="preserve">The IQR reduction is 0.596 R², bootstrap 95% confidence interval [0.335, 0.936] over 4,000 resamples; the corrected estimate is smaller in every resample. Three distinct conclusions follow, and they are not the same conclusion:</w:t>
      </w:r>
    </w:p>
    <w:p>
      <w:pPr>
        <w:pStyle w:val="ListParagraph"/>
        <w:numPr>
          <w:ilvl w:val="0"/>
          <w:numId w:val="2"/>
        </w:numPr>
        <w:spacing w:after="90" w:line="276"/>
      </w:pPr>
      <w:r>
        <w:rPr>
          <w:sz w:val="21"/>
          <w:szCs w:val="21"/>
        </w:rPr>
        <w:t xml:space="preserve">The claim survives as a ratio. 2.70 against 2.66 — the estimator is several times noisier than the effect on both derivations. This is not an artefact of the target.</w:t>
      </w:r>
    </w:p>
    <w:p>
      <w:pPr>
        <w:pStyle w:val="ListParagraph"/>
        <w:numPr>
          <w:ilvl w:val="0"/>
          <w:numId w:val="2"/>
        </w:numPr>
        <w:spacing w:after="90" w:line="276"/>
      </w:pPr>
      <w:r>
        <w:rPr>
          <w:sz w:val="21"/>
          <w:szCs w:val="21"/>
        </w:rPr>
        <w:t xml:space="preserve">The magnitudes were inflated approximately threefold. Quoting 0.724 or 0.351 as a property of leave-one-cohort-out in general overstates it by that factor; those figures describe that estimator on that frame.</w:t>
      </w:r>
    </w:p>
    <w:p>
      <w:pPr>
        <w:pStyle w:val="ListParagraph"/>
        <w:numPr>
          <w:ilvl w:val="0"/>
          <w:numId w:val="2"/>
        </w:numPr>
        <w:spacing w:after="90" w:line="276"/>
      </w:pPr>
      <w:r>
        <w:rPr>
          <w:sz w:val="21"/>
          <w:szCs w:val="21"/>
        </w:rPr>
        <w:t xml:space="preserve">The mechanism does not survive. On the Cycle_Index target svr_rbf collapsed hardest; on the corrected target the ordering inverts. “The flexible method transfers worst” is the sixth withdrawn ranking claim.</w:t>
      </w:r>
    </w:p>
    <w:p>
      <w:pPr>
        <w:pStyle w:val="Heading2"/>
        <w:spacing w:after="130" w:before="280"/>
      </w:pPr>
      <w:r>
        <w:rPr>
          <w:b/>
          <w:bCs/>
          <w:color w:val="1B2433"/>
          <w:sz w:val="25"/>
          <w:szCs w:val="25"/>
        </w:rPr>
        <w:t xml:space="preserve">8.4 Standing position</w:t>
      </w:r>
    </w:p>
    <w:tbl>
      <w:tblPr>
        <w:tblW w:type="dxa" w:w="9360"/>
        <w:tblBorders>
          <w:top w:val="single" w:color="DDE5DF" w:sz="2"/>
          <w:left w:val="single" w:color="1F6F4A" w:sz="18"/>
          <w:bottom w:val="single" w:color="DDE5DF" w:sz="2"/>
          <w:right w:val="single" w:color="DDE5DF" w:sz="2"/>
          <w:insideH w:val="none"/>
          <w:insideV w:val="none"/>
        </w:tblBorders>
      </w:tblPr>
      <w:tblGrid>
        <w:gridCol w:w="9360"/>
      </w:tblGrid>
      <w:tr>
        <w:tc>
          <w:tcPr>
            <w:tcW w:type="dxa" w:w="9360"/>
            <w:shd w:fill="F1F7F3" w:val="clear"/>
            <w:tcMar>
              <w:top w:type="dxa" w:w="140"/>
              <w:left w:type="dxa" w:w="200"/>
              <w:bottom w:type="dxa" w:w="140"/>
              <w:right w:type="dxa" w:w="200"/>
            </w:tcMar>
          </w:tcPr>
          <w:p>
            <w:pPr>
              <w:spacing w:after="0" w:line="276"/>
            </w:pPr>
            <w:r>
              <w:rPr>
                <w:sz w:val="21"/>
                <w:szCs w:val="21"/>
              </w:rPr>
              <w:t xml:space="preserve">At the sample sizes standard battery datasets provide, a single leave-one-cohort-out estimate cannot distinguish between candidate methods and must be reported as an interval.</w:t>
            </w:r>
          </w:p>
        </w:tc>
      </w:tr>
    </w:tbl>
    <w:p>
      <w:pPr>
        <w:spacing w:after="160"/>
      </w:pPr>
    </w:p>
    <w:p>
      <w:pPr>
        <w:spacing w:after="140" w:line="276"/>
      </w:pPr>
      <w:r>
        <w:rPr>
          <w:sz w:val="21"/>
          <w:szCs w:val="21"/>
        </w:rPr>
        <w:t xml:space="preserve">This is a methodological contribution independent of which model wins, and it is the result this project would offer for publication.</w:t>
      </w:r>
    </w:p>
    <w:p>
      <w:pPr>
        <w:pStyle w:val="Heading2"/>
        <w:spacing w:after="130" w:before="280"/>
      </w:pPr>
      <w:r>
        <w:rPr>
          <w:b/>
          <w:bCs/>
          <w:color w:val="1B2433"/>
          <w:sz w:val="25"/>
          <w:szCs w:val="25"/>
        </w:rPr>
        <w:t xml:space="preserve">8.5 Threshold reachability of the risk score</w:t>
      </w:r>
    </w:p>
    <w:p>
      <w:pPr>
        <w:spacing w:after="140" w:line="276"/>
      </w:pPr>
      <w:r>
        <w:rPr>
          <w:sz w:val="21"/>
          <w:szCs w:val="21"/>
        </w:rPr>
        <w:t xml:space="preserve">A separate audit examined whether the rule-based risk score’s hand-chosen cut points are reachable by real data. Of a mean risk score of 52.3 points, 32.0 points — 61% — come from terms that are constant across the entire NASA fleet, because their thresholds sit outside the range the data occupies.</w:t>
      </w:r>
    </w:p>
    <w:p>
      <w:pPr>
        <w:spacing w:after="140" w:line="276"/>
      </w:pPr>
      <w:r>
        <w:rPr>
          <w:sz w:val="21"/>
          <w:szCs w:val="21"/>
        </w:rPr>
        <w:t xml:space="preserve">This explains mechanically why the heuristic showed no resolution between cells, and reframes the earlier null result as a calibration-design fault rather than a failure of the behavioural premise itself.</w:t>
      </w:r>
    </w:p>
    <w:p>
      <w:r>
        <w:br w:type="page"/>
      </w:r>
    </w:p>
    <w:p>
      <w:pPr>
        <w:pStyle w:val="Heading1"/>
        <w:spacing w:after="170" w:before="380"/>
      </w:pPr>
      <w:r>
        <w:rPr>
          <w:b/>
          <w:bCs/>
          <w:color w:val="111826"/>
          <w:sz w:val="30"/>
          <w:szCs w:val="30"/>
        </w:rPr>
        <w:t xml:space="preserve">9. Hardware Integration</w:t>
      </w:r>
    </w:p>
    <w:p>
      <w:pPr>
        <w:spacing w:after="140" w:line="276"/>
      </w:pPr>
      <w:r>
        <w:rPr>
          <w:sz w:val="21"/>
          <w:szCs w:val="21"/>
        </w:rPr>
        <w:t xml:space="preserve">The analysis above is dataset work. This section documents the physical bench rig built to close the loop from instrument to dashboard, and is reported with a strict separation between what was measured and what was not.</w:t>
      </w:r>
    </w:p>
    <w:p>
      <w:pPr>
        <w:pStyle w:val="Heading2"/>
        <w:spacing w:after="130" w:before="280"/>
      </w:pPr>
      <w:r>
        <w:rPr>
          <w:b/>
          <w:bCs/>
          <w:color w:val="1B2433"/>
          <w:sz w:val="25"/>
          <w:szCs w:val="25"/>
        </w:rPr>
        <w:t xml:space="preserve">9.1 Component selection and rationale</w:t>
      </w:r>
    </w:p>
    <w:tbl>
      <w:tblPr>
        <w:tblW w:type="dxa" w:w="9360"/>
        <w:tblBorders>
          <w:top w:val="single" w:color="B9C2CE" w:sz="4"/>
          <w:left w:val="none"/>
          <w:bottom w:val="single" w:color="B9C2CE" w:sz="4"/>
          <w:right w:val="none"/>
          <w:insideH w:val="single" w:color="E1E6EC" w:sz="2"/>
          <w:insideV w:val="none"/>
        </w:tblBorders>
      </w:tblPr>
      <w:tblGrid>
        <w:gridCol w:w="1900"/>
        <w:gridCol w:w="2600"/>
        <w:gridCol w:w="4860"/>
      </w:tblGrid>
      <w:tr>
        <w:trPr>
          <w:tblHeader/>
        </w:trPr>
        <w:tc>
          <w:tcPr>
            <w:tcW w:type="dxa" w:w="1900"/>
            <w:shd w:fill="EEF2F6" w:val="clear"/>
            <w:tcMar>
              <w:top w:type="dxa" w:w="80"/>
              <w:left w:type="dxa" w:w="120"/>
              <w:bottom w:type="dxa" w:w="80"/>
              <w:right w:type="dxa" w:w="120"/>
            </w:tcMar>
          </w:tcPr>
          <w:p>
            <w:pPr>
              <w:spacing w:after="0" w:line="240"/>
            </w:pPr>
            <w:r>
              <w:rPr>
                <w:b/>
                <w:bCs/>
                <w:sz w:val="19"/>
                <w:szCs w:val="19"/>
              </w:rPr>
              <w:t xml:space="preserve">Function</w:t>
            </w:r>
          </w:p>
        </w:tc>
        <w:tc>
          <w:tcPr>
            <w:tcW w:type="dxa" w:w="2600"/>
            <w:shd w:fill="EEF2F6" w:val="clear"/>
            <w:tcMar>
              <w:top w:type="dxa" w:w="80"/>
              <w:left w:type="dxa" w:w="120"/>
              <w:bottom w:type="dxa" w:w="80"/>
              <w:right w:type="dxa" w:w="120"/>
            </w:tcMar>
          </w:tcPr>
          <w:p>
            <w:pPr>
              <w:spacing w:after="0" w:line="240"/>
            </w:pPr>
            <w:r>
              <w:rPr>
                <w:b/>
                <w:bCs/>
                <w:sz w:val="19"/>
                <w:szCs w:val="19"/>
              </w:rPr>
              <w:t xml:space="preserve">Selected</w:t>
            </w:r>
          </w:p>
        </w:tc>
        <w:tc>
          <w:tcPr>
            <w:tcW w:type="dxa" w:w="4860"/>
            <w:shd w:fill="EEF2F6" w:val="clear"/>
            <w:tcMar>
              <w:top w:type="dxa" w:w="80"/>
              <w:left w:type="dxa" w:w="120"/>
              <w:bottom w:type="dxa" w:w="80"/>
              <w:right w:type="dxa" w:w="120"/>
            </w:tcMar>
          </w:tcPr>
          <w:p>
            <w:pPr>
              <w:spacing w:after="0" w:line="240"/>
            </w:pPr>
            <w:r>
              <w:rPr>
                <w:b/>
                <w:bCs/>
                <w:sz w:val="19"/>
                <w:szCs w:val="19"/>
              </w:rPr>
              <w:t xml:space="preserve">Rejected alternative and reason</w:t>
            </w:r>
          </w:p>
        </w:tc>
      </w:tr>
      <w:tr>
        <w:tc>
          <w:tcPr>
            <w:tcW w:type="dxa" w:w="1900"/>
            <w:tcMar>
              <w:top w:type="dxa" w:w="80"/>
              <w:left w:type="dxa" w:w="120"/>
              <w:bottom w:type="dxa" w:w="80"/>
              <w:right w:type="dxa" w:w="120"/>
            </w:tcMar>
          </w:tcPr>
          <w:p>
            <w:pPr>
              <w:spacing w:after="0" w:line="240"/>
            </w:pPr>
            <w:r>
              <w:rPr>
                <w:sz w:val="19"/>
                <w:szCs w:val="19"/>
              </w:rPr>
              <w:t xml:space="preserve">Current and bus voltage</w:t>
            </w:r>
          </w:p>
        </w:tc>
        <w:tc>
          <w:tcPr>
            <w:tcW w:type="dxa" w:w="2600"/>
            <w:tcMar>
              <w:top w:type="dxa" w:w="80"/>
              <w:left w:type="dxa" w:w="120"/>
              <w:bottom w:type="dxa" w:w="80"/>
              <w:right w:type="dxa" w:w="120"/>
            </w:tcMar>
          </w:tcPr>
          <w:p>
            <w:pPr>
              <w:spacing w:after="0" w:line="240"/>
            </w:pPr>
            <w:r>
              <w:rPr>
                <w:sz w:val="19"/>
                <w:szCs w:val="19"/>
              </w:rPr>
              <w:t xml:space="preserve">INA219, I²C, 0.1 Ω 2 W shunt, high-side</w:t>
            </w:r>
          </w:p>
        </w:tc>
        <w:tc>
          <w:tcPr>
            <w:tcW w:type="dxa" w:w="4860"/>
            <w:tcMar>
              <w:top w:type="dxa" w:w="80"/>
              <w:left w:type="dxa" w:w="120"/>
              <w:bottom w:type="dxa" w:w="80"/>
              <w:right w:type="dxa" w:w="120"/>
            </w:tcMar>
          </w:tcPr>
          <w:p>
            <w:pPr>
              <w:spacing w:after="0" w:line="240"/>
            </w:pPr>
            <w:r>
              <w:rPr>
                <w:sz w:val="19"/>
                <w:szCs w:val="19"/>
              </w:rPr>
              <w:t xml:space="preserve">ACS712 — analogue output inherits ADC nonlinearity, and its zero-current offset drifts with temperature, which is fatal for coulomb counting.</w:t>
            </w:r>
          </w:p>
        </w:tc>
      </w:tr>
      <w:tr>
        <w:tc>
          <w:tcPr>
            <w:tcW w:type="dxa" w:w="1900"/>
            <w:tcMar>
              <w:top w:type="dxa" w:w="80"/>
              <w:left w:type="dxa" w:w="120"/>
              <w:bottom w:type="dxa" w:w="80"/>
              <w:right w:type="dxa" w:w="120"/>
            </w:tcMar>
          </w:tcPr>
          <w:p>
            <w:pPr>
              <w:spacing w:after="0" w:line="240"/>
            </w:pPr>
            <w:r>
              <w:rPr>
                <w:sz w:val="19"/>
                <w:szCs w:val="19"/>
              </w:rPr>
              <w:t xml:space="preserve">Terminal voltage</w:t>
            </w:r>
          </w:p>
        </w:tc>
        <w:tc>
          <w:tcPr>
            <w:tcW w:type="dxa" w:w="2600"/>
            <w:tcMar>
              <w:top w:type="dxa" w:w="80"/>
              <w:left w:type="dxa" w:w="120"/>
              <w:bottom w:type="dxa" w:w="80"/>
              <w:right w:type="dxa" w:w="120"/>
            </w:tcMar>
          </w:tcPr>
          <w:p>
            <w:pPr>
              <w:spacing w:after="0" w:line="240"/>
            </w:pPr>
            <w:r>
              <w:rPr>
                <w:sz w:val="19"/>
                <w:szCs w:val="19"/>
              </w:rPr>
              <w:t xml:space="preserve">INA219 bus channel</w:t>
            </w:r>
          </w:p>
        </w:tc>
        <w:tc>
          <w:tcPr>
            <w:tcW w:type="dxa" w:w="4860"/>
            <w:tcMar>
              <w:top w:type="dxa" w:w="80"/>
              <w:left w:type="dxa" w:w="120"/>
              <w:bottom w:type="dxa" w:w="80"/>
              <w:right w:type="dxa" w:w="120"/>
            </w:tcMar>
          </w:tcPr>
          <w:p>
            <w:pPr>
              <w:spacing w:after="0" w:line="240"/>
            </w:pPr>
            <w:r>
              <w:rPr>
                <w:sz w:val="19"/>
                <w:szCs w:val="19"/>
              </w:rPr>
              <w:t xml:space="preserve">Resistive divider to ADC — adds 1.4% resistor-tolerance error, drains the cell continuously, and the ESP8266 ADC is nonlinear near the rails.</w:t>
            </w:r>
          </w:p>
        </w:tc>
      </w:tr>
      <w:tr>
        <w:tc>
          <w:tcPr>
            <w:tcW w:type="dxa" w:w="1900"/>
            <w:tcMar>
              <w:top w:type="dxa" w:w="80"/>
              <w:left w:type="dxa" w:w="120"/>
              <w:bottom w:type="dxa" w:w="80"/>
              <w:right w:type="dxa" w:w="120"/>
            </w:tcMar>
          </w:tcPr>
          <w:p>
            <w:pPr>
              <w:spacing w:after="0" w:line="240"/>
            </w:pPr>
            <w:r>
              <w:rPr>
                <w:sz w:val="19"/>
                <w:szCs w:val="19"/>
              </w:rPr>
              <w:t xml:space="preserve">Temperature</w:t>
            </w:r>
          </w:p>
        </w:tc>
        <w:tc>
          <w:tcPr>
            <w:tcW w:type="dxa" w:w="2600"/>
            <w:tcMar>
              <w:top w:type="dxa" w:w="80"/>
              <w:left w:type="dxa" w:w="120"/>
              <w:bottom w:type="dxa" w:w="80"/>
              <w:right w:type="dxa" w:w="120"/>
            </w:tcMar>
          </w:tcPr>
          <w:p>
            <w:pPr>
              <w:spacing w:after="0" w:line="240"/>
            </w:pPr>
            <w:r>
              <w:rPr>
                <w:sz w:val="19"/>
                <w:szCs w:val="19"/>
              </w:rPr>
              <w:t xml:space="preserve">LM35DZ (analogue, fitted); DS18B20 preferred</w:t>
            </w:r>
          </w:p>
        </w:tc>
        <w:tc>
          <w:tcPr>
            <w:tcW w:type="dxa" w:w="4860"/>
            <w:tcMar>
              <w:top w:type="dxa" w:w="80"/>
              <w:left w:type="dxa" w:w="120"/>
              <w:bottom w:type="dxa" w:w="80"/>
              <w:right w:type="dxa" w:w="120"/>
            </w:tcMar>
          </w:tcPr>
          <w:p>
            <w:pPr>
              <w:spacing w:after="0" w:line="240"/>
            </w:pPr>
            <w:r>
              <w:rPr>
                <w:sz w:val="19"/>
                <w:szCs w:val="19"/>
              </w:rPr>
              <w:t xml:space="preserve">NTC thermistor — a disconnected NTC floats to a plausible in-range value and is scored as a measurement. A disconnected DS18B20 reports −127 °C and is rejected by the schema.</w:t>
            </w:r>
          </w:p>
        </w:tc>
      </w:tr>
      <w:tr>
        <w:tc>
          <w:tcPr>
            <w:tcW w:type="dxa" w:w="1900"/>
            <w:tcMar>
              <w:top w:type="dxa" w:w="80"/>
              <w:left w:type="dxa" w:w="120"/>
              <w:bottom w:type="dxa" w:w="80"/>
              <w:right w:type="dxa" w:w="120"/>
            </w:tcMar>
          </w:tcPr>
          <w:p>
            <w:pPr>
              <w:spacing w:after="0" w:line="240"/>
            </w:pPr>
            <w:r>
              <w:rPr>
                <w:sz w:val="19"/>
                <w:szCs w:val="19"/>
              </w:rPr>
              <w:t xml:space="preserve">Protection</w:t>
            </w:r>
          </w:p>
        </w:tc>
        <w:tc>
          <w:tcPr>
            <w:tcW w:type="dxa" w:w="2600"/>
            <w:tcMar>
              <w:top w:type="dxa" w:w="80"/>
              <w:left w:type="dxa" w:w="120"/>
              <w:bottom w:type="dxa" w:w="80"/>
              <w:right w:type="dxa" w:w="120"/>
            </w:tcMar>
          </w:tcPr>
          <w:p>
            <w:pPr>
              <w:spacing w:after="0" w:line="240"/>
            </w:pPr>
            <w:r>
              <w:rPr>
                <w:sz w:val="19"/>
                <w:szCs w:val="19"/>
              </w:rPr>
              <w:t xml:space="preserve">Protected cell plus TP4056/DW01 module</w:t>
            </w:r>
          </w:p>
        </w:tc>
        <w:tc>
          <w:tcPr>
            <w:tcW w:type="dxa" w:w="4860"/>
            <w:tcMar>
              <w:top w:type="dxa" w:w="80"/>
              <w:left w:type="dxa" w:w="120"/>
              <w:bottom w:type="dxa" w:w="80"/>
              <w:right w:type="dxa" w:w="120"/>
            </w:tcMar>
          </w:tcPr>
          <w:p>
            <w:pPr>
              <w:spacing w:after="0" w:line="240"/>
            </w:pPr>
            <w:r>
              <w:rPr>
                <w:sz w:val="19"/>
                <w:szCs w:val="19"/>
              </w:rPr>
              <w:t xml:space="preserve">None — the microcontroller is a monitor and must never be the protection device.</w:t>
            </w:r>
          </w:p>
        </w:tc>
      </w:tr>
    </w:tbl>
    <w:p>
      <w:pPr>
        <w:spacing w:after="180"/>
      </w:pPr>
    </w:p>
    <w:p>
      <w:pPr>
        <w:spacing w:after="140" w:line="276"/>
      </w:pPr>
      <w:r>
        <w:rPr>
          <w:sz w:val="21"/>
          <w:szCs w:val="21"/>
        </w:rPr>
        <w:t xml:space="preserve">The temperature selection criterion is worth stating explicitly because it is a systems argument rather than a component one: the part whose failure mode is detectable was preferred over the part with better nominal accuracy. The schema declares temperature valid over −40 to 150 °C, so a sensor whose failure produces a value inside that range is indistinguishable from a working one.</w:t>
      </w:r>
    </w:p>
    <w:p>
      <w:pPr>
        <w:pStyle w:val="Heading2"/>
        <w:spacing w:after="130" w:before="280"/>
      </w:pPr>
      <w:r>
        <w:rPr>
          <w:b/>
          <w:bCs/>
          <w:color w:val="1B2433"/>
          <w:sz w:val="25"/>
          <w:szCs w:val="25"/>
        </w:rPr>
        <w:t xml:space="preserve">9.2 Shunt sizing</w:t>
      </w:r>
    </w:p>
    <w:p>
      <w:pPr>
        <w:spacing w:after="140" w:line="276"/>
      </w:pPr>
      <w:r>
        <w:rPr>
          <w:sz w:val="21"/>
          <w:szCs w:val="21"/>
        </w:rPr>
        <w:t xml:space="preserve">The INA219 shunt channel is ±320 mV full scale at 12 bits. With a 0.1 Ω shunt this gives a full-scale current of 3.2 A and a least significant bit of 100 µA. Discharge must therefore stay below 3.2 A; saturation is not a graceful failure, since a saturated reading is silently clipped rather than flagged. At 2 A the shunt dissipates 0.4 W, and its temperature coefficient makes a hot shunt read high, which makes current read low — a systematic capacity error in one direction.</w:t>
      </w:r>
    </w:p>
    <w:p>
      <w:pPr>
        <w:pStyle w:val="Heading2"/>
        <w:spacing w:after="130" w:before="280"/>
      </w:pPr>
      <w:r>
        <w:rPr>
          <w:b/>
          <w:bCs/>
          <w:color w:val="1B2433"/>
          <w:sz w:val="25"/>
          <w:szCs w:val="25"/>
        </w:rPr>
        <w:t xml:space="preserve">9.3 Wire protocol</w:t>
      </w:r>
    </w:p>
    <w:p>
      <w:pPr>
        <w:spacing w:after="140" w:line="276"/>
      </w:pPr>
      <w:r>
        <w:rPr>
          <w:sz w:val="21"/>
          <w:szCs w:val="21"/>
        </w:rPr>
        <w:t xml:space="preserve">The firmware-to-host contract is beacon.telemetry.v1. Every line carries the sentinel BEACON1, a record type, a body, and an optional NMEA-style XOR checksum appended as *HH:</w:t>
      </w:r>
    </w:p>
    <w:p>
      <w:pPr>
        <w:spacing w:after="200" w:line="276"/>
      </w:pPr>
      <w:r>
        <w:rPr>
          <w:rFonts w:ascii="Consolas" w:cs="Consolas" w:eastAsia="Consolas" w:hAnsi="Consolas"/>
          <w:sz w:val="19"/>
          <w:szCs w:val="19"/>
        </w:rPr>
        <w:t xml:space="preserve">BEACON1 D {"t":0.138,"v":3.9880,"i":0.0000,"soc":100.00}*0F</w:t>
      </w:r>
    </w:p>
    <w:p>
      <w:pPr>
        <w:pStyle w:val="ListParagraph"/>
        <w:numPr>
          <w:ilvl w:val="0"/>
          <w:numId w:val="3"/>
        </w:numPr>
        <w:spacing w:after="90" w:line="276"/>
      </w:pPr>
      <w:r>
        <w:rPr>
          <w:b/>
          <w:bCs/>
          <w:sz w:val="21"/>
          <w:szCs w:val="21"/>
        </w:rPr>
        <w:t xml:space="preserve">Checksum optional, enforced when present. </w:t>
      </w:r>
      <w:r>
        <w:rPr>
          <w:sz w:val="21"/>
          <w:szCs w:val="21"/>
        </w:rPr>
        <w:t xml:space="preserve">A checksum verified only sometimes is worse than none, so a line carrying *HH must verify or the record is refused.</w:t>
      </w:r>
    </w:p>
    <w:p>
      <w:pPr>
        <w:pStyle w:val="ListParagraph"/>
        <w:numPr>
          <w:ilvl w:val="0"/>
          <w:numId w:val="3"/>
        </w:numPr>
        <w:spacing w:after="90" w:line="276"/>
      </w:pPr>
      <w:r>
        <w:rPr>
          <w:b/>
          <w:bCs/>
          <w:sz w:val="21"/>
          <w:szCs w:val="21"/>
        </w:rPr>
        <w:t xml:space="preserve">Sentinel resync. </w:t>
      </w:r>
      <w:r>
        <w:rPr>
          <w:sz w:val="21"/>
          <w:szCs w:val="21"/>
        </w:rPr>
        <w:t xml:space="preserve">The parser searches for the sentinel anywhere in the line rather than requiring it at position zero. This was added after a real capture failure: a post-reset board emits boot output, so the HELLO line arrived concatenated with reset noise and was discarded as noise.</w:t>
      </w:r>
    </w:p>
    <w:p>
      <w:pPr>
        <w:pStyle w:val="ListParagraph"/>
        <w:numPr>
          <w:ilvl w:val="0"/>
          <w:numId w:val="3"/>
        </w:numPr>
        <w:spacing w:after="90" w:line="276"/>
      </w:pPr>
      <w:r>
        <w:rPr>
          <w:b/>
          <w:bCs/>
          <w:sz w:val="21"/>
          <w:szCs w:val="21"/>
        </w:rPr>
        <w:t xml:space="preserve">Capacity declared, not assumed. </w:t>
      </w:r>
      <w:r>
        <w:rPr>
          <w:sz w:val="21"/>
          <w:szCs w:val="21"/>
        </w:rPr>
        <w:t xml:space="preserve">The HELLO line carries capacity_ah, bounded to 0.01–500 Ah. C-rate is current divided by rated capacity, so an incorrect capacity silently rescales every behavioural feature. If neither the rig nor the caller supplies it, scoring refuses rather than defaulting.</w:t>
      </w:r>
    </w:p>
    <w:p>
      <w:pPr>
        <w:pStyle w:val="ListParagraph"/>
        <w:numPr>
          <w:ilvl w:val="0"/>
          <w:numId w:val="3"/>
        </w:numPr>
        <w:spacing w:after="90" w:line="276"/>
      </w:pPr>
      <w:r>
        <w:rPr>
          <w:b/>
          <w:bCs/>
          <w:sz w:val="21"/>
          <w:szCs w:val="21"/>
        </w:rPr>
        <w:t xml:space="preserve">Sensor complement declared. </w:t>
      </w:r>
      <w:r>
        <w:rPr>
          <w:sz w:val="21"/>
          <w:szCs w:val="21"/>
        </w:rPr>
        <w:t xml:space="preserve">The rig probes its sensors at startup and declares in HELLO only the channels it can actually supply. A channel that disappears mid-capture is then a detectable fault rather than a silent gap.</w:t>
      </w:r>
    </w:p>
    <w:p>
      <w:pPr>
        <w:pStyle w:val="Heading2"/>
        <w:spacing w:after="130" w:before="280"/>
      </w:pPr>
      <w:r>
        <w:rPr>
          <w:b/>
          <w:bCs/>
          <w:color w:val="1B2433"/>
          <w:sz w:val="25"/>
          <w:szCs w:val="25"/>
        </w:rPr>
        <w:t xml:space="preserve">9.4 Cell under test</w:t>
      </w:r>
    </w:p>
    <w:tbl>
      <w:tblPr>
        <w:tblW w:type="dxa" w:w="8000"/>
        <w:tblBorders>
          <w:top w:val="single" w:color="B9C2CE" w:sz="4"/>
          <w:left w:val="none"/>
          <w:bottom w:val="single" w:color="B9C2CE" w:sz="4"/>
          <w:right w:val="none"/>
          <w:insideH w:val="single" w:color="E1E6EC" w:sz="2"/>
          <w:insideV w:val="none"/>
        </w:tblBorders>
      </w:tblPr>
      <w:tblGrid>
        <w:gridCol w:w="2600"/>
        <w:gridCol w:w="5400"/>
      </w:tblGrid>
      <w:tr>
        <w:trPr>
          <w:tblHeader/>
        </w:trPr>
        <w:tc>
          <w:tcPr>
            <w:tcW w:type="dxa" w:w="2600"/>
            <w:shd w:fill="EEF2F6" w:val="clear"/>
            <w:tcMar>
              <w:top w:type="dxa" w:w="80"/>
              <w:left w:type="dxa" w:w="120"/>
              <w:bottom w:type="dxa" w:w="80"/>
              <w:right w:type="dxa" w:w="120"/>
            </w:tcMar>
          </w:tcPr>
          <w:p>
            <w:pPr>
              <w:spacing w:after="0" w:line="240"/>
            </w:pPr>
            <w:r>
              <w:rPr>
                <w:b/>
                <w:bCs/>
                <w:sz w:val="19"/>
                <w:szCs w:val="19"/>
              </w:rPr>
              <w:t xml:space="preserve">Property</w:t>
            </w:r>
          </w:p>
        </w:tc>
        <w:tc>
          <w:tcPr>
            <w:tcW w:type="dxa" w:w="5400"/>
            <w:shd w:fill="EEF2F6" w:val="clear"/>
            <w:tcMar>
              <w:top w:type="dxa" w:w="80"/>
              <w:left w:type="dxa" w:w="120"/>
              <w:bottom w:type="dxa" w:w="80"/>
              <w:right w:type="dxa" w:w="120"/>
            </w:tcMar>
          </w:tcPr>
          <w:p>
            <w:pPr>
              <w:spacing w:after="0" w:line="240"/>
            </w:pPr>
            <w:r>
              <w:rPr>
                <w:b/>
                <w:bCs/>
                <w:sz w:val="19"/>
                <w:szCs w:val="19"/>
              </w:rPr>
              <w:t xml:space="preserve">Value</w:t>
            </w:r>
          </w:p>
        </w:tc>
      </w:tr>
      <w:tr>
        <w:tc>
          <w:tcPr>
            <w:tcW w:type="dxa" w:w="2600"/>
            <w:tcMar>
              <w:top w:type="dxa" w:w="80"/>
              <w:left w:type="dxa" w:w="120"/>
              <w:bottom w:type="dxa" w:w="80"/>
              <w:right w:type="dxa" w:w="120"/>
            </w:tcMar>
          </w:tcPr>
          <w:p>
            <w:pPr>
              <w:spacing w:after="0" w:line="240"/>
            </w:pPr>
            <w:r>
              <w:rPr>
                <w:sz w:val="19"/>
                <w:szCs w:val="19"/>
              </w:rPr>
              <w:t xml:space="preserve">Cell</w:t>
            </w:r>
          </w:p>
        </w:tc>
        <w:tc>
          <w:tcPr>
            <w:tcW w:type="dxa" w:w="5400"/>
            <w:tcMar>
              <w:top w:type="dxa" w:w="80"/>
              <w:left w:type="dxa" w:w="120"/>
              <w:bottom w:type="dxa" w:w="80"/>
              <w:right w:type="dxa" w:w="120"/>
            </w:tcMar>
          </w:tcPr>
          <w:p>
            <w:pPr>
              <w:spacing w:after="0" w:line="240"/>
            </w:pPr>
            <w:r>
              <w:rPr>
                <w:sz w:val="19"/>
                <w:szCs w:val="19"/>
              </w:rPr>
              <w:t xml:space="preserve">HONGLI ICR-18650-2200mAh, protected</w:t>
            </w:r>
          </w:p>
        </w:tc>
      </w:tr>
      <w:tr>
        <w:tc>
          <w:tcPr>
            <w:tcW w:type="dxa" w:w="2600"/>
            <w:tcMar>
              <w:top w:type="dxa" w:w="80"/>
              <w:left w:type="dxa" w:w="120"/>
              <w:bottom w:type="dxa" w:w="80"/>
              <w:right w:type="dxa" w:w="120"/>
            </w:tcMar>
          </w:tcPr>
          <w:p>
            <w:pPr>
              <w:spacing w:after="0" w:line="240"/>
            </w:pPr>
            <w:r>
              <w:rPr>
                <w:sz w:val="19"/>
                <w:szCs w:val="19"/>
              </w:rPr>
              <w:t xml:space="preserve">Chemistry</w:t>
            </w:r>
          </w:p>
        </w:tc>
        <w:tc>
          <w:tcPr>
            <w:tcW w:type="dxa" w:w="5400"/>
            <w:tcMar>
              <w:top w:type="dxa" w:w="80"/>
              <w:left w:type="dxa" w:w="120"/>
              <w:bottom w:type="dxa" w:w="80"/>
              <w:right w:type="dxa" w:w="120"/>
            </w:tcMar>
          </w:tcPr>
          <w:p>
            <w:pPr>
              <w:spacing w:after="0" w:line="240"/>
            </w:pPr>
            <w:r>
              <w:rPr>
                <w:sz w:val="19"/>
                <w:szCs w:val="19"/>
              </w:rPr>
              <w:t xml:space="preserve">ICR (LiCoO₂)</w:t>
            </w:r>
          </w:p>
        </w:tc>
      </w:tr>
      <w:tr>
        <w:tc>
          <w:tcPr>
            <w:tcW w:type="dxa" w:w="2600"/>
            <w:tcMar>
              <w:top w:type="dxa" w:w="80"/>
              <w:left w:type="dxa" w:w="120"/>
              <w:bottom w:type="dxa" w:w="80"/>
              <w:right w:type="dxa" w:w="120"/>
            </w:tcMar>
          </w:tcPr>
          <w:p>
            <w:pPr>
              <w:spacing w:after="0" w:line="240"/>
            </w:pPr>
            <w:r>
              <w:rPr>
                <w:sz w:val="19"/>
                <w:szCs w:val="19"/>
              </w:rPr>
              <w:t xml:space="preserve">Nominal voltage</w:t>
            </w:r>
          </w:p>
        </w:tc>
        <w:tc>
          <w:tcPr>
            <w:tcW w:type="dxa" w:w="5400"/>
            <w:tcMar>
              <w:top w:type="dxa" w:w="80"/>
              <w:left w:type="dxa" w:w="120"/>
              <w:bottom w:type="dxa" w:w="80"/>
              <w:right w:type="dxa" w:w="120"/>
            </w:tcMar>
          </w:tcPr>
          <w:p>
            <w:pPr>
              <w:spacing w:after="0" w:line="240"/>
            </w:pPr>
            <w:r>
              <w:rPr>
                <w:sz w:val="19"/>
                <w:szCs w:val="19"/>
              </w:rPr>
              <w:t xml:space="preserve">3.7 V</w:t>
            </w:r>
          </w:p>
        </w:tc>
      </w:tr>
      <w:tr>
        <w:tc>
          <w:tcPr>
            <w:tcW w:type="dxa" w:w="2600"/>
            <w:tcMar>
              <w:top w:type="dxa" w:w="80"/>
              <w:left w:type="dxa" w:w="120"/>
              <w:bottom w:type="dxa" w:w="80"/>
              <w:right w:type="dxa" w:w="120"/>
            </w:tcMar>
          </w:tcPr>
          <w:p>
            <w:pPr>
              <w:spacing w:after="0" w:line="240"/>
            </w:pPr>
            <w:r>
              <w:rPr>
                <w:sz w:val="19"/>
                <w:szCs w:val="19"/>
              </w:rPr>
              <w:t xml:space="preserve">Rated capacity</w:t>
            </w:r>
          </w:p>
        </w:tc>
        <w:tc>
          <w:tcPr>
            <w:tcW w:type="dxa" w:w="5400"/>
            <w:tcMar>
              <w:top w:type="dxa" w:w="80"/>
              <w:left w:type="dxa" w:w="120"/>
              <w:bottom w:type="dxa" w:w="80"/>
              <w:right w:type="dxa" w:w="120"/>
            </w:tcMar>
          </w:tcPr>
          <w:p>
            <w:pPr>
              <w:spacing w:after="0" w:line="240"/>
            </w:pPr>
            <w:r>
              <w:rPr>
                <w:sz w:val="19"/>
                <w:szCs w:val="19"/>
              </w:rPr>
              <w:t xml:space="preserve">2200 mAh (2.2 Ah), declared on the wire by the rig</w:t>
            </w:r>
          </w:p>
        </w:tc>
      </w:tr>
      <w:tr>
        <w:tc>
          <w:tcPr>
            <w:tcW w:type="dxa" w:w="2600"/>
            <w:tcMar>
              <w:top w:type="dxa" w:w="80"/>
              <w:left w:type="dxa" w:w="120"/>
              <w:bottom w:type="dxa" w:w="80"/>
              <w:right w:type="dxa" w:w="120"/>
            </w:tcMar>
          </w:tcPr>
          <w:p>
            <w:pPr>
              <w:spacing w:after="0" w:line="240"/>
            </w:pPr>
            <w:r>
              <w:rPr>
                <w:sz w:val="19"/>
                <w:szCs w:val="19"/>
              </w:rPr>
              <w:t xml:space="preserve">Energy</w:t>
            </w:r>
          </w:p>
        </w:tc>
        <w:tc>
          <w:tcPr>
            <w:tcW w:type="dxa" w:w="5400"/>
            <w:tcMar>
              <w:top w:type="dxa" w:w="80"/>
              <w:left w:type="dxa" w:w="120"/>
              <w:bottom w:type="dxa" w:w="80"/>
              <w:right w:type="dxa" w:w="120"/>
            </w:tcMar>
          </w:tcPr>
          <w:p>
            <w:pPr>
              <w:spacing w:after="0" w:line="240"/>
            </w:pPr>
            <w:r>
              <w:rPr>
                <w:sz w:val="19"/>
                <w:szCs w:val="19"/>
              </w:rPr>
              <w:t xml:space="preserve">8.14 Wh</w:t>
            </w:r>
          </w:p>
        </w:tc>
      </w:tr>
    </w:tbl>
    <w:p>
      <w:pPr>
        <w:spacing w:after="140"/>
      </w:pPr>
    </w:p>
    <w:p>
      <w:pPr>
        <w:spacing w:after="140" w:line="276"/>
      </w:pPr>
      <w:r>
        <w:rPr>
          <w:sz w:val="21"/>
          <w:szCs w:val="21"/>
        </w:rPr>
        <w:t xml:space="preserve">The rated capacity is the manufacturer’s printed figure and has not been independently verified. It is reported as declared, not measured, and the HELLO line labels it as such.</w:t>
      </w:r>
    </w:p>
    <w:p>
      <w:pPr>
        <w:pStyle w:val="Heading2"/>
        <w:spacing w:after="130" w:before="280"/>
      </w:pPr>
      <w:r>
        <w:rPr>
          <w:b/>
          <w:bCs/>
          <w:color w:val="1B2433"/>
          <w:sz w:val="25"/>
          <w:szCs w:val="25"/>
        </w:rPr>
        <w:t xml:space="preserve">9.5 Measured results</w:t>
      </w:r>
    </w:p>
    <w:p>
      <w:pPr>
        <w:spacing w:after="140" w:line="276"/>
      </w:pPr>
      <w:r>
        <w:rPr>
          <w:sz w:val="21"/>
          <w:szCs w:val="21"/>
        </w:rPr>
        <w:t xml:space="preserve">Capture of 83 accepted data records over 82.2 s at 1 Hz, cell at rest with no load connected:</w:t>
      </w:r>
    </w:p>
    <w:tbl>
      <w:tblPr>
        <w:tblW w:type="dxa" w:w="9360"/>
        <w:tblBorders>
          <w:top w:val="single" w:color="B9C2CE" w:sz="4"/>
          <w:left w:val="none"/>
          <w:bottom w:val="single" w:color="B9C2CE" w:sz="4"/>
          <w:right w:val="none"/>
          <w:insideH w:val="single" w:color="E1E6EC" w:sz="2"/>
          <w:insideV w:val="none"/>
        </w:tblBorders>
      </w:tblPr>
      <w:tblGrid>
        <w:gridCol w:w="2100"/>
        <w:gridCol w:w="1500"/>
        <w:gridCol w:w="1500"/>
        <w:gridCol w:w="1500"/>
        <w:gridCol w:w="700"/>
        <w:gridCol w:w="2060"/>
      </w:tblGrid>
      <w:tr>
        <w:trPr>
          <w:tblHeader/>
        </w:trPr>
        <w:tc>
          <w:tcPr>
            <w:tcW w:type="dxa" w:w="2100"/>
            <w:shd w:fill="EEF2F6" w:val="clear"/>
            <w:tcMar>
              <w:top w:type="dxa" w:w="80"/>
              <w:left w:type="dxa" w:w="120"/>
              <w:bottom w:type="dxa" w:w="80"/>
              <w:right w:type="dxa" w:w="120"/>
            </w:tcMar>
          </w:tcPr>
          <w:p>
            <w:pPr>
              <w:spacing w:after="0" w:line="240"/>
            </w:pPr>
            <w:r>
              <w:rPr>
                <w:b/>
                <w:bCs/>
                <w:sz w:val="19"/>
                <w:szCs w:val="19"/>
              </w:rPr>
              <w:t xml:space="preserve">Channel</w:t>
            </w:r>
          </w:p>
        </w:tc>
        <w:tc>
          <w:tcPr>
            <w:tcW w:type="dxa" w:w="1500"/>
            <w:shd w:fill="EEF2F6" w:val="clear"/>
            <w:tcMar>
              <w:top w:type="dxa" w:w="80"/>
              <w:left w:type="dxa" w:w="120"/>
              <w:bottom w:type="dxa" w:w="80"/>
              <w:right w:type="dxa" w:w="120"/>
            </w:tcMar>
          </w:tcPr>
          <w:p>
            <w:pPr>
              <w:spacing w:after="0" w:line="240"/>
              <w:jc w:val="right"/>
            </w:pPr>
            <w:r>
              <w:rPr>
                <w:b/>
                <w:bCs/>
                <w:sz w:val="19"/>
                <w:szCs w:val="19"/>
              </w:rPr>
              <w:t xml:space="preserve">Mean</w:t>
            </w:r>
          </w:p>
        </w:tc>
        <w:tc>
          <w:tcPr>
            <w:tcW w:type="dxa" w:w="1500"/>
            <w:shd w:fill="EEF2F6" w:val="clear"/>
            <w:tcMar>
              <w:top w:type="dxa" w:w="80"/>
              <w:left w:type="dxa" w:w="120"/>
              <w:bottom w:type="dxa" w:w="80"/>
              <w:right w:type="dxa" w:w="120"/>
            </w:tcMar>
          </w:tcPr>
          <w:p>
            <w:pPr>
              <w:spacing w:after="0" w:line="240"/>
              <w:jc w:val="right"/>
            </w:pPr>
            <w:r>
              <w:rPr>
                <w:b/>
                <w:bCs/>
                <w:sz w:val="19"/>
                <w:szCs w:val="19"/>
              </w:rPr>
              <w:t xml:space="preserve">Minimum</w:t>
            </w:r>
          </w:p>
        </w:tc>
        <w:tc>
          <w:tcPr>
            <w:tcW w:type="dxa" w:w="1500"/>
            <w:shd w:fill="EEF2F6" w:val="clear"/>
            <w:tcMar>
              <w:top w:type="dxa" w:w="80"/>
              <w:left w:type="dxa" w:w="120"/>
              <w:bottom w:type="dxa" w:w="80"/>
              <w:right w:type="dxa" w:w="120"/>
            </w:tcMar>
          </w:tcPr>
          <w:p>
            <w:pPr>
              <w:spacing w:after="0" w:line="240"/>
              <w:jc w:val="right"/>
            </w:pPr>
            <w:r>
              <w:rPr>
                <w:b/>
                <w:bCs/>
                <w:sz w:val="19"/>
                <w:szCs w:val="19"/>
              </w:rPr>
              <w:t xml:space="preserve">Maximum</w:t>
            </w:r>
          </w:p>
        </w:tc>
        <w:tc>
          <w:tcPr>
            <w:tcW w:type="dxa" w:w="700"/>
            <w:shd w:fill="EEF2F6" w:val="clear"/>
            <w:tcMar>
              <w:top w:type="dxa" w:w="80"/>
              <w:left w:type="dxa" w:w="120"/>
              <w:bottom w:type="dxa" w:w="80"/>
              <w:right w:type="dxa" w:w="120"/>
            </w:tcMar>
          </w:tcPr>
          <w:p>
            <w:pPr>
              <w:spacing w:after="0" w:line="240"/>
              <w:jc w:val="right"/>
            </w:pPr>
            <w:r>
              <w:rPr>
                <w:b/>
                <w:bCs/>
                <w:sz w:val="19"/>
                <w:szCs w:val="19"/>
              </w:rPr>
              <w:t xml:space="preserve">n</w:t>
            </w:r>
          </w:p>
        </w:tc>
        <w:tc>
          <w:tcPr>
            <w:tcW w:type="dxa" w:w="2060"/>
            <w:shd w:fill="EEF2F6" w:val="clear"/>
            <w:tcMar>
              <w:top w:type="dxa" w:w="80"/>
              <w:left w:type="dxa" w:w="120"/>
              <w:bottom w:type="dxa" w:w="80"/>
              <w:right w:type="dxa" w:w="120"/>
            </w:tcMar>
          </w:tcPr>
          <w:p>
            <w:pPr>
              <w:spacing w:after="0" w:line="240"/>
            </w:pPr>
            <w:r>
              <w:rPr>
                <w:b/>
                <w:bCs/>
                <w:sz w:val="19"/>
                <w:szCs w:val="19"/>
              </w:rPr>
              <w:t xml:space="preserve">Status</w:t>
            </w:r>
          </w:p>
        </w:tc>
      </w:tr>
      <w:tr>
        <w:tc>
          <w:tcPr>
            <w:tcW w:type="dxa" w:w="2100"/>
            <w:tcMar>
              <w:top w:type="dxa" w:w="80"/>
              <w:left w:type="dxa" w:w="120"/>
              <w:bottom w:type="dxa" w:w="80"/>
              <w:right w:type="dxa" w:w="120"/>
            </w:tcMar>
          </w:tcPr>
          <w:p>
            <w:pPr>
              <w:spacing w:after="0" w:line="240"/>
            </w:pPr>
            <w:r>
              <w:rPr>
                <w:sz w:val="19"/>
                <w:szCs w:val="19"/>
              </w:rPr>
              <w:t xml:space="preserve">Terminal voltage</w:t>
            </w:r>
          </w:p>
        </w:tc>
        <w:tc>
          <w:tcPr>
            <w:tcW w:type="dxa" w:w="1500"/>
            <w:tcMar>
              <w:top w:type="dxa" w:w="80"/>
              <w:left w:type="dxa" w:w="120"/>
              <w:bottom w:type="dxa" w:w="80"/>
              <w:right w:type="dxa" w:w="120"/>
            </w:tcMar>
          </w:tcPr>
          <w:p>
            <w:pPr>
              <w:spacing w:after="0" w:line="240"/>
              <w:jc w:val="right"/>
            </w:pPr>
            <w:r>
              <w:rPr>
                <w:sz w:val="19"/>
                <w:szCs w:val="19"/>
              </w:rPr>
              <w:t xml:space="preserve">3.9871 V</w:t>
            </w:r>
          </w:p>
        </w:tc>
        <w:tc>
          <w:tcPr>
            <w:tcW w:type="dxa" w:w="1500"/>
            <w:tcMar>
              <w:top w:type="dxa" w:w="80"/>
              <w:left w:type="dxa" w:w="120"/>
              <w:bottom w:type="dxa" w:w="80"/>
              <w:right w:type="dxa" w:w="120"/>
            </w:tcMar>
          </w:tcPr>
          <w:p>
            <w:pPr>
              <w:spacing w:after="0" w:line="240"/>
              <w:jc w:val="right"/>
            </w:pPr>
            <w:r>
              <w:rPr>
                <w:sz w:val="19"/>
                <w:szCs w:val="19"/>
              </w:rPr>
              <w:t xml:space="preserve">3.9840 V</w:t>
            </w:r>
          </w:p>
        </w:tc>
        <w:tc>
          <w:tcPr>
            <w:tcW w:type="dxa" w:w="1500"/>
            <w:tcMar>
              <w:top w:type="dxa" w:w="80"/>
              <w:left w:type="dxa" w:w="120"/>
              <w:bottom w:type="dxa" w:w="80"/>
              <w:right w:type="dxa" w:w="120"/>
            </w:tcMar>
          </w:tcPr>
          <w:p>
            <w:pPr>
              <w:spacing w:after="0" w:line="240"/>
              <w:jc w:val="right"/>
            </w:pPr>
            <w:r>
              <w:rPr>
                <w:sz w:val="19"/>
                <w:szCs w:val="19"/>
              </w:rPr>
              <w:t xml:space="preserve">3.9920 V</w:t>
            </w:r>
          </w:p>
        </w:tc>
        <w:tc>
          <w:tcPr>
            <w:tcW w:type="dxa" w:w="700"/>
            <w:tcMar>
              <w:top w:type="dxa" w:w="80"/>
              <w:left w:type="dxa" w:w="120"/>
              <w:bottom w:type="dxa" w:w="80"/>
              <w:right w:type="dxa" w:w="120"/>
            </w:tcMar>
          </w:tcPr>
          <w:p>
            <w:pPr>
              <w:spacing w:after="0" w:line="240"/>
              <w:jc w:val="right"/>
            </w:pPr>
            <w:r>
              <w:rPr>
                <w:sz w:val="19"/>
                <w:szCs w:val="19"/>
              </w:rPr>
              <w:t xml:space="preserve">83</w:t>
            </w:r>
          </w:p>
        </w:tc>
        <w:tc>
          <w:tcPr>
            <w:tcW w:type="dxa" w:w="2060"/>
            <w:tcMar>
              <w:top w:type="dxa" w:w="80"/>
              <w:left w:type="dxa" w:w="120"/>
              <w:bottom w:type="dxa" w:w="80"/>
              <w:right w:type="dxa" w:w="120"/>
            </w:tcMar>
          </w:tcPr>
          <w:p>
            <w:pPr>
              <w:spacing w:after="0" w:line="240"/>
            </w:pPr>
            <w:r>
              <w:rPr>
                <w:sz w:val="19"/>
                <w:szCs w:val="19"/>
              </w:rPr>
              <w:t xml:space="preserve">Measured</w:t>
            </w:r>
          </w:p>
        </w:tc>
      </w:tr>
      <w:tr>
        <w:tc>
          <w:tcPr>
            <w:tcW w:type="dxa" w:w="2100"/>
            <w:tcMar>
              <w:top w:type="dxa" w:w="80"/>
              <w:left w:type="dxa" w:w="120"/>
              <w:bottom w:type="dxa" w:w="80"/>
              <w:right w:type="dxa" w:w="120"/>
            </w:tcMar>
          </w:tcPr>
          <w:p>
            <w:pPr>
              <w:spacing w:after="0" w:line="240"/>
            </w:pPr>
            <w:r>
              <w:rPr>
                <w:sz w:val="19"/>
                <w:szCs w:val="19"/>
              </w:rPr>
              <w:t xml:space="preserve">Current, signed</w:t>
            </w:r>
          </w:p>
        </w:tc>
        <w:tc>
          <w:tcPr>
            <w:tcW w:type="dxa" w:w="1500"/>
            <w:tcMar>
              <w:top w:type="dxa" w:w="80"/>
              <w:left w:type="dxa" w:w="120"/>
              <w:bottom w:type="dxa" w:w="80"/>
              <w:right w:type="dxa" w:w="120"/>
            </w:tcMar>
          </w:tcPr>
          <w:p>
            <w:pPr>
              <w:spacing w:after="0" w:line="240"/>
              <w:jc w:val="right"/>
            </w:pPr>
            <w:r>
              <w:rPr>
                <w:sz w:val="19"/>
                <w:szCs w:val="19"/>
              </w:rPr>
              <w:t xml:space="preserve">−0.0000 A</w:t>
            </w:r>
          </w:p>
        </w:tc>
        <w:tc>
          <w:tcPr>
            <w:tcW w:type="dxa" w:w="1500"/>
            <w:tcMar>
              <w:top w:type="dxa" w:w="80"/>
              <w:left w:type="dxa" w:w="120"/>
              <w:bottom w:type="dxa" w:w="80"/>
              <w:right w:type="dxa" w:w="120"/>
            </w:tcMar>
          </w:tcPr>
          <w:p>
            <w:pPr>
              <w:spacing w:after="0" w:line="240"/>
              <w:jc w:val="right"/>
            </w:pPr>
            <w:r>
              <w:rPr>
                <w:sz w:val="19"/>
                <w:szCs w:val="19"/>
              </w:rPr>
              <w:t xml:space="preserve">−0.0004 A</w:t>
            </w:r>
          </w:p>
        </w:tc>
        <w:tc>
          <w:tcPr>
            <w:tcW w:type="dxa" w:w="1500"/>
            <w:tcMar>
              <w:top w:type="dxa" w:w="80"/>
              <w:left w:type="dxa" w:w="120"/>
              <w:bottom w:type="dxa" w:w="80"/>
              <w:right w:type="dxa" w:w="120"/>
            </w:tcMar>
          </w:tcPr>
          <w:p>
            <w:pPr>
              <w:spacing w:after="0" w:line="240"/>
              <w:jc w:val="right"/>
            </w:pPr>
            <w:r>
              <w:rPr>
                <w:sz w:val="19"/>
                <w:szCs w:val="19"/>
              </w:rPr>
              <w:t xml:space="preserve">0.0004 A</w:t>
            </w:r>
          </w:p>
        </w:tc>
        <w:tc>
          <w:tcPr>
            <w:tcW w:type="dxa" w:w="700"/>
            <w:tcMar>
              <w:top w:type="dxa" w:w="80"/>
              <w:left w:type="dxa" w:w="120"/>
              <w:bottom w:type="dxa" w:w="80"/>
              <w:right w:type="dxa" w:w="120"/>
            </w:tcMar>
          </w:tcPr>
          <w:p>
            <w:pPr>
              <w:spacing w:after="0" w:line="240"/>
              <w:jc w:val="right"/>
            </w:pPr>
            <w:r>
              <w:rPr>
                <w:sz w:val="19"/>
                <w:szCs w:val="19"/>
              </w:rPr>
              <w:t xml:space="preserve">83</w:t>
            </w:r>
          </w:p>
        </w:tc>
        <w:tc>
          <w:tcPr>
            <w:tcW w:type="dxa" w:w="2060"/>
            <w:tcMar>
              <w:top w:type="dxa" w:w="80"/>
              <w:left w:type="dxa" w:w="120"/>
              <w:bottom w:type="dxa" w:w="80"/>
              <w:right w:type="dxa" w:w="120"/>
            </w:tcMar>
          </w:tcPr>
          <w:p>
            <w:pPr>
              <w:spacing w:after="0" w:line="240"/>
            </w:pPr>
            <w:r>
              <w:rPr>
                <w:sz w:val="19"/>
                <w:szCs w:val="19"/>
              </w:rPr>
              <w:t xml:space="preserve">Measured</w:t>
            </w:r>
          </w:p>
        </w:tc>
      </w:tr>
      <w:tr>
        <w:tc>
          <w:tcPr>
            <w:tcW w:type="dxa" w:w="2100"/>
            <w:tcMar>
              <w:top w:type="dxa" w:w="80"/>
              <w:left w:type="dxa" w:w="120"/>
              <w:bottom w:type="dxa" w:w="80"/>
              <w:right w:type="dxa" w:w="120"/>
            </w:tcMar>
          </w:tcPr>
          <w:p>
            <w:pPr>
              <w:spacing w:after="0" w:line="240"/>
            </w:pPr>
            <w:r>
              <w:rPr>
                <w:sz w:val="19"/>
                <w:szCs w:val="19"/>
              </w:rPr>
              <w:t xml:space="preserve">Cell temperature</w:t>
            </w:r>
          </w:p>
        </w:tc>
        <w:tc>
          <w:tcPr>
            <w:tcW w:type="dxa" w:w="1500"/>
            <w:tcMar>
              <w:top w:type="dxa" w:w="80"/>
              <w:left w:type="dxa" w:w="120"/>
              <w:bottom w:type="dxa" w:w="80"/>
              <w:right w:type="dxa" w:w="120"/>
            </w:tcMar>
          </w:tcPr>
          <w:p>
            <w:pPr>
              <w:spacing w:after="0" w:line="240"/>
              <w:jc w:val="right"/>
            </w:pPr>
            <w:r>
              <w:rPr>
                <w:sz w:val="19"/>
                <w:szCs w:val="19"/>
              </w:rPr>
              <w:t xml:space="preserve">—</w:t>
            </w:r>
          </w:p>
        </w:tc>
        <w:tc>
          <w:tcPr>
            <w:tcW w:type="dxa" w:w="1500"/>
            <w:tcMar>
              <w:top w:type="dxa" w:w="80"/>
              <w:left w:type="dxa" w:w="120"/>
              <w:bottom w:type="dxa" w:w="80"/>
              <w:right w:type="dxa" w:w="120"/>
            </w:tcMar>
          </w:tcPr>
          <w:p>
            <w:pPr>
              <w:spacing w:after="0" w:line="240"/>
              <w:jc w:val="right"/>
            </w:pPr>
            <w:r>
              <w:rPr>
                <w:sz w:val="19"/>
                <w:szCs w:val="19"/>
              </w:rPr>
              <w:t xml:space="preserve">—</w:t>
            </w:r>
          </w:p>
        </w:tc>
        <w:tc>
          <w:tcPr>
            <w:tcW w:type="dxa" w:w="1500"/>
            <w:tcMar>
              <w:top w:type="dxa" w:w="80"/>
              <w:left w:type="dxa" w:w="120"/>
              <w:bottom w:type="dxa" w:w="80"/>
              <w:right w:type="dxa" w:w="120"/>
            </w:tcMar>
          </w:tcPr>
          <w:p>
            <w:pPr>
              <w:spacing w:after="0" w:line="240"/>
              <w:jc w:val="right"/>
            </w:pPr>
            <w:r>
              <w:rPr>
                <w:sz w:val="19"/>
                <w:szCs w:val="19"/>
              </w:rPr>
              <w:t xml:space="preserve">—</w:t>
            </w:r>
          </w:p>
        </w:tc>
        <w:tc>
          <w:tcPr>
            <w:tcW w:type="dxa" w:w="700"/>
            <w:tcMar>
              <w:top w:type="dxa" w:w="80"/>
              <w:left w:type="dxa" w:w="120"/>
              <w:bottom w:type="dxa" w:w="80"/>
              <w:right w:type="dxa" w:w="120"/>
            </w:tcMar>
          </w:tcPr>
          <w:p>
            <w:pPr>
              <w:spacing w:after="0" w:line="240"/>
              <w:jc w:val="right"/>
            </w:pPr>
            <w:r>
              <w:rPr>
                <w:sz w:val="19"/>
                <w:szCs w:val="19"/>
              </w:rPr>
              <w:t xml:space="preserve">0</w:t>
            </w:r>
          </w:p>
        </w:tc>
        <w:tc>
          <w:tcPr>
            <w:tcW w:type="dxa" w:w="2060"/>
            <w:tcMar>
              <w:top w:type="dxa" w:w="80"/>
              <w:left w:type="dxa" w:w="120"/>
              <w:bottom w:type="dxa" w:w="80"/>
              <w:right w:type="dxa" w:w="120"/>
            </w:tcMar>
          </w:tcPr>
          <w:p>
            <w:pPr>
              <w:spacing w:after="0" w:line="240"/>
            </w:pPr>
            <w:r>
              <w:rPr>
                <w:sz w:val="19"/>
                <w:szCs w:val="19"/>
              </w:rPr>
              <w:t xml:space="preserve">Not supplied</w:t>
            </w:r>
          </w:p>
        </w:tc>
      </w:tr>
    </w:tbl>
    <w:p>
      <w:pPr>
        <w:spacing w:after="180"/>
      </w:pPr>
    </w:p>
    <w:p>
      <w:pPr>
        <w:pStyle w:val="Heading3"/>
        <w:spacing w:after="110" w:before="220"/>
      </w:pPr>
      <w:r>
        <w:rPr>
          <w:b/>
          <w:bCs/>
          <w:color w:val="2F3B4D"/>
          <w:sz w:val="22"/>
          <w:szCs w:val="22"/>
        </w:rPr>
        <w:t xml:space="preserve">Instrument characterisation</w:t>
      </w:r>
    </w:p>
    <w:p>
      <w:pPr>
        <w:pStyle w:val="ListParagraph"/>
        <w:numPr>
          <w:ilvl w:val="0"/>
          <w:numId w:val="3"/>
        </w:numPr>
        <w:spacing w:after="90" w:line="276"/>
      </w:pPr>
      <w:r>
        <w:rPr>
          <w:sz w:val="21"/>
          <w:szCs w:val="21"/>
        </w:rPr>
        <w:t xml:space="preserve">Every voltage reading is an exact multiple of 4 mV, which is the INA219 bus-channel least significant bit. The converter is resolving at its native resolution with no observable drift across the capture.</w:t>
      </w:r>
    </w:p>
    <w:p>
      <w:pPr>
        <w:pStyle w:val="ListParagraph"/>
        <w:numPr>
          <w:ilvl w:val="0"/>
          <w:numId w:val="3"/>
        </w:numPr>
        <w:spacing w:after="90" w:line="276"/>
      </w:pPr>
      <w:r>
        <w:rPr>
          <w:sz w:val="21"/>
          <w:szCs w:val="21"/>
        </w:rPr>
        <w:t xml:space="preserve">The current channel noise floor at zero current is ±0.4 mA over n = 83, with 48 of 83 samples reading exactly zero. This is a measured instrument characteristic, not a datasheet figure.</w:t>
      </w:r>
    </w:p>
    <w:p>
      <w:pPr>
        <w:pStyle w:val="ListParagraph"/>
        <w:numPr>
          <w:ilvl w:val="0"/>
          <w:numId w:val="3"/>
        </w:numPr>
        <w:spacing w:after="90" w:line="276"/>
      </w:pPr>
      <w:r>
        <w:rPr>
          <w:sz w:val="21"/>
          <w:szCs w:val="21"/>
        </w:rPr>
        <w:t xml:space="preserve">Frame acceptance was 83/83 (100%), with zero checksum failures and zero non-conforming lines.</w:t>
      </w:r>
    </w:p>
    <w:p>
      <w:pPr>
        <w:pStyle w:val="Heading2"/>
        <w:spacing w:after="130" w:before="280"/>
      </w:pPr>
      <w:r>
        <w:rPr>
          <w:b/>
          <w:bCs/>
          <w:color w:val="1B2433"/>
          <w:sz w:val="25"/>
          <w:szCs w:val="25"/>
        </w:rPr>
        <w:t xml:space="preserve">9.6 What the hardware does not establish</w:t>
      </w:r>
    </w:p>
    <w:tbl>
      <w:tblPr>
        <w:tblW w:type="dxa" w:w="9360"/>
        <w:tblBorders>
          <w:top w:val="single" w:color="DDE5DF" w:sz="2"/>
          <w:left w:val="single" w:color="B3261E" w:sz="18"/>
          <w:bottom w:val="single" w:color="DDE5DF" w:sz="2"/>
          <w:right w:val="single" w:color="DDE5DF" w:sz="2"/>
          <w:insideH w:val="none"/>
          <w:insideV w:val="none"/>
        </w:tblBorders>
      </w:tblPr>
      <w:tblGrid>
        <w:gridCol w:w="9360"/>
      </w:tblGrid>
      <w:tr>
        <w:tc>
          <w:tcPr>
            <w:tcW w:type="dxa" w:w="9360"/>
            <w:shd w:fill="FBF0EF" w:val="clear"/>
            <w:tcMar>
              <w:top w:type="dxa" w:w="140"/>
              <w:left w:type="dxa" w:w="200"/>
              <w:bottom w:type="dxa" w:w="140"/>
              <w:right w:type="dxa" w:w="200"/>
            </w:tcMar>
          </w:tcPr>
          <w:p>
            <w:pPr>
              <w:spacing w:after="100" w:line="276"/>
            </w:pPr>
            <w:r>
              <w:rPr>
                <w:b/>
                <w:bCs/>
                <w:sz w:val="21"/>
                <w:szCs w:val="21"/>
              </w:rPr>
              <w:t xml:space="preserve">Stage A — transport validated. </w:t>
            </w:r>
            <w:r>
              <w:rPr>
                <w:sz w:val="21"/>
                <w:szCs w:val="21"/>
              </w:rPr>
              <w:t xml:space="preserve">An earlier capture of 151/151 accepted records validated framing, checksums, sentinel resync and time monotonicity on physical silicon. That firmware ran synthetic sensor stubs: the numbers were generated on the board and carried over a real wire. It validates the transport, not any measurement.</w:t>
            </w:r>
          </w:p>
          <w:p>
            <w:pPr>
              <w:spacing w:after="100" w:line="276"/>
            </w:pPr>
            <w:r>
              <w:rPr>
                <w:b/>
                <w:bCs/>
                <w:sz w:val="21"/>
                <w:szCs w:val="21"/>
              </w:rPr>
              <w:t xml:space="preserve">Stage B — measurement, partially. </w:t>
            </w:r>
            <w:r>
              <w:rPr>
                <w:sz w:val="21"/>
                <w:szCs w:val="21"/>
              </w:rPr>
              <w:t xml:space="preserve">Voltage and current are genuine instrument readings from a physical cell. Temperature is absent: the LM35 did not read, the rig declined to declare the channel, and the coverage gate consequently refused to produce a health index, RUL or state of health.</w:t>
            </w:r>
          </w:p>
          <w:p>
            <w:pPr>
              <w:spacing w:after="0" w:line="276"/>
            </w:pPr>
            <w:r>
              <w:rPr>
                <w:b/>
                <w:bCs/>
                <w:sz w:val="21"/>
                <w:szCs w:val="21"/>
              </w:rPr>
              <w:t xml:space="preserve">Not established. </w:t>
            </w:r>
            <w:r>
              <w:rPr>
                <w:sz w:val="21"/>
                <w:szCs w:val="21"/>
              </w:rPr>
              <w:t xml:space="preserve">No coulomb-counting accuracy claim is made, because no independent reference instrument was available to compare against. No charge-side behaviour was recorded. No capacity measurement was performed.</w:t>
            </w:r>
          </w:p>
        </w:tc>
      </w:tr>
    </w:tbl>
    <w:p>
      <w:pPr>
        <w:spacing w:after="180"/>
      </w:pPr>
    </w:p>
    <w:p>
      <w:pPr>
        <w:spacing w:after="140" w:line="276"/>
      </w:pPr>
      <w:r>
        <w:rPr>
          <w:sz w:val="21"/>
          <w:szCs w:val="21"/>
        </w:rPr>
        <w:t xml:space="preserve">The refusal in Stage B is reproduced here verbatim, because it is the system behaving as designed rather than failing:</w:t>
      </w:r>
    </w:p>
    <w:p>
      <w:pPr>
        <w:spacing w:after="40" w:line="276"/>
      </w:pPr>
      <w:r>
        <w:rPr>
          <w:rFonts w:ascii="Consolas" w:cs="Consolas" w:eastAsia="Consolas" w:hAnsi="Consolas"/>
          <w:sz w:val="19"/>
          <w:szCs w:val="19"/>
        </w:rPr>
        <w:t xml:space="preserve">signal coverage: INCOMPLETE</w:t>
      </w:r>
    </w:p>
    <w:p>
      <w:pPr>
        <w:spacing w:after="40" w:line="276"/>
      </w:pPr>
      <w:r>
        <w:rPr>
          <w:rFonts w:ascii="Consolas" w:cs="Consolas" w:eastAsia="Consolas" w:hAnsi="Consolas"/>
          <w:sz w:val="19"/>
          <w:szCs w:val="19"/>
        </w:rPr>
        <w:t xml:space="preserve">  missing: temperature_c</w:t>
      </w:r>
    </w:p>
    <w:p>
      <w:pPr>
        <w:spacing w:after="40" w:line="276"/>
      </w:pPr>
      <w:r>
        <w:rPr>
          <w:rFonts w:ascii="Consolas" w:cs="Consolas" w:eastAsia="Consolas" w:hAnsi="Consolas"/>
          <w:sz w:val="19"/>
          <w:szCs w:val="19"/>
        </w:rPr>
        <w:t xml:space="preserve">MISSING temperature_c -&gt; needed by behaviour features</w:t>
      </w:r>
    </w:p>
    <w:p>
      <w:pPr>
        <w:spacing w:after="40" w:line="276"/>
      </w:pPr>
      <w:r>
        <w:rPr>
          <w:rFonts w:ascii="Consolas" w:cs="Consolas" w:eastAsia="Consolas" w:hAnsi="Consolas"/>
          <w:sz w:val="19"/>
          <w:szCs w:val="19"/>
        </w:rPr>
        <w:t xml:space="preserve">    (high_temp_flag, temp_rolling_*)</w:t>
      </w:r>
    </w:p>
    <w:p>
      <w:pPr>
        <w:spacing w:after="200" w:line="276"/>
      </w:pPr>
      <w:r>
        <w:rPr>
          <w:rFonts w:ascii="Consolas" w:cs="Consolas" w:eastAsia="Consolas" w:hAnsi="Consolas"/>
          <w:sz w:val="19"/>
          <w:szCs w:val="19"/>
        </w:rPr>
        <w:t xml:space="preserve">This rig cannot drive the full feature pipeline.</w:t>
      </w:r>
    </w:p>
    <w:p>
      <w:pPr>
        <w:spacing w:after="140" w:line="276"/>
      </w:pPr>
      <w:r>
        <w:rPr>
          <w:sz w:val="21"/>
          <w:szCs w:val="21"/>
        </w:rPr>
        <w:t xml:space="preserve">The pipeline accepted every record, compared the delivered channels against those the feature layer requires, and declined to score — naming the missing channel and the specific features that depend on it. The voltage and current measurements are unaffected and are reported alongside the refusal.</w:t>
      </w:r>
    </w:p>
    <w:p>
      <w:pPr>
        <w:pStyle w:val="Heading2"/>
        <w:spacing w:after="130" w:before="280"/>
      </w:pPr>
      <w:r>
        <w:rPr>
          <w:b/>
          <w:bCs/>
          <w:color w:val="1B2433"/>
          <w:sz w:val="25"/>
          <w:szCs w:val="25"/>
        </w:rPr>
        <w:t xml:space="preserve">9.7 Integration constraint encountered</w:t>
      </w:r>
    </w:p>
    <w:p>
      <w:pPr>
        <w:spacing w:after="140" w:line="276"/>
      </w:pPr>
      <w:r>
        <w:rPr>
          <w:sz w:val="21"/>
          <w:szCs w:val="21"/>
        </w:rPr>
        <w:t xml:space="preserve">The CH340 USB-to-serial bridge on the development board accepts only 9600 and 19200 baud; 38400 and above are refused at the driver level. This was diagnosed by probing the baud ladder rather than assumed. The firmware’s serial rate is a build-time override, so the board-specific value was applied without changing the repository default of 115200, which would otherwise have desynchronised the firmware and host for every other user.</w:t>
      </w:r>
    </w:p>
    <w:p>
      <w:r>
        <w:br w:type="page"/>
      </w:r>
    </w:p>
    <w:p>
      <w:pPr>
        <w:pStyle w:val="Heading1"/>
        <w:spacing w:after="170" w:before="380"/>
      </w:pPr>
      <w:r>
        <w:rPr>
          <w:b/>
          <w:bCs/>
          <w:color w:val="111826"/>
          <w:sz w:val="30"/>
          <w:szCs w:val="30"/>
        </w:rPr>
        <w:t xml:space="preserve">10. Limitations and Threats to Validity</w:t>
      </w:r>
    </w:p>
    <w:p>
      <w:pPr>
        <w:pStyle w:val="Heading2"/>
        <w:spacing w:after="130" w:before="280"/>
      </w:pPr>
      <w:r>
        <w:rPr>
          <w:b/>
          <w:bCs/>
          <w:color w:val="1B2433"/>
          <w:sz w:val="25"/>
          <w:szCs w:val="25"/>
        </w:rPr>
        <w:t xml:space="preserve">10.1 Statistical</w:t>
      </w:r>
    </w:p>
    <w:p>
      <w:pPr>
        <w:pStyle w:val="ListParagraph"/>
        <w:numPr>
          <w:ilvl w:val="0"/>
          <w:numId w:val="3"/>
        </w:numPr>
        <w:spacing w:after="90" w:line="276"/>
      </w:pPr>
      <w:r>
        <w:rPr>
          <w:sz w:val="21"/>
          <w:szCs w:val="21"/>
        </w:rPr>
        <w:t xml:space="preserve">Sample size. 33 cells across 9 cohorts is small for cohort-level inference. The estimator-variance result in Section 8 is precisely a statement about this limitation, and it applies to this project’s own conclusions as much as to anyone else’s.</w:t>
      </w:r>
    </w:p>
    <w:p>
      <w:pPr>
        <w:pStyle w:val="ListParagraph"/>
        <w:numPr>
          <w:ilvl w:val="0"/>
          <w:numId w:val="3"/>
        </w:numPr>
        <w:spacing w:after="90" w:line="276"/>
      </w:pPr>
      <w:r>
        <w:rPr>
          <w:sz w:val="21"/>
          <w:szCs w:val="21"/>
        </w:rPr>
        <w:t xml:space="preserve">Cohort imbalance. Three to four batteries per cohort is insufficient to identify a mixed-effects variance component, which is why a full LOBO cross-validation of the mixed model was deliberately not run: with an unidentified variance component the resulting number would not have been interpretable.</w:t>
      </w:r>
    </w:p>
    <w:p>
      <w:pPr>
        <w:pStyle w:val="ListParagraph"/>
        <w:numPr>
          <w:ilvl w:val="0"/>
          <w:numId w:val="3"/>
        </w:numPr>
        <w:spacing w:after="90" w:line="276"/>
      </w:pPr>
      <w:r>
        <w:rPr>
          <w:sz w:val="21"/>
          <w:szCs w:val="21"/>
        </w:rPr>
        <w:t xml:space="preserve">Single-frame estimates. Any figure computed from one LOCO draw should be read as an interval, not a point. This is why no ranking claim is offered.</w:t>
      </w:r>
    </w:p>
    <w:p>
      <w:pPr>
        <w:pStyle w:val="Heading2"/>
        <w:spacing w:after="130" w:before="280"/>
      </w:pPr>
      <w:r>
        <w:rPr>
          <w:b/>
          <w:bCs/>
          <w:color w:val="1B2433"/>
          <w:sz w:val="25"/>
          <w:szCs w:val="25"/>
        </w:rPr>
        <w:t xml:space="preserve">10.2 Measurement</w:t>
      </w:r>
    </w:p>
    <w:p>
      <w:pPr>
        <w:pStyle w:val="ListParagraph"/>
        <w:numPr>
          <w:ilvl w:val="0"/>
          <w:numId w:val="3"/>
        </w:numPr>
        <w:spacing w:after="90" w:line="276"/>
      </w:pPr>
      <w:r>
        <w:rPr>
          <w:sz w:val="21"/>
          <w:szCs w:val="21"/>
        </w:rPr>
        <w:t xml:space="preserve">The reversible thermal offset of Section 7 is not corrected for. Cross-cohort results should be read with that confound present.</w:t>
      </w:r>
    </w:p>
    <w:p>
      <w:pPr>
        <w:pStyle w:val="ListParagraph"/>
        <w:numPr>
          <w:ilvl w:val="0"/>
          <w:numId w:val="3"/>
        </w:numPr>
        <w:spacing w:after="90" w:line="276"/>
      </w:pPr>
      <w:r>
        <w:rPr>
          <w:sz w:val="21"/>
          <w:szCs w:val="21"/>
        </w:rPr>
        <w:t xml:space="preserve">Capacity is derived from the datasets’ own reported discharge capacity and inherits whatever measurement protocol each laboratory used.</w:t>
      </w:r>
    </w:p>
    <w:p>
      <w:pPr>
        <w:pStyle w:val="Heading2"/>
        <w:spacing w:after="130" w:before="280"/>
      </w:pPr>
      <w:r>
        <w:rPr>
          <w:b/>
          <w:bCs/>
          <w:color w:val="1B2433"/>
          <w:sz w:val="25"/>
          <w:szCs w:val="25"/>
        </w:rPr>
        <w:t xml:space="preserve">10.3 Hardware</w:t>
      </w:r>
    </w:p>
    <w:p>
      <w:pPr>
        <w:pStyle w:val="ListParagraph"/>
        <w:numPr>
          <w:ilvl w:val="0"/>
          <w:numId w:val="3"/>
        </w:numPr>
        <w:spacing w:after="90" w:line="276"/>
      </w:pPr>
      <w:r>
        <w:rPr>
          <w:sz w:val="21"/>
          <w:szCs w:val="21"/>
        </w:rPr>
        <w:t xml:space="preserve">No independent reference instrument. Coulomb-counting accuracy is unvalidated and no accuracy claim is made.</w:t>
      </w:r>
    </w:p>
    <w:p>
      <w:pPr>
        <w:pStyle w:val="ListParagraph"/>
        <w:numPr>
          <w:ilvl w:val="0"/>
          <w:numId w:val="3"/>
        </w:numPr>
        <w:spacing w:after="90" w:line="276"/>
      </w:pPr>
      <w:r>
        <w:rPr>
          <w:sz w:val="21"/>
          <w:szCs w:val="21"/>
        </w:rPr>
        <w:t xml:space="preserve">The temperature channel is not functional. All temperature-dependent behavioural features are unexercised on hardware.</w:t>
      </w:r>
    </w:p>
    <w:p>
      <w:pPr>
        <w:pStyle w:val="ListParagraph"/>
        <w:numPr>
          <w:ilvl w:val="0"/>
          <w:numId w:val="3"/>
        </w:numPr>
        <w:spacing w:after="90" w:line="276"/>
      </w:pPr>
      <w:r>
        <w:rPr>
          <w:sz w:val="21"/>
          <w:szCs w:val="21"/>
        </w:rPr>
        <w:t xml:space="preserve">Measurements were taken at rest. No discharge above the 0.5 A rest threshold was performed, so cycle segmentation is unexercised on live hardware.</w:t>
      </w:r>
    </w:p>
    <w:p>
      <w:pPr>
        <w:pStyle w:val="ListParagraph"/>
        <w:numPr>
          <w:ilvl w:val="0"/>
          <w:numId w:val="3"/>
        </w:numPr>
        <w:spacing w:after="90" w:line="276"/>
      </w:pPr>
      <w:r>
        <w:rPr>
          <w:sz w:val="21"/>
          <w:szCs w:val="21"/>
        </w:rPr>
        <w:t xml:space="preserve">Single cell, single rig, single capture. No repeatability statistics across cells or sessions.</w:t>
      </w:r>
    </w:p>
    <w:p>
      <w:pPr>
        <w:pStyle w:val="Heading2"/>
        <w:spacing w:after="130" w:before="280"/>
      </w:pPr>
      <w:r>
        <w:rPr>
          <w:b/>
          <w:bCs/>
          <w:color w:val="1B2433"/>
          <w:sz w:val="25"/>
          <w:szCs w:val="25"/>
        </w:rPr>
        <w:t xml:space="preserve">10.4 Scope</w:t>
      </w:r>
    </w:p>
    <w:p>
      <w:pPr>
        <w:pStyle w:val="ListParagraph"/>
        <w:numPr>
          <w:ilvl w:val="0"/>
          <w:numId w:val="3"/>
        </w:numPr>
        <w:spacing w:after="90" w:line="276"/>
      </w:pPr>
      <w:r>
        <w:rPr>
          <w:sz w:val="21"/>
          <w:szCs w:val="21"/>
        </w:rPr>
        <w:t xml:space="preserve">The literature survey is incomplete and is deliberately left in its incomplete state rather than padded.</w:t>
      </w:r>
    </w:p>
    <w:p>
      <w:pPr>
        <w:pStyle w:val="ListParagraph"/>
        <w:numPr>
          <w:ilvl w:val="0"/>
          <w:numId w:val="3"/>
        </w:numPr>
        <w:spacing w:after="90" w:line="276"/>
      </w:pPr>
      <w:r>
        <w:rPr>
          <w:sz w:val="21"/>
          <w:szCs w:val="21"/>
        </w:rPr>
        <w:t xml:space="preserve">Committed conformal-prediction artefacts did not reproduce exactly on re-run, with a fold-count discrepancy. This is recorded as open rather than resolved, and the pinned figures were not adjusted to match the new run.</w:t>
      </w:r>
    </w:p>
    <w:p>
      <w:r>
        <w:br w:type="page"/>
      </w:r>
    </w:p>
    <w:p>
      <w:pPr>
        <w:pStyle w:val="Heading1"/>
        <w:spacing w:after="170" w:before="380"/>
      </w:pPr>
      <w:r>
        <w:rPr>
          <w:b/>
          <w:bCs/>
          <w:color w:val="111826"/>
          <w:sz w:val="30"/>
          <w:szCs w:val="30"/>
        </w:rPr>
        <w:t xml:space="preserve">11. Conclusions and Future Work</w:t>
      </w:r>
    </w:p>
    <w:p>
      <w:pPr>
        <w:pStyle w:val="Heading2"/>
        <w:spacing w:after="130" w:before="280"/>
      </w:pPr>
      <w:r>
        <w:rPr>
          <w:b/>
          <w:bCs/>
          <w:color w:val="1B2433"/>
          <w:sz w:val="25"/>
          <w:szCs w:val="25"/>
        </w:rPr>
        <w:t xml:space="preserve">11.1 Conclusions</w:t>
      </w:r>
    </w:p>
    <w:p>
      <w:pPr>
        <w:pStyle w:val="ListParagraph"/>
        <w:numPr>
          <w:ilvl w:val="0"/>
          <w:numId w:val="2"/>
        </w:numPr>
        <w:spacing w:after="90" w:line="276"/>
      </w:pPr>
      <w:r>
        <w:rPr>
          <w:sz w:val="21"/>
          <w:szCs w:val="21"/>
        </w:rPr>
        <w:t xml:space="preserve">The prediction target originally chosen, per-cycle capacity delta, is approximately 96% measurement noise, with a maximum attainable R² of 0.044. Target definition dominated the original negative result.</w:t>
      </w:r>
    </w:p>
    <w:p>
      <w:pPr>
        <w:pStyle w:val="ListParagraph"/>
        <w:numPr>
          <w:ilvl w:val="0"/>
          <w:numId w:val="2"/>
        </w:numPr>
        <w:spacing w:after="90" w:line="276"/>
      </w:pPr>
      <w:r>
        <w:rPr>
          <w:sz w:val="21"/>
          <w:szCs w:val="21"/>
        </w:rPr>
        <w:t xml:space="preserve">Model ranking under leave-one-battery-out validation carries essentially no information about ranking under leave-one-cohort-out validation (ρ = +0.084, p = 0.795, n = 12), and selecting on the former costs 0.309 R².</w:t>
      </w:r>
    </w:p>
    <w:p>
      <w:pPr>
        <w:pStyle w:val="ListParagraph"/>
        <w:numPr>
          <w:ilvl w:val="0"/>
          <w:numId w:val="2"/>
        </w:numPr>
        <w:spacing w:after="90" w:line="276"/>
      </w:pPr>
      <w:r>
        <w:rPr>
          <w:sz w:val="21"/>
          <w:szCs w:val="21"/>
        </w:rPr>
        <w:t xml:space="preserve">Across twelve published methods, a straight line on cycle count is the most robust under protocol shift. All behavioural and nonlinear modelling buys approximately 0.05 R² over it.</w:t>
      </w:r>
    </w:p>
    <w:p>
      <w:pPr>
        <w:pStyle w:val="ListParagraph"/>
        <w:numPr>
          <w:ilvl w:val="0"/>
          <w:numId w:val="2"/>
        </w:numPr>
        <w:spacing w:after="90" w:line="276"/>
      </w:pPr>
      <w:r>
        <w:rPr>
          <w:sz w:val="21"/>
          <w:szCs w:val="21"/>
        </w:rPr>
        <w:t xml:space="preserve">A reversible thermal offset of approximately 8 SOH points exists in apparent capacity before any degradation, is constant within a cohort and anti-correlated with true thermal aging across cohorts, and mechanically explains the sign reversal observed in cross-cohort fitting.</w:t>
      </w:r>
    </w:p>
    <w:p>
      <w:pPr>
        <w:pStyle w:val="ListParagraph"/>
        <w:numPr>
          <w:ilvl w:val="0"/>
          <w:numId w:val="2"/>
        </w:numPr>
        <w:spacing w:after="90" w:line="276"/>
      </w:pPr>
      <w:r>
        <w:rPr>
          <w:sz w:val="21"/>
          <w:szCs w:val="21"/>
        </w:rPr>
        <w:t xml:space="preserve">At these sample sizes a single leave-one-cohort-out estimate is roughly 2.7 times noisier than the effect it is used to rank. Six ranking claims were made during this work and all six were withdrawn.</w:t>
      </w:r>
    </w:p>
    <w:p>
      <w:pPr>
        <w:pStyle w:val="ListParagraph"/>
        <w:numPr>
          <w:ilvl w:val="0"/>
          <w:numId w:val="2"/>
        </w:numPr>
        <w:spacing w:after="90" w:line="276"/>
      </w:pPr>
      <w:r>
        <w:rPr>
          <w:sz w:val="21"/>
          <w:szCs w:val="21"/>
        </w:rPr>
        <w:t xml:space="preserve">A physical rig measures terminal voltage and current on a real cell, and the validation gate correctly refuses to produce health, RUL or SOH when a required channel is absent.</w:t>
      </w:r>
    </w:p>
    <w:p>
      <w:pPr>
        <w:pStyle w:val="Heading2"/>
        <w:spacing w:after="130" w:before="280"/>
      </w:pPr>
      <w:r>
        <w:rPr>
          <w:b/>
          <w:bCs/>
          <w:color w:val="1B2433"/>
          <w:sz w:val="25"/>
          <w:szCs w:val="25"/>
        </w:rPr>
        <w:t xml:space="preserve">11.2 Future work, in order of value</w:t>
      </w:r>
    </w:p>
    <w:p>
      <w:pPr>
        <w:pStyle w:val="ListParagraph"/>
        <w:numPr>
          <w:ilvl w:val="0"/>
          <w:numId w:val="2"/>
        </w:numPr>
        <w:spacing w:after="90" w:line="276"/>
      </w:pPr>
      <w:r>
        <w:rPr>
          <w:sz w:val="21"/>
          <w:szCs w:val="21"/>
        </w:rPr>
        <w:t xml:space="preserve">Capacity normalisation to a controlled reference temperature before cross-protocol comparison. Section 7 identifies this as the single largest confound in the cross-cohort analysis.</w:t>
      </w:r>
    </w:p>
    <w:p>
      <w:pPr>
        <w:pStyle w:val="ListParagraph"/>
        <w:numPr>
          <w:ilvl w:val="0"/>
          <w:numId w:val="2"/>
        </w:numPr>
        <w:spacing w:after="90" w:line="276"/>
      </w:pPr>
      <w:r>
        <w:rPr>
          <w:sz w:val="21"/>
          <w:szCs w:val="21"/>
        </w:rPr>
        <w:t xml:space="preserve">An independent capacity reference instrument, enabling a coulomb-counting accuracy claim and closing the principal hardware limitation.</w:t>
      </w:r>
    </w:p>
    <w:p>
      <w:pPr>
        <w:pStyle w:val="ListParagraph"/>
        <w:numPr>
          <w:ilvl w:val="0"/>
          <w:numId w:val="2"/>
        </w:numPr>
        <w:spacing w:after="90" w:line="276"/>
      </w:pPr>
      <w:r>
        <w:rPr>
          <w:sz w:val="21"/>
          <w:szCs w:val="21"/>
        </w:rPr>
        <w:t xml:space="preserve">A dataset with 8–10 or more batteries per cohort, sufficient to identify the mixed-effects variance component that the present data cannot.</w:t>
      </w:r>
    </w:p>
    <w:p>
      <w:pPr>
        <w:pStyle w:val="ListParagraph"/>
        <w:numPr>
          <w:ilvl w:val="0"/>
          <w:numId w:val="2"/>
        </w:numPr>
        <w:spacing w:after="90" w:line="276"/>
      </w:pPr>
      <w:r>
        <w:rPr>
          <w:sz w:val="21"/>
          <w:szCs w:val="21"/>
        </w:rPr>
        <w:t xml:space="preserve">Restoration of the temperature channel and a full charge–discharge cycle on hardware, exercising cycle segmentation and the temperature-dependent features end to end.</w:t>
      </w:r>
    </w:p>
    <w:p>
      <w:pPr>
        <w:pStyle w:val="ListParagraph"/>
        <w:numPr>
          <w:ilvl w:val="0"/>
          <w:numId w:val="2"/>
        </w:numPr>
        <w:spacing w:after="90" w:line="276"/>
      </w:pPr>
      <w:r>
        <w:rPr>
          <w:sz w:val="21"/>
          <w:szCs w:val="21"/>
        </w:rPr>
        <w:t xml:space="preserve">Interval reporting as standard for all leave-one-cohort-out estimates, following Section 8.4.</w:t>
      </w:r>
    </w:p>
    <w:p>
      <w:r>
        <w:br w:type="page"/>
      </w:r>
    </w:p>
    <w:p>
      <w:pPr>
        <w:pStyle w:val="Heading1"/>
        <w:spacing w:after="170" w:before="380"/>
      </w:pPr>
      <w:r>
        <w:rPr>
          <w:b/>
          <w:bCs/>
          <w:color w:val="111826"/>
          <w:sz w:val="30"/>
          <w:szCs w:val="30"/>
        </w:rPr>
        <w:t xml:space="preserve">Appendix A: Reproduction</w:t>
      </w:r>
    </w:p>
    <w:p>
      <w:pPr>
        <w:spacing w:after="140" w:line="276"/>
      </w:pPr>
      <w:r>
        <w:rPr>
          <w:sz w:val="21"/>
          <w:szCs w:val="21"/>
        </w:rPr>
        <w:t xml:space="preserve">Every command below runs on a fresh clone with no hardware, no database, no API keys and no dataset download.</w:t>
      </w:r>
    </w:p>
    <w:p>
      <w:pPr>
        <w:spacing w:after="40" w:line="276"/>
      </w:pPr>
      <w:r>
        <w:rPr>
          <w:rFonts w:ascii="Consolas" w:cs="Consolas" w:eastAsia="Consolas" w:hAnsi="Consolas"/>
          <w:sz w:val="19"/>
          <w:szCs w:val="19"/>
        </w:rPr>
        <w:t xml:space="preserve">git clone https://github.com/Navvu-gityhub/Behavior-Aware-BMS.git</w:t>
      </w:r>
    </w:p>
    <w:p>
      <w:pPr>
        <w:spacing w:after="40" w:line="276"/>
      </w:pPr>
      <w:r>
        <w:rPr>
          <w:rFonts w:ascii="Consolas" w:cs="Consolas" w:eastAsia="Consolas" w:hAnsi="Consolas"/>
          <w:sz w:val="19"/>
          <w:szCs w:val="19"/>
        </w:rPr>
        <w:t xml:space="preserve">cd Behavior-Aware-BMS</w:t>
      </w:r>
    </w:p>
    <w:p>
      <w:pPr>
        <w:spacing w:after="160" w:line="276"/>
      </w:pPr>
      <w:r>
        <w:rPr>
          <w:rFonts w:ascii="Consolas" w:cs="Consolas" w:eastAsia="Consolas" w:hAnsi="Consolas"/>
          <w:sz w:val="19"/>
          <w:szCs w:val="19"/>
        </w:rPr>
        <w:t xml:space="preserve">pip install -r requirements-dev.txt</w:t>
      </w:r>
    </w:p>
    <w:p>
      <w:pPr>
        <w:spacing w:after="40" w:line="276"/>
      </w:pPr>
      <w:r>
        <w:rPr>
          <w:rFonts w:ascii="Consolas" w:cs="Consolas" w:eastAsia="Consolas" w:hAnsi="Consolas"/>
          <w:sz w:val="19"/>
          <w:szCs w:val="19"/>
        </w:rPr>
        <w:t xml:space="preserve">python main.py                      # end-to-end run</w:t>
      </w:r>
    </w:p>
    <w:p>
      <w:pPr>
        <w:spacing w:after="40" w:line="276"/>
      </w:pPr>
      <w:r>
        <w:rPr>
          <w:rFonts w:ascii="Consolas" w:cs="Consolas" w:eastAsia="Consolas" w:hAnsi="Consolas"/>
          <w:sz w:val="19"/>
          <w:szCs w:val="19"/>
        </w:rPr>
        <w:t xml:space="preserve">python scripts/run_serial_demo.py   # rig -&gt; parser -&gt; gate</w:t>
      </w:r>
    </w:p>
    <w:p>
      <w:pPr>
        <w:spacing w:after="200" w:line="276"/>
      </w:pPr>
      <w:r>
        <w:rPr>
          <w:rFonts w:ascii="Consolas" w:cs="Consolas" w:eastAsia="Consolas" w:hAnsi="Consolas"/>
          <w:sz w:val="19"/>
          <w:szCs w:val="19"/>
        </w:rPr>
        <w:t xml:space="preserve">python -m pytest tests/ -q          # 33 test modules</w:t>
      </w:r>
    </w:p>
    <w:p>
      <w:pPr>
        <w:spacing w:after="140" w:line="276"/>
      </w:pPr>
      <w:r>
        <w:rPr>
          <w:sz w:val="21"/>
          <w:szCs w:val="21"/>
        </w:rPr>
        <w:t xml:space="preserve">Hardware capture replay, reproducing the figures in Section 9.5:</w:t>
      </w:r>
    </w:p>
    <w:p>
      <w:pPr>
        <w:spacing w:after="40" w:line="276"/>
      </w:pPr>
      <w:r>
        <w:rPr>
          <w:rFonts w:ascii="Consolas" w:cs="Consolas" w:eastAsia="Consolas" w:hAnsi="Consolas"/>
          <w:sz w:val="19"/>
          <w:szCs w:val="19"/>
        </w:rPr>
        <w:t xml:space="preserve">python scripts/run_serial_demo.py --replay \\</w:t>
      </w:r>
    </w:p>
    <w:p>
      <w:pPr>
        <w:spacing w:after="200" w:line="276"/>
      </w:pPr>
      <w:r>
        <w:rPr>
          <w:rFonts w:ascii="Consolas" w:cs="Consolas" w:eastAsia="Consolas" w:hAnsi="Consolas"/>
          <w:sz w:val="19"/>
          <w:szCs w:val="19"/>
        </w:rPr>
        <w:t xml:space="preserve">    data/interim/rig_stage_b_voltage_verified.txt</w:t>
      </w:r>
    </w:p>
    <w:p>
      <w:pPr>
        <w:spacing w:after="140" w:line="276"/>
      </w:pPr>
      <w:r>
        <w:rPr>
          <w:sz w:val="21"/>
          <w:szCs w:val="21"/>
        </w:rPr>
        <w:t xml:space="preserve">Firmware build for the bench rig, with the board-specific serial rate and real sensors enabled:</w:t>
      </w:r>
    </w:p>
    <w:p>
      <w:pPr>
        <w:spacing w:after="40" w:line="276"/>
      </w:pPr>
      <w:r>
        <w:rPr>
          <w:rFonts w:ascii="Consolas" w:cs="Consolas" w:eastAsia="Consolas" w:hAnsi="Consolas"/>
          <w:sz w:val="19"/>
          <w:szCs w:val="19"/>
        </w:rPr>
        <w:t xml:space="preserve">arduino-cli compile --fqbn esp8266:esp8266:nodemcuv2 \\</w:t>
      </w:r>
    </w:p>
    <w:p>
      <w:pPr>
        <w:spacing w:after="40" w:line="276"/>
      </w:pPr>
      <w:r>
        <w:rPr>
          <w:rFonts w:ascii="Consolas" w:cs="Consolas" w:eastAsia="Consolas" w:hAnsi="Consolas"/>
          <w:sz w:val="19"/>
          <w:szCs w:val="19"/>
        </w:rPr>
        <w:t xml:space="preserve">  --build-property "compiler.cpp.extra_flags=\\</w:t>
      </w:r>
    </w:p>
    <w:p>
      <w:pPr>
        <w:spacing w:after="40" w:line="276"/>
      </w:pPr>
      <w:r>
        <w:rPr>
          <w:rFonts w:ascii="Consolas" w:cs="Consolas" w:eastAsia="Consolas" w:hAnsi="Consolas"/>
          <w:sz w:val="19"/>
          <w:szCs w:val="19"/>
        </w:rPr>
        <w:t xml:space="preserve">     -DSERIAL_BAUD=9600 -DUSE_REAL_SENSORS=1" \\</w:t>
      </w:r>
    </w:p>
    <w:p>
      <w:pPr>
        <w:spacing w:after="220" w:line="276"/>
      </w:pPr>
      <w:r>
        <w:rPr>
          <w:rFonts w:ascii="Consolas" w:cs="Consolas" w:eastAsia="Consolas" w:hAnsi="Consolas"/>
          <w:sz w:val="19"/>
          <w:szCs w:val="19"/>
        </w:rPr>
        <w:t xml:space="preserve">  firmware/beacon_rig</w:t>
      </w:r>
    </w:p>
    <w:p>
      <w:pPr>
        <w:pStyle w:val="Heading2"/>
        <w:spacing w:after="130" w:before="280"/>
      </w:pPr>
      <w:r>
        <w:rPr>
          <w:b/>
          <w:bCs/>
          <w:color w:val="1B2433"/>
          <w:sz w:val="25"/>
          <w:szCs w:val="25"/>
        </w:rPr>
        <w:t xml:space="preserve">Key artefacts</w:t>
      </w:r>
    </w:p>
    <w:tbl>
      <w:tblPr>
        <w:tblW w:type="dxa" w:w="9360"/>
        <w:tblBorders>
          <w:top w:val="single" w:color="B9C2CE" w:sz="4"/>
          <w:left w:val="none"/>
          <w:bottom w:val="single" w:color="B9C2CE" w:sz="4"/>
          <w:right w:val="none"/>
          <w:insideH w:val="single" w:color="E1E6EC" w:sz="2"/>
          <w:insideV w:val="none"/>
        </w:tblBorders>
      </w:tblPr>
      <w:tblGrid>
        <w:gridCol w:w="3600"/>
        <w:gridCol w:w="5760"/>
      </w:tblGrid>
      <w:tr>
        <w:trPr>
          <w:tblHeader/>
        </w:trPr>
        <w:tc>
          <w:tcPr>
            <w:tcW w:type="dxa" w:w="3600"/>
            <w:shd w:fill="EEF2F6" w:val="clear"/>
            <w:tcMar>
              <w:top w:type="dxa" w:w="80"/>
              <w:left w:type="dxa" w:w="120"/>
              <w:bottom w:type="dxa" w:w="80"/>
              <w:right w:type="dxa" w:w="120"/>
            </w:tcMar>
          </w:tcPr>
          <w:p>
            <w:pPr>
              <w:spacing w:after="0" w:line="240"/>
            </w:pPr>
            <w:r>
              <w:rPr>
                <w:b/>
                <w:bCs/>
                <w:sz w:val="19"/>
                <w:szCs w:val="19"/>
              </w:rPr>
              <w:t xml:space="preserve">Path</w:t>
            </w:r>
          </w:p>
        </w:tc>
        <w:tc>
          <w:tcPr>
            <w:tcW w:type="dxa" w:w="5760"/>
            <w:shd w:fill="EEF2F6" w:val="clear"/>
            <w:tcMar>
              <w:top w:type="dxa" w:w="80"/>
              <w:left w:type="dxa" w:w="120"/>
              <w:bottom w:type="dxa" w:w="80"/>
              <w:right w:type="dxa" w:w="120"/>
            </w:tcMar>
          </w:tcPr>
          <w:p>
            <w:pPr>
              <w:spacing w:after="0" w:line="240"/>
            </w:pPr>
            <w:r>
              <w:rPr>
                <w:b/>
                <w:bCs/>
                <w:sz w:val="19"/>
                <w:szCs w:val="19"/>
              </w:rPr>
              <w:t xml:space="preserve">Contents</w:t>
            </w:r>
          </w:p>
        </w:tc>
      </w:tr>
      <w:tr>
        <w:tc>
          <w:tcPr>
            <w:tcW w:type="dxa" w:w="3600"/>
            <w:tcMar>
              <w:top w:type="dxa" w:w="80"/>
              <w:left w:type="dxa" w:w="120"/>
              <w:bottom w:type="dxa" w:w="80"/>
              <w:right w:type="dxa" w:w="120"/>
            </w:tcMar>
          </w:tcPr>
          <w:p>
            <w:pPr>
              <w:spacing w:after="0" w:line="240"/>
            </w:pPr>
            <w:r>
              <w:rPr>
                <w:rFonts w:ascii="Consolas" w:cs="Consolas" w:eastAsia="Consolas" w:hAnsi="Consolas"/>
                <w:sz w:val="19"/>
                <w:szCs w:val="19"/>
              </w:rPr>
              <w:t xml:space="preserve">docs/final_report.md</w:t>
            </w:r>
          </w:p>
        </w:tc>
        <w:tc>
          <w:tcPr>
            <w:tcW w:type="dxa" w:w="5760"/>
            <w:tcMar>
              <w:top w:type="dxa" w:w="80"/>
              <w:left w:type="dxa" w:w="120"/>
              <w:bottom w:type="dxa" w:w="80"/>
              <w:right w:type="dxa" w:w="120"/>
            </w:tcMar>
          </w:tcPr>
          <w:p>
            <w:pPr>
              <w:spacing w:after="0" w:line="240"/>
            </w:pPr>
            <w:r>
              <w:rPr>
                <w:sz w:val="19"/>
                <w:szCs w:val="19"/>
              </w:rPr>
              <w:t xml:space="preserve">Full analysis, all sections referenced above</w:t>
            </w:r>
          </w:p>
        </w:tc>
      </w:tr>
      <w:tr>
        <w:tc>
          <w:tcPr>
            <w:tcW w:type="dxa" w:w="3600"/>
            <w:tcMar>
              <w:top w:type="dxa" w:w="80"/>
              <w:left w:type="dxa" w:w="120"/>
              <w:bottom w:type="dxa" w:w="80"/>
              <w:right w:type="dxa" w:w="120"/>
            </w:tcMar>
          </w:tcPr>
          <w:p>
            <w:pPr>
              <w:spacing w:after="0" w:line="240"/>
            </w:pPr>
            <w:r>
              <w:rPr>
                <w:rFonts w:ascii="Consolas" w:cs="Consolas" w:eastAsia="Consolas" w:hAnsi="Consolas"/>
                <w:sz w:val="19"/>
                <w:szCs w:val="19"/>
              </w:rPr>
              <w:t xml:space="preserve">docs/adr/</w:t>
            </w:r>
          </w:p>
        </w:tc>
        <w:tc>
          <w:tcPr>
            <w:tcW w:type="dxa" w:w="5760"/>
            <w:tcMar>
              <w:top w:type="dxa" w:w="80"/>
              <w:left w:type="dxa" w:w="120"/>
              <w:bottom w:type="dxa" w:w="80"/>
              <w:right w:type="dxa" w:w="120"/>
            </w:tcMar>
          </w:tcPr>
          <w:p>
            <w:pPr>
              <w:spacing w:after="0" w:line="240"/>
            </w:pPr>
            <w:r>
              <w:rPr>
                <w:sz w:val="19"/>
                <w:szCs w:val="19"/>
              </w:rPr>
              <w:t xml:space="preserve">Fourteen architecture decision records</w:t>
            </w:r>
          </w:p>
        </w:tc>
      </w:tr>
      <w:tr>
        <w:tc>
          <w:tcPr>
            <w:tcW w:type="dxa" w:w="3600"/>
            <w:tcMar>
              <w:top w:type="dxa" w:w="80"/>
              <w:left w:type="dxa" w:w="120"/>
              <w:bottom w:type="dxa" w:w="80"/>
              <w:right w:type="dxa" w:w="120"/>
            </w:tcMar>
          </w:tcPr>
          <w:p>
            <w:pPr>
              <w:spacing w:after="0" w:line="240"/>
            </w:pPr>
            <w:r>
              <w:rPr>
                <w:rFonts w:ascii="Consolas" w:cs="Consolas" w:eastAsia="Consolas" w:hAnsi="Consolas"/>
                <w:sz w:val="19"/>
                <w:szCs w:val="19"/>
              </w:rPr>
              <w:t xml:space="preserve">docs/hardware_design.md</w:t>
            </w:r>
          </w:p>
        </w:tc>
        <w:tc>
          <w:tcPr>
            <w:tcW w:type="dxa" w:w="5760"/>
            <w:tcMar>
              <w:top w:type="dxa" w:w="80"/>
              <w:left w:type="dxa" w:w="120"/>
              <w:bottom w:type="dxa" w:w="80"/>
              <w:right w:type="dxa" w:w="120"/>
            </w:tcMar>
          </w:tcPr>
          <w:p>
            <w:pPr>
              <w:spacing w:after="0" w:line="240"/>
            </w:pPr>
            <w:r>
              <w:rPr>
                <w:sz w:val="19"/>
                <w:szCs w:val="19"/>
              </w:rPr>
              <w:t xml:space="preserve">Sensor selection, shunt sizing, error budget, safety</w:t>
            </w:r>
          </w:p>
        </w:tc>
      </w:tr>
      <w:tr>
        <w:tc>
          <w:tcPr>
            <w:tcW w:type="dxa" w:w="3600"/>
            <w:tcMar>
              <w:top w:type="dxa" w:w="80"/>
              <w:left w:type="dxa" w:w="120"/>
              <w:bottom w:type="dxa" w:w="80"/>
              <w:right w:type="dxa" w:w="120"/>
            </w:tcMar>
          </w:tcPr>
          <w:p>
            <w:pPr>
              <w:spacing w:after="0" w:line="240"/>
            </w:pPr>
            <w:r>
              <w:rPr>
                <w:rFonts w:ascii="Consolas" w:cs="Consolas" w:eastAsia="Consolas" w:hAnsi="Consolas"/>
                <w:sz w:val="19"/>
                <w:szCs w:val="19"/>
              </w:rPr>
              <w:t xml:space="preserve">docs/protocol_design.md</w:t>
            </w:r>
          </w:p>
        </w:tc>
        <w:tc>
          <w:tcPr>
            <w:tcW w:type="dxa" w:w="5760"/>
            <w:tcMar>
              <w:top w:type="dxa" w:w="80"/>
              <w:left w:type="dxa" w:w="120"/>
              <w:bottom w:type="dxa" w:w="80"/>
              <w:right w:type="dxa" w:w="120"/>
            </w:tcMar>
          </w:tcPr>
          <w:p>
            <w:pPr>
              <w:spacing w:after="0" w:line="240"/>
            </w:pPr>
            <w:r>
              <w:rPr>
                <w:sz w:val="19"/>
                <w:szCs w:val="19"/>
              </w:rPr>
              <w:t xml:space="preserve">beacon.telemetry.v1 wire format</w:t>
            </w:r>
          </w:p>
        </w:tc>
      </w:tr>
      <w:tr>
        <w:tc>
          <w:tcPr>
            <w:tcW w:type="dxa" w:w="3600"/>
            <w:tcMar>
              <w:top w:type="dxa" w:w="80"/>
              <w:left w:type="dxa" w:w="120"/>
              <w:bottom w:type="dxa" w:w="80"/>
              <w:right w:type="dxa" w:w="120"/>
            </w:tcMar>
          </w:tcPr>
          <w:p>
            <w:pPr>
              <w:spacing w:after="0" w:line="240"/>
            </w:pPr>
            <w:r>
              <w:rPr>
                <w:rFonts w:ascii="Consolas" w:cs="Consolas" w:eastAsia="Consolas" w:hAnsi="Consolas"/>
                <w:sz w:val="19"/>
                <w:szCs w:val="19"/>
              </w:rPr>
              <w:t xml:space="preserve">tests/test_reported_numbers.py</w:t>
            </w:r>
          </w:p>
        </w:tc>
        <w:tc>
          <w:tcPr>
            <w:tcW w:type="dxa" w:w="5760"/>
            <w:tcMar>
              <w:top w:type="dxa" w:w="80"/>
              <w:left w:type="dxa" w:w="120"/>
              <w:bottom w:type="dxa" w:w="80"/>
              <w:right w:type="dxa" w:w="120"/>
            </w:tcMar>
          </w:tcPr>
          <w:p>
            <w:pPr>
              <w:spacing w:after="0" w:line="240"/>
            </w:pPr>
            <w:r>
              <w:rPr>
                <w:sz w:val="19"/>
                <w:szCs w:val="19"/>
              </w:rPr>
              <w:t xml:space="preserve">Prose-to-evidence pinning for every quoted figure</w:t>
            </w:r>
          </w:p>
        </w:tc>
      </w:tr>
      <w:tr>
        <w:tc>
          <w:tcPr>
            <w:tcW w:type="dxa" w:w="3600"/>
            <w:tcMar>
              <w:top w:type="dxa" w:w="80"/>
              <w:left w:type="dxa" w:w="120"/>
              <w:bottom w:type="dxa" w:w="80"/>
              <w:right w:type="dxa" w:w="120"/>
            </w:tcMar>
          </w:tcPr>
          <w:p>
            <w:pPr>
              <w:spacing w:after="0" w:line="240"/>
            </w:pPr>
            <w:r>
              <w:rPr>
                <w:rFonts w:ascii="Consolas" w:cs="Consolas" w:eastAsia="Consolas" w:hAnsi="Consolas"/>
                <w:sz w:val="19"/>
                <w:szCs w:val="19"/>
              </w:rPr>
              <w:t xml:space="preserve">reports/metrics/</w:t>
            </w:r>
          </w:p>
        </w:tc>
        <w:tc>
          <w:tcPr>
            <w:tcW w:type="dxa" w:w="5760"/>
            <w:tcMar>
              <w:top w:type="dxa" w:w="80"/>
              <w:left w:type="dxa" w:w="120"/>
              <w:bottom w:type="dxa" w:w="80"/>
              <w:right w:type="dxa" w:w="120"/>
            </w:tcMar>
          </w:tcPr>
          <w:p>
            <w:pPr>
              <w:spacing w:after="0" w:line="240"/>
            </w:pPr>
            <w:r>
              <w:rPr>
                <w:sz w:val="19"/>
                <w:szCs w:val="19"/>
              </w:rPr>
              <w:t xml:space="preserve">Tracked result artefacts; live test inputs</w:t>
            </w:r>
          </w:p>
        </w:tc>
      </w:tr>
      <w:tr>
        <w:tc>
          <w:tcPr>
            <w:tcW w:type="dxa" w:w="3600"/>
            <w:tcMar>
              <w:top w:type="dxa" w:w="80"/>
              <w:left w:type="dxa" w:w="120"/>
              <w:bottom w:type="dxa" w:w="80"/>
              <w:right w:type="dxa" w:w="120"/>
            </w:tcMar>
          </w:tcPr>
          <w:p>
            <w:pPr>
              <w:spacing w:after="0" w:line="240"/>
            </w:pPr>
            <w:r>
              <w:rPr>
                <w:rFonts w:ascii="Consolas" w:cs="Consolas" w:eastAsia="Consolas" w:hAnsi="Consolas"/>
                <w:sz w:val="19"/>
                <w:szCs w:val="19"/>
              </w:rPr>
              <w:t xml:space="preserve">data/interim/rig_stage_b_voltage_verified.txt</w:t>
            </w:r>
          </w:p>
        </w:tc>
        <w:tc>
          <w:tcPr>
            <w:tcW w:type="dxa" w:w="5760"/>
            <w:tcMar>
              <w:top w:type="dxa" w:w="80"/>
              <w:left w:type="dxa" w:w="120"/>
              <w:bottom w:type="dxa" w:w="80"/>
              <w:right w:type="dxa" w:w="120"/>
            </w:tcMar>
          </w:tcPr>
          <w:p>
            <w:pPr>
              <w:spacing w:after="0" w:line="240"/>
            </w:pPr>
            <w:r>
              <w:rPr>
                <w:sz w:val="19"/>
                <w:szCs w:val="19"/>
              </w:rPr>
              <w:t xml:space="preserve">The hardware capture reported in Section 9.5</w:t>
            </w:r>
          </w:p>
        </w:tc>
      </w:tr>
    </w:tbl>
    <w:sectPr>
      <w:headerReference w:type="default" r:id="rId7"/>
      <w:footerReference w:type="default" r:id="rId8"/>
      <w:pgSz w:w="11906" w:h="16838" w:orient="portrait"/>
      <w:pgMar w:top="1200" w:right="1150" w:bottom="120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B94A3"/>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EE6" w:sz="4"/>
      </w:pBdr>
      <w:spacing w:after="60"/>
      <w:jc w:val="right"/>
    </w:pPr>
    <w:r>
      <w:rPr>
        <w:color w:val="8B94A3"/>
        <w:sz w:val="16"/>
        <w:szCs w:val="16"/>
      </w:rPr>
      <w:t xml:space="preserve">BEACON — Technical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abstractNum w:abstractNumId="3" w15:restartNumberingAfterBreak="0">
    <w:multiLevelType w:val="hybridMultilevel"/>
    <w:lvl w:ilvl="0" w15:tentative="1">
      <w:start w:val="1"/>
      <w:numFmt w:val="decimal"/>
      <w:lvlText w:val="%1."/>
      <w:lvlJc w:val="left"/>
      <w:pPr>
        <w:ind w:left="489" w:hanging="316"/>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4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BEACON — Technical Project Report</dc:title>
  <dc:creator>BEACON project</dc:creator>
  <dc:description>Calibration, validation and hardware integration of a refusal-driven battery health monitoring system</dc:description>
  <cp:lastModifiedBy>Un-named</cp:lastModifiedBy>
  <cp:revision>1</cp:revision>
  <dcterms:created xsi:type="dcterms:W3CDTF">2026-09-18T09:06:04.504Z</dcterms:created>
  <dcterms:modified xsi:type="dcterms:W3CDTF">2026-09-18T09:06:04.507Z</dcterms:modified>
</cp:coreProperties>
</file>

<file path=docProps/custom.xml><?xml version="1.0" encoding="utf-8"?>
<Properties xmlns="http://schemas.openxmlformats.org/officeDocument/2006/custom-properties" xmlns:vt="http://schemas.openxmlformats.org/officeDocument/2006/docPropsVTypes"/>
</file>