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TELEMETRY-BASED SOFTWARE FRAMEWORK FOR STATE-OF-HEALTH AND REMAINING-USEFUL-LIFE ESTIMATION OF ELECTRIC-VEHICLE BATTERIES</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TELEMETRY-BASED SOFTWARE FRAMEWORK FOR STATE-OF-HEALTH AND REMAINING-USEFUL-LIFE ESTIMATION OF ELECTRIC-VEHICLE BATTERIES”</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TELEMETRY-BASED SOFTWARE FRAMEWORK FOR STATE-OF-HEALTH AND REMAINING-USEFUL-LIFE ESTIMATION OF ELECTRIC-VEHICLE BATTERIES”</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eleven of twelve methods (all but a mean-only baseline)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eleven of twelve methods lost skill, and the twelfth, a mean-only baseline, could not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 The RUL estimator of this project uses a default threshold of 90%, because the CALCE trajectories rarely reach 80% within the recorded life, and reports the 80% case separately where the data allow it.</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in-brief"/>
    <w:p>
      <w:pPr>
        <w:pStyle w:val="Heading2"/>
      </w:pPr>
      <w:r>
        <w:t>PROPOSED APPROACH IN BRIEF</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bench-rigs"/>
    <w:p>
      <w:pPr>
        <w:pStyle w:val="Heading3"/>
      </w:pPr>
      <w:r>
        <w:t xml:space="preserve">Serial Bench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honest-reporting"/>
    <w:p>
      <w:pPr>
        <w:pStyle w:val="Heading2"/>
      </w:pPr>
      <w:r>
        <w:t>EXPLAINABILITY AND HONEST REPORTING</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leakage"/>
    <w:p>
      <w:pPr>
        <w:pStyle w:val="Heading2"/>
      </w:pPr>
      <w:r>
        <w:t>VALIDATION PRACTICE AND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What Each One Tests</w:t>
      </w:r>
    </w:p>
    <w:tbl>
      <w:tblPr>
        <w:tblStyle w:val="Table"/>
        <w:tblW w:type="pct" w:w="4200"/>
        <w:tblLook w:firstRow="1" w:lastRow="0" w:firstColumn="0" w:lastColumn="0" w:noHBand="0" w:noVBand="0" w:val="0020"/>
        <w:jc w:val="start"/>
        <w:tblCaption w:val="Table 2.2: Validation Splits and What Each One Test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positioning-of-this-work"/>
    <w:p>
      <w:pPr>
        <w:pStyle w:val="Heading2"/>
      </w:pPr>
      <w:r>
        <w:t>POSITIONING OF THIS WORK</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Approach Families and the Properties That Matter for a Deployed Layer</w:t>
      </w:r>
    </w:p>
    <w:tbl>
      <w:tblPr>
        <w:tblStyle w:val="Table"/>
        <w:tblW w:type="pct" w:w="4000"/>
        <w:tblLook w:firstRow="1" w:lastRow="0" w:firstColumn="0" w:lastColumn="0" w:noHBand="0" w:noVBand="0" w:val="0020"/>
        <w:jc w:val="start"/>
        <w:tblCaption w:val="Table 2.3: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X3d8b69131e03b137685df6cbfaaf9042b5ef7af"/>
    <w:p>
      <w:pPr>
        <w:pStyle w:val="Heading2"/>
      </w:pPr>
      <w:r>
        <w:t>IDENTIFIED GAPS AND HOW THEY ARE ADDRESSED</w:t>
      </w:r>
    </w:p>
    <w:p>
      <w:pPr>
        <w:pStyle w:val="FirstParagraph"/>
      </w:pPr>
      <w:r>
        <w:t xml:space="preserve">Table 2.4 lists the gaps that the review leaves open and the parts of this report that address them.</w:t>
      </w:r>
    </w:p>
    <w:p>
      <w:pPr>
        <w:pStyle w:val="TableCaption"/>
      </w:pPr>
      <w:r>
        <w:t xml:space="preserve">Table 2.4: Gaps in the Literature and Where They Are Addressed</w:t>
      </w:r>
    </w:p>
    <w:tbl>
      <w:tblPr>
        <w:tblStyle w:val="Table"/>
        <w:tblW w:type="pct" w:w="3800"/>
        <w:tblLook w:firstRow="1" w:lastRow="0" w:firstColumn="0" w:lastColumn="0" w:noHBand="0" w:noVBand="0" w:val="0020"/>
        <w:jc w:val="start"/>
        <w:tblCaption w:val="Table 2.4: Gaps in the Literature and Where They Are Addressed"/>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single-shared-scoring-path"/>
    <w:p>
      <w:pPr>
        <w:pStyle w:val="Heading3"/>
      </w:pPr>
      <w:r>
        <w:t xml:space="preserve">Single Shared Scoring Path</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in the two real captures (83 and 85 records)</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The validator reports each failure with its reason. For the CAN and serial paths, the stop for a missing channel is a separate signal-coverage check, which compares the channels a source provides with the channels the estimators need and refuses the run by name, as when a CAN message carries current and state of charge but no voltage or temperature. The serial frames do not carry a dataset name, so the required-column rule applies to the dataset loaders and not to the live telemetry paths.</w:t>
      </w:r>
    </w:p>
    <w:bookmarkEnd w:id="64"/>
    <w:bookmarkEnd w:id="65"/>
    <w:bookmarkStart w:id="66" w:name="data-flow-and-processing-sequence"/>
    <w:p>
      <w:pPr>
        <w:pStyle w:val="Heading2"/>
      </w:pPr>
      <w:r>
        <w:t>DATA FLOW AND PROCESSING SEQUENCE</w:t>
      </w:r>
    </w:p>
    <w:p>
      <w:pPr>
        <w:pStyle w:val="FirstParagraph"/>
      </w:pPr>
      <w:r>
        <w:t xml:space="preserve">Every source follows the same eight steps in the same order. The CAN and serial paths run them through the single function</w:t>
      </w:r>
      <w:r>
        <w:t xml:space="preserve"> </w:t>
      </w:r>
      <w:r>
        <w:rPr>
          <w:rStyle w:val="VerbatimChar"/>
        </w:rPr>
        <w:t xml:space="preserve">score_telemetry_frame</w:t>
      </w:r>
      <w:r>
        <w:t xml:space="preserve">, and the dataset studies run the same estimators through the study scripts and the batch pipeline.</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in the CALCE studies, where rest is logged as exactly zero, and 0.5 A as the default of the live telemetry path)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its starting value is about 0.141 </w:t>
      </w:r>
      <m:oMath>
        <m:r>
          <m:t>Ω</m:t>
        </m:r>
      </m:oMath>
      <w:r>
        <w:t xml:space="preserve"> </w:t>
      </w:r>
      <w:r>
        <w:t xml:space="preserve">against the cycler’s about 0.089 </w:t>
      </w:r>
      <m:oMath>
        <m:r>
          <m:t>Ω</m:t>
        </m:r>
      </m:oMath>
      <w:r>
        <w:t xml:space="preserve"> </w:t>
      </w:r>
      <w:r>
        <w:t xml:space="preserve">(reports/metrics/calce_resistance).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refusal-gates-and-data-quality-checks"/>
    <w:p>
      <w:pPr>
        <w:pStyle w:val="Heading2"/>
      </w:pPr>
      <w:r>
        <w:t>REFUSAL GATES AND DATA-QUALITY CHECKS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from the earlier health-index ranking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s"/>
    <w:p>
      <w:pPr>
        <w:pStyle w:val="Heading2"/>
      </w:pPr>
      <w:r>
        <w:t>DESIGN DECISIONS</w:t>
      </w:r>
    </w:p>
    <w:p>
      <w:pPr>
        <w:pStyle w:val="FirstParagraph"/>
      </w:pPr>
      <w:r>
        <w:t xml:space="preserve">Fourteen architecture decision records document the choices made during the project, with the context, the decision and its status; the table gives a short title for each.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 and refutes the claim that learned models add enormously</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if truncated / implausible / reference too short:  refuse n</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if enough complete discharges (30):</w:t>
      </w:r>
      <w:r>
        <w:br/>
      </w:r>
      <w:r>
        <w:rPr>
          <w:rStyle w:val="VerbatimChar"/>
        </w:rPr>
        <w:t xml:space="preserve">        RUL &lt;- cycles until fade of complete-discharge capacity</w:t>
      </w:r>
      <w:r>
        <w:br/>
      </w:r>
      <w:r>
        <w:rPr>
          <w:rStyle w:val="VerbatimChar"/>
        </w:rPr>
        <w:t xml:space="preserve">               crosses the EOL threshold (90 % default)</w:t>
      </w:r>
      <w:r>
        <w:br/>
      </w:r>
      <w:r>
        <w:rPr>
          <w:rStyle w:val="VerbatimChar"/>
        </w:rPr>
        <w:t xml:space="preserve">    else:  refuse RUL</w:t>
      </w:r>
      <w:r>
        <w:br/>
      </w:r>
      <w:r>
        <w:rPr>
          <w:rStyle w:val="VerbatimChar"/>
        </w:rPr>
        <w:t xml:space="preserve">    if evidence inconsistent:  confidence &lt;- low</w:t>
      </w:r>
      <w:r>
        <w:br/>
      </w:r>
      <w:r>
        <w:rPr>
          <w:rStyle w:val="VerbatimChar"/>
        </w:rPr>
        <w:t xml:space="preserve">    return SOH, R, RUL, confidence, band, refusals</w:t>
      </w:r>
    </w:p>
    <w:p>
      <w:pPr>
        <w:pStyle w:val="FirstParagraph"/>
      </w:pPr>
      <w:r>
        <w:t xml:space="preserve">Remaining life is taken from the capacity of complete discharges only: extrapolating the windowed health of partial discharges was tested and is not accurate enough to report (Chapter 5). 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threshold of mode inference</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Schema-level operating mode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Default end-of-life threshold</w:t>
            </w:r>
          </w:p>
        </w:tc>
        <w:tc>
          <w:tcPr/>
          <w:p>
            <w:pPr>
              <w:pStyle w:val="Compact"/>
              <w:spacing w:after="40" w:line="240" w:lineRule="auto"/>
              <w:jc w:val="left"/>
            </w:pPr>
            <w:r>
              <w:rPr>
                <w:sz w:val="20"/>
              </w:rPr>
              <w:t xml:space="preserve">90%</w:t>
            </w:r>
          </w:p>
        </w:tc>
        <w:tc>
          <w:tcPr/>
          <w:p>
            <w:pPr>
              <w:pStyle w:val="Compact"/>
              <w:spacing w:after="40" w:line="240" w:lineRule="auto"/>
              <w:jc w:val="left"/>
            </w:pPr>
            <w:r>
              <w:rPr>
                <w:sz w:val="20"/>
              </w:rPr>
              <w:t xml:space="preserve">RUL target (80% is the convention but is seldom reached on CALCE)</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(Appendices A and B),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and DBC examples; the unified schema is in</w:t>
            </w:r>
            <w:r>
              <w:rPr>
                <w:sz w:val="20"/>
              </w:rPr>
              <w:t xml:space="preserve"> </w:t>
            </w:r>
            <w:r>
              <w:rPr>
                <w:rStyle w:val="VerbatimChar"/>
                <w:sz w:val="20"/>
              </w:rPr>
              <w:t xml:space="preserve">preprocessing</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and health index (heuristic layer); measured field SOH, voltage-window, evidence and error-band estimators</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 and the earlier heuristic estimate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is implemented as a separate source built on the</w:t>
      </w:r>
      <w:r>
        <w:t xml:space="preserve"> </w:t>
      </w:r>
      <w:r>
        <w:rPr>
          <w:rStyle w:val="VerbatimChar"/>
        </w:rPr>
        <w:t xml:space="preserve">python-can</w:t>
      </w:r>
      <w:r>
        <w:t xml:space="preserve"> </w:t>
      </w:r>
      <w:r>
        <w:t xml:space="preserve">library, layered under the decoder and exposed through a live-capture route, but it has not been exercised on a physical vehicle.</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is flagged as a likely cause; the run is refused because no complete discharge is found, although the stream looks perfect.</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the continuous-integration build is the stub configuration without the sensor libraries,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bench-rig panel, a digital-twin sheet, and a banner stating where the run’s data came from. An earlier version had separate tabs for fleet, CAN replay, thermal and transfer views. They were removed because two parallel dashboards meant two provenance banners that could disagree about the same run. The twin sheet is present but displays</w:t>
      </w:r>
      <w:r>
        <w:t xml:space="preserve"> </w:t>
      </w:r>
      <w:r>
        <w:t xml:space="preserve">“</w:t>
      </w:r>
      <w:r>
        <w:t xml:space="preserve">not available</w:t>
      </w:r>
      <w:r>
        <w:t xml:space="preserve">”</w:t>
      </w:r>
      <w:r>
        <w:t xml:space="preserve"> </w:t>
      </w:r>
      <w:r>
        <w:t xml:space="preserve">for the observed and predicted state, because the twin module does not yet emit its state into the dashboard payload, and no substitute trajectory is drawn.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principal routes of the Python service. Further routes cover live CAN capture, serial emulation, live serial capture, latest and live state, thermal and twin views, transfer feasibility and the dataset listing.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Principal Routes of the Python Service</w:t>
      </w:r>
    </w:p>
    <w:tbl>
      <w:tblPr>
        <w:tblStyle w:val="Table"/>
        <w:tblW w:type="pct" w:w="4000"/>
        <w:tblLook w:firstRow="1" w:lastRow="0" w:firstColumn="0" w:lastColumn="0" w:noHBand="0" w:noVBand="0" w:val="0020"/>
        <w:jc w:val="start"/>
        <w:tblCaption w:val="Table 4.9: Principal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what-is-deliberately-not-defended"/>
    <w:p>
      <w:pPr>
        <w:pStyle w:val="Heading3"/>
      </w:pPr>
      <w:r>
        <w:t xml:space="preserve">What Is Deliberately Not Defended</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with one surface, rendered from the pipeline output. Table 4.11 lists its views. (The repository also keeps earlier per-panel components that the current surface no longer uses.) The panels that display a measured result carry the provenance of the value, so a reader can tell whether a figure comes from a vehicle, a rig, a dataset or a simulation.</w:t>
      </w:r>
    </w:p>
    <w:p>
      <w:pPr>
        <w:pStyle w:val="TableCaption"/>
      </w:pPr>
      <w:r>
        <w:t xml:space="preserve">Table 4.11: Views of the Dashboard</w:t>
      </w:r>
    </w:p>
    <w:tbl>
      <w:tblPr>
        <w:tblStyle w:val="Table"/>
        <w:tblW w:type="pct" w:w="3700"/>
        <w:tblLook w:firstRow="1" w:lastRow="0" w:firstColumn="0" w:lastColumn="0" w:noHBand="0" w:noVBand="0" w:val="0020"/>
        <w:jc w:val="start"/>
        <w:tblCaption w:val="Table 4.11: View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Fleet risk distribution</w:t>
            </w:r>
          </w:p>
        </w:tc>
        <w:tc>
          <w:tcPr/>
          <w:p>
            <w:pPr>
              <w:pStyle w:val="Compact"/>
              <w:spacing w:after="40" w:line="240" w:lineRule="auto"/>
              <w:jc w:val="left"/>
            </w:pPr>
            <w:r>
              <w:rPr>
                <w:sz w:val="20"/>
              </w:rPr>
              <w:t xml:space="preserve">Risk category of every battery</w:t>
            </w:r>
          </w:p>
        </w:tc>
      </w:tr>
      <w:tr>
        <w:tc>
          <w:tcPr/>
          <w:p>
            <w:pPr>
              <w:pStyle w:val="Compact"/>
              <w:spacing w:after="40" w:line="240" w:lineRule="auto"/>
              <w:jc w:val="left"/>
            </w:pPr>
            <w:r>
              <w:rPr>
                <w:sz w:val="20"/>
              </w:rPr>
              <w:t xml:space="preserve">Behaviour flag incidence</w:t>
            </w:r>
          </w:p>
        </w:tc>
        <w:tc>
          <w:tcPr/>
          <w:p>
            <w:pPr>
              <w:pStyle w:val="Compact"/>
              <w:spacing w:after="40" w:line="240" w:lineRule="auto"/>
              <w:jc w:val="left"/>
            </w:pPr>
            <w:r>
              <w:rPr>
                <w:sz w:val="20"/>
              </w:rPr>
              <w:t xml:space="preserve">How often each flagged behaviour occurs</w:t>
            </w:r>
          </w:p>
        </w:tc>
      </w:tr>
      <w:tr>
        <w:tc>
          <w:tcPr/>
          <w:p>
            <w:pPr>
              <w:pStyle w:val="Compact"/>
              <w:spacing w:after="40" w:line="240" w:lineRule="auto"/>
              <w:jc w:val="left"/>
            </w:pPr>
            <w:r>
              <w:rPr>
                <w:sz w:val="20"/>
              </w:rPr>
              <w:t xml:space="preserve">Battery health</w:t>
            </w:r>
          </w:p>
        </w:tc>
        <w:tc>
          <w:tcPr/>
          <w:p>
            <w:pPr>
              <w:pStyle w:val="Compact"/>
              <w:spacing w:after="40" w:line="240" w:lineRule="auto"/>
              <w:jc w:val="left"/>
            </w:pPr>
            <w:r>
              <w:rPr>
                <w:sz w:val="20"/>
              </w:rPr>
              <w:t xml:space="preserve">Stress score over cycles, risk and health-index attribution</w:t>
            </w:r>
          </w:p>
        </w:tc>
      </w:tr>
      <w:tr>
        <w:tc>
          <w:tcPr/>
          <w:p>
            <w:pPr>
              <w:pStyle w:val="Compact"/>
              <w:spacing w:after="40" w:line="240" w:lineRule="auto"/>
              <w:jc w:val="left"/>
            </w:pPr>
            <w:r>
              <w:rPr>
                <w:sz w:val="20"/>
              </w:rPr>
              <w:t xml:space="preserve">Aggregate parameters</w:t>
            </w:r>
          </w:p>
        </w:tc>
        <w:tc>
          <w:tcPr/>
          <w:p>
            <w:pPr>
              <w:pStyle w:val="Compact"/>
              <w:spacing w:after="40" w:line="240" w:lineRule="auto"/>
              <w:jc w:val="left"/>
            </w:pPr>
            <w:r>
              <w:rPr>
                <w:sz w:val="20"/>
              </w:rPr>
              <w:t xml:space="preserve">Usage parameters of the selected battery</w:t>
            </w:r>
          </w:p>
        </w:tc>
      </w:tr>
      <w:tr>
        <w:tc>
          <w:tcPr/>
          <w:p>
            <w:pPr>
              <w:pStyle w:val="Compact"/>
              <w:spacing w:after="40" w:line="240" w:lineRule="auto"/>
              <w:jc w:val="left"/>
            </w:pPr>
            <w:r>
              <w:rPr>
                <w:sz w:val="20"/>
              </w:rPr>
              <w:t xml:space="preserve">Guardian explanation</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Bench rig panel</w:t>
            </w:r>
          </w:p>
        </w:tc>
        <w:tc>
          <w:tcPr/>
          <w:p>
            <w:pPr>
              <w:pStyle w:val="Compact"/>
              <w:spacing w:after="40" w:line="240" w:lineRule="auto"/>
              <w:jc w:val="left"/>
            </w:pPr>
            <w:r>
              <w:rPr>
                <w:sz w:val="20"/>
              </w:rPr>
              <w:t xml:space="preserve">Measured readings, with refusals shown where a channel is missing</w:t>
            </w:r>
          </w:p>
        </w:tc>
      </w:tr>
      <w:tr>
        <w:tc>
          <w:tcPr/>
          <w:p>
            <w:pPr>
              <w:pStyle w:val="Compact"/>
              <w:spacing w:after="40" w:line="240" w:lineRule="auto"/>
              <w:jc w:val="left"/>
            </w:pPr>
            <w:r>
              <w:rPr>
                <w:sz w:val="20"/>
              </w:rPr>
              <w:t xml:space="preserve">Twin sheet</w:t>
            </w:r>
          </w:p>
        </w:tc>
        <w:tc>
          <w:tcPr/>
          <w:p>
            <w:pPr>
              <w:pStyle w:val="Compact"/>
              <w:spacing w:after="40" w:line="240" w:lineRule="auto"/>
              <w:jc w:val="left"/>
            </w:pPr>
            <w:r>
              <w:rPr>
                <w:sz w:val="20"/>
              </w:rPr>
              <w:t xml:space="preserve">Observed and predicted state; shows not available until the twin is wired in</w:t>
            </w:r>
          </w:p>
        </w:tc>
      </w:tr>
      <w:tr>
        <w:tc>
          <w:tcPr/>
          <w:p>
            <w:pPr>
              <w:pStyle w:val="Compact"/>
              <w:spacing w:after="40" w:line="240" w:lineRule="auto"/>
              <w:jc w:val="left"/>
            </w:pPr>
            <w:r>
              <w:rPr>
                <w:sz w:val="20"/>
              </w:rPr>
              <w:t xml:space="preserve">Provenance banner</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What They Check</w:t>
      </w:r>
    </w:p>
    <w:tbl>
      <w:tblPr>
        <w:tblStyle w:val="Table"/>
        <w:tblW w:type="pct" w:w="4200"/>
        <w:tblLook w:firstRow="1" w:lastRow="0" w:firstColumn="0" w:lastColumn="0" w:noHBand="0" w:noVBand="0" w:val="0020"/>
        <w:jc w:val="start"/>
        <w:tblCaption w:val="Table 4.12: Selected Test Modules and What They Check"/>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Absolute sensitive paths, parent-directory traversal and empty paths are rejected before any existence check; the environment-variable override is covered</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(Appendices A and B).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eleven of the twelve methods lost skill, and the twelfth, a train-mean baseline, cannot lose it by construction,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in the two cohorts where it was significant),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on the 33 cells of the earlier health-index ranking),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SOH figure and an 88% RUL figure had been scored against a reference capacity taken from each cell’s whole life, which uses the future and which no BMS can hold.</w:t>
      </w:r>
    </w:p>
    <w:bookmarkEnd w:id="137"/>
    <w:bookmarkStart w:id="138"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1"/>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(on the partial-cycling cell CS2_24 they are rare).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2f5777ec1cd3c9e2bdc40f140bc70c360603f05"/>
    <w:p>
      <w:pPr>
        <w:pStyle w:val="Heading2"/>
      </w:pPr>
      <w:r>
        <w:t>VALIDATION ON A THIRD DATASET AND REFUSAL BEHAVIOUR</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discussed here (Table 5.9); the repository holds further bring-up files, including one garbled capture from the baud-rate fault and one longer synthetic run.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Xd3f8ad7df265cef58eca5272d7d9dc9db31ce47"/>
    <w:p>
      <w:pPr>
        <w:pStyle w:val="Heading2"/>
      </w:pPr>
      <w:r>
        <w:t>ILLUSTRATIVE EXAMPLE: THE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Validate on the Unit of Deployment.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Prefer Measurement to Fitting Where Measurement Is Possible.</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Make Refusal a Normal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Keep One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the 33 cells of the earlier health-index ranking of the project, a slightly larger set than the 31-cell benchmark)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search of the source files for keys, secrets and language-model clients found none, apart from a benign file name in a test. Continuous integration runs with no key, no hardware and no external service beyond the package registries, so the checks run the same way on every commit.</w:t>
      </w:r>
    </w:p>
    <w:bookmarkEnd w:id="164"/>
    <w:bookmarkEnd w:id="165"/>
    <w:bookmarkStart w:id="171"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Eleven of twelve methods, all but a mean-only baseline,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The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69"/>
    <w:bookmarkStart w:id="170"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0"/>
    <w:bookmarkEnd w:id="171"/>
    <w:bookmarkStart w:id="173" w:name="appendix-a"/>
    <w:p>
      <w:pPr>
        <w:pStyle w:val="Heading1"/>
      </w:pPr>
      <w:r>
        <w:t>APPENDIX A</w:t>
      </w:r>
    </w:p>
    <w:p>
      <w:pPr>
        <w:pStyle w:val="FirstParagraph"/>
      </w:pPr>
      <w:r>
        <w:rPr>
          <w:bCs/>
          <w:b/>
        </w:rPr>
        <w:t xml:space="preserve">DATA AVAILABILITY STATEMENT</w:t>
      </w:r>
    </w:p>
    <w:p>
      <w:pPr>
        <w:pStyle w:val="BodyText"/>
      </w:pPr>
      <w:r>
        <w:t xml:space="preserve">The three public datasets used in this work are available from their providers and are not redistributed with the project. The NASA Prognostics Center of Excellence battery data set [15] is published in the NASA Prognostics Data Repository. The CALCE CS2 and CX2 prismatic cell cycling series [16] is published by the Center for Advanced Life Cycle Engineering at the University of Maryland. The Oxford Battery Degradation Dataset 1 [17] is published by the University of Oxford under the digital object identifier 10.5287/bodleian:KO2kdmYGg. Each dataset carries the terms of its own provider, which apply to any reuse. After download, the archives are placed in</w:t>
      </w:r>
      <w:r>
        <w:t xml:space="preserve"> </w:t>
      </w:r>
      <w:r>
        <w:rPr>
          <w:rStyle w:val="VerbatimChar"/>
        </w:rPr>
        <w:t xml:space="preserve">data/raw/nasa/</w:t>
      </w:r>
      <w:r>
        <w:t xml:space="preserve">,</w:t>
      </w:r>
      <w:r>
        <w:t xml:space="preserve"> </w:t>
      </w:r>
      <w:r>
        <w:rPr>
          <w:rStyle w:val="VerbatimChar"/>
        </w:rPr>
        <w:t xml:space="preserve">data/raw/calce/</w:t>
      </w:r>
      <w:r>
        <w:t xml:space="preserve"> </w:t>
      </w:r>
      <w:r>
        <w:t xml:space="preserve">and</w:t>
      </w:r>
      <w:r>
        <w:t xml:space="preserve"> </w:t>
      </w:r>
      <w:r>
        <w:rPr>
          <w:rStyle w:val="VerbatimChar"/>
        </w:rPr>
        <w:t xml:space="preserve">data/raw/oxford/</w:t>
      </w:r>
      <w:r>
        <w:t xml:space="preserve">, which the repository excludes from version control. When a raw archive is absent, the validation script skips the stages that need it and states the reason, and does not fail.</w:t>
      </w:r>
    </w:p>
    <w:p>
      <w:pPr>
        <w:pStyle w:val="BodyText"/>
      </w:pPr>
      <w:r>
        <w:t xml:space="preserve">The results derived from these datasets are available in the project repository. Every metric, table and per-cell result quoted in this report is stored as a text file under</w:t>
      </w:r>
      <w:r>
        <w:t xml:space="preserve"> </w:t>
      </w:r>
      <w:r>
        <w:rPr>
          <w:rStyle w:val="VerbatimChar"/>
        </w:rPr>
        <w:t xml:space="preserve">reports/</w:t>
      </w:r>
      <w:r>
        <w:rPr>
          <w:rStyle w:val="VerbatimChar"/>
        </w:rPr>
        <w:t xml:space="preserve">metrics/</w:t>
      </w:r>
      <w:r>
        <w:t xml:space="preserve">, and the figures built from them are stored under</w:t>
      </w:r>
      <w:r>
        <w:t xml:space="preserve"> </w:t>
      </w:r>
      <w:r>
        <w:rPr>
          <w:rStyle w:val="VerbatimChar"/>
        </w:rPr>
        <w:t xml:space="preserve">reports/</w:t>
      </w:r>
      <w:r>
        <w:rPr>
          <w:rStyle w:val="VerbatimChar"/>
        </w:rPr>
        <w:t xml:space="preserve">figures/</w:t>
      </w:r>
      <w:r>
        <w:t xml:space="preserve">. A reader can therefore check each reported number without downloading any raw data, and can regenerate the files from the raw data with the scripts listed in Appendix B.</w:t>
      </w:r>
    </w:p>
    <w:p>
      <w:pPr>
        <w:pStyle w:val="BodyText"/>
      </w:pPr>
      <w:r>
        <w:t xml:space="preserve">The bench-rig captures recorded by the authors, including the two real captures discussed in Chapter 5, are committed as text files under</w:t>
      </w:r>
      <w:r>
        <w:t xml:space="preserve"> </w:t>
      </w:r>
      <w:r>
        <w:rPr>
          <w:rStyle w:val="VerbatimChar"/>
        </w:rPr>
        <w:t xml:space="preserve">data/interim/</w:t>
      </w:r>
      <w:r>
        <w:t xml:space="preserve">, together with the hardware telemetry log kept in the repository. They were recorded from a single commercial 18650 cell at rest and contain voltage, temperature and timing values only. They contain no personal data and no data from any private vehicle or fleet. The fleet shown by the dashboard in Chapter 4 is produced by the project’s own simulator and is labelled as simulated wherever it is displayed. The CAN decoding example is based on the publicly documented message of the Open Vehicles Monitoring System for the Renault Twizy.</w:t>
      </w:r>
    </w:p>
    <w:p>
      <w:pPr>
        <w:pStyle w:val="BodyText"/>
      </w:pPr>
      <w:r>
        <w:t xml:space="preserve">The source code of the system, the firmware, the tests, the architecture decision records and the documentation are available in the project repository at</w:t>
      </w:r>
      <w:r>
        <w:t xml:space="preserve"> </w:t>
      </w:r>
      <w:hyperlink r:id="rId172">
        <w:r>
          <w:rPr>
            <w:rStyle w:val="Hyperlink"/>
          </w:rPr>
          <w:t xml:space="preserve">https://github.com/Navvu-gityhub/Behavior-Aware-BMS</w:t>
        </w:r>
      </w:hyperlink>
      <w:r>
        <w:t xml:space="preserve"> </w:t>
      </w:r>
      <w:r>
        <w:t xml:space="preserve">under the MIT licence. The system runs on a fresh clone without hardware, a database, an access key or a dataset download, as described in Appendix C.</w:t>
      </w:r>
    </w:p>
    <w:bookmarkEnd w:id="173"/>
    <w:bookmarkStart w:id="174" w:name="appendix-b"/>
    <w:p>
      <w:pPr>
        <w:pStyle w:val="Heading1"/>
      </w:pPr>
      <w:r>
        <w:t>APPENDIX B</w:t>
      </w:r>
    </w:p>
    <w:p>
      <w:pPr>
        <w:pStyle w:val="FirstParagraph"/>
      </w:pPr>
      <w:r>
        <w:rPr>
          <w:bCs/>
          <w:b/>
        </w:rPr>
        <w:t xml:space="preserve">Provenance of Every Reported Number</w:t>
      </w:r>
    </w:p>
    <w:p>
      <w:pPr>
        <w:pStyle w:val="BodyText"/>
      </w:pPr>
      <w:r>
        <w:t xml:space="preserve">Almost every number in this report is regenerated from a committed file in</w:t>
      </w:r>
      <w:r>
        <w:t xml:space="preserve"> </w:t>
      </w:r>
      <w:r>
        <w:rPr>
          <w:rStyle w:val="VerbatimChar"/>
        </w:rPr>
        <w:t xml:space="preserve">reports/</w:t>
      </w:r>
      <w:r>
        <w:rPr>
          <w:rStyle w:val="VerbatimChar"/>
        </w:rPr>
        <w:t xml:space="preserve">metrics</w:t>
      </w:r>
      <w:r>
        <w:t xml:space="preserve">. A small number of figures from earlier stages of the study are recorded only in the project documents (the validation matrix, the panel-defence notes and the field-SOH manuscript draft under</w:t>
      </w:r>
      <w:r>
        <w:t xml:space="preserve"> </w:t>
      </w:r>
      <w:r>
        <w:rPr>
          <w:rStyle w:val="VerbatimChar"/>
        </w:rPr>
        <w:t xml:space="preserve">docs/</w:t>
      </w:r>
      <w:r>
        <w:t xml:space="preserve">) and not in a regenerated metrics file: the 1.665% median for a ten-discharge reference, the 52% to about 10% change for the worst cell before and after the truncated-discharge fix, the 6.8% and 12.8% errors before the knee gate, and the 1.1-point bias and 56-cycle early crossing in the sparse-RUL study. They are quoted as recorded there.</w:t>
      </w:r>
    </w:p>
    <w:p>
      <w:pPr>
        <w:pStyle w:val="BodyText"/>
      </w:pPr>
      <w:r>
        <w:t xml:space="preserve">Every number in this report is regenerated by a named script from committed artifacts. Table B.1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B.1: Artifacts and Scripts Behind Each Results Section</w:t>
      </w:r>
    </w:p>
    <w:tbl>
      <w:tblPr>
        <w:tblStyle w:val="Table"/>
        <w:tblW w:type="pct" w:w="4400"/>
        <w:tblLook w:firstRow="1" w:lastRow="0" w:firstColumn="0" w:lastColumn="0" w:noHBand="0" w:noVBand="0" w:val="0020"/>
        <w:jc w:val="start"/>
        <w:tblCaption w:val="Table B.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74"/>
    <w:bookmarkStart w:id="175" w:name="appendix-c"/>
    <w:p>
      <w:pPr>
        <w:pStyle w:val="Heading1"/>
      </w:pPr>
      <w:r>
        <w:t>APPENDIX C</w:t>
      </w:r>
    </w:p>
    <w:p>
      <w:pPr>
        <w:pStyle w:val="FirstParagraph"/>
      </w:pPr>
      <w:r>
        <w:rPr>
          <w:bCs/>
          <w:b/>
        </w:rPr>
        <w:t xml:space="preserve">Reproducing the System and the Results</w:t>
      </w:r>
    </w:p>
    <w:p>
      <w:pPr>
        <w:pStyle w:val="BodyText"/>
      </w:pPr>
      <w:r>
        <w:t xml:space="preserve">The repository is</w:t>
      </w:r>
      <w:r>
        <w:t xml:space="preserve"> </w:t>
      </w:r>
      <w:hyperlink r:id="rId172">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NASA and Oxford data are not redistributed; their sources are given in Appendix A.</w:t>
      </w:r>
    </w:p>
    <w:bookmarkEnd w:id="175"/>
    <w:bookmarkStart w:id="17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172"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72"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2026-10-08T10:24:22Z</dcterms:created>
  <dcterms:modified xsi:type="dcterms:W3CDTF">2026-10-08T10:24:22Z</dcterms:modified>
</cp:coreProperties>
</file>

<file path=docProps/custom.xml><?xml version="1.0" encoding="utf-8"?>
<Properties xmlns="http://schemas.openxmlformats.org/officeDocument/2006/custom-properties" xmlns:vt="http://schemas.openxmlformats.org/officeDocument/2006/docPropsVTypes"/>
</file>