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D880B">
      <w:pPr>
        <w:pStyle w:val="17"/>
        <w:rPr>
          <w:rFonts w:hint="default" w:ascii="Times New Roman" w:hAnsi="Times New Roman" w:cs="Times New Roman"/>
        </w:rPr>
      </w:pPr>
      <w:r>
        <w:rPr>
          <w:rFonts w:hint="default" w:ascii="Times New Roman" w:hAnsi="Times New Roman" w:cs="Times New Roman"/>
        </w:rPr>
        <w:t>Behavior-Aware EV Battery Health Monitoring</w:t>
      </w:r>
    </w:p>
    <w:p w14:paraId="694B55DF">
      <w:pPr>
        <w:pStyle w:val="22"/>
        <w:rPr>
          <w:rFonts w:hint="default" w:ascii="Times New Roman" w:hAnsi="Times New Roman" w:cs="Times New Roman"/>
        </w:rPr>
      </w:pPr>
      <w:r>
        <w:rPr>
          <w:rFonts w:hint="default" w:ascii="Times New Roman" w:hAnsi="Times New Roman" w:cs="Times New Roman"/>
        </w:rPr>
        <w:t>Final Report</w:t>
      </w:r>
    </w:p>
    <w:p w14:paraId="7D6972AE">
      <w:pPr>
        <w:pStyle w:val="27"/>
        <w:rPr>
          <w:rFonts w:hint="default" w:ascii="Times New Roman" w:hAnsi="Times New Roman" w:cs="Times New Roman"/>
        </w:rPr>
      </w:pPr>
      <w:r>
        <w:rPr>
          <w:rFonts w:hint="default" w:ascii="Times New Roman" w:hAnsi="Times New Roman" w:cs="Times New Roman"/>
        </w:rPr>
        <w:t>Naveen Vaidyanathan</w:t>
      </w:r>
    </w:p>
    <w:p w14:paraId="0C7952CC">
      <w:pPr>
        <w:pStyle w:val="16"/>
        <w:rPr>
          <w:rFonts w:hint="default" w:ascii="Times New Roman" w:hAnsi="Times New Roman" w:cs="Times New Roman"/>
        </w:rPr>
      </w:pPr>
      <w:r>
        <w:rPr>
          <w:rFonts w:hint="default" w:ascii="Times New Roman" w:hAnsi="Times New Roman" w:cs="Times New Roman"/>
        </w:rPr>
        <w:t>2026-09-09</w:t>
      </w:r>
    </w:p>
    <w:sdt>
      <w:sdtPr>
        <w:rPr>
          <w:rFonts w:hint="default" w:ascii="Times New Roman" w:hAnsi="Times New Roman" w:cs="Times New Roman"/>
        </w:rPr>
        <w:id w:val="147471936"/>
        <w:docPartObj>
          <w:docPartGallery w:val="Table of Contents"/>
          <w:docPartUnique/>
        </w:docPartObj>
      </w:sdtPr>
      <w:sdtEndPr>
        <w:rPr>
          <w:rFonts w:hint="default" w:ascii="Times New Roman" w:hAnsi="Times New Roman" w:cs="Times New Roman"/>
        </w:rPr>
      </w:sdtEndPr>
      <w:sdtContent>
        <w:p w14:paraId="72D7674B">
          <w:pPr>
            <w:pStyle w:val="51"/>
            <w:rPr>
              <w:rFonts w:hint="default" w:ascii="Times New Roman" w:hAnsi="Times New Roman" w:cs="Times New Roman"/>
            </w:rPr>
          </w:pPr>
          <w:r>
            <w:rPr>
              <w:rFonts w:hint="default" w:ascii="Times New Roman" w:hAnsi="Times New Roman" w:cs="Times New Roman"/>
            </w:rPr>
            <w:t>Table of Contents</w:t>
          </w:r>
        </w:p>
        <w:p w14:paraId="05708759">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"1-2" \h \z \u</w:instrText>
          </w:r>
          <w:r>
            <w:rPr>
              <w:rFonts w:hint="default" w:ascii="Times New Roman" w:hAnsi="Times New Roman" w:cs="Times New Roman"/>
            </w:rPr>
            <w:fldChar w:fldCharType="separate"/>
          </w:r>
          <w:r>
            <w:rPr>
              <w:rFonts w:hint="default" w:ascii="Times New Roman" w:hAnsi="Times New Roman" w:cs="Times New Roman"/>
            </w:rPr>
            <w:fldChar w:fldCharType="end"/>
          </w:r>
        </w:p>
      </w:sdtContent>
    </w:sdt>
    <w:p w14:paraId="3BDCF2C0">
      <w:pPr>
        <w:pStyle w:val="4"/>
        <w:rPr>
          <w:rFonts w:hint="default" w:ascii="Times New Roman" w:hAnsi="Times New Roman" w:cs="Times New Roman"/>
        </w:rPr>
      </w:pPr>
      <w:bookmarkStart w:id="0" w:name="abstract"/>
      <w:r>
        <w:rPr>
          <w:rFonts w:hint="default" w:ascii="Times New Roman" w:hAnsi="Times New Roman" w:cs="Times New Roman"/>
        </w:rPr>
        <w:t>Abstract</w:t>
      </w:r>
    </w:p>
    <w:p w14:paraId="60D2ECA7">
      <w:pPr>
        <w:pStyle w:val="23"/>
        <w:rPr>
          <w:rFonts w:hint="default" w:ascii="Times New Roman" w:hAnsi="Times New Roman" w:cs="Times New Roman"/>
        </w:rPr>
      </w:pPr>
      <w:r>
        <w:rPr>
          <w:rFonts w:hint="default" w:ascii="Times New Roman" w:hAnsi="Times New Roman" w:cs="Times New Roman"/>
        </w:rPr>
        <w:t xml:space="preserve">This project builds a behavior-aware analytics layer over EV battery telemetry: ingestion, feature extraction, degradation risk scoring, a health index, remaining-useful-life (RUL) estimation, and a dashboard. The initial implementation (V1) consisted of a rule-based scoring system with hand-picked weights and thresholds, entirely unvalidated against real degradation data. This report documents the calibration effort undertaken against two real datasets (NASA Li-ion cycling data, 34 cells; CALCE PLN pouch cells) and its results: the original heuristic scores show no significant relationship with real capacity fade; one specific behavioral signal (temperature exposure) does show a real, cohort-controlled, statistically significant relationship; and a fitted regression model built on that signal, while statistically valid in-sample, performs no better than a naive per-battery-average baseline out-of-sample. Lengthening the prediction horizon (Section 4.5) improves out-of-sample </w:t>
      </w:r>
      <w:r>
        <w:rPr>
          <w:rFonts w:hint="default" w:ascii="Times New Roman" w:hAnsi="Times New Roman" w:cs="Times New Roman"/>
          <w:i/>
          <w:iCs/>
        </w:rPr>
        <w:t>rank</w:t>
      </w:r>
      <w:r>
        <w:rPr>
          <w:rFonts w:hint="default" w:ascii="Times New Roman" w:hAnsi="Times New Roman" w:cs="Times New Roman"/>
        </w:rPr>
        <w:t xml:space="preserve"> correlation but not RÂ² against that baseline. Three further results were added in the final pass. A threshold-reachability audit (Section 4.7) found that 61% of the mean risk score comes from terms that are constant across the entire calibration set, because their hand-chosen cut points sit outside the range real data occupies â€” which explains mechanically why the scores showed no resolution, and reframes the earlier null result as a calibration-design fault rather than a failure of the behavioural premise. Leave-one-cohort-out validation (Section 4.8), substituted for a cross-dataset test that the available CALCE data makes impossible, showed that the fitted model’s apparent battery-ranking ability (rho = 0.84) is carried almost entirely by its per-cohort intercepts and collapses to rho = âˆ’0.30 on an unseen protocol. An explainability layer (Section 4.9) replaced the previous threshold-based cause attribution with exact closed-form Shapley values over the score terms, and a SHAP analysis against measured fade was gated on out-of-sample skill, which it failed â€” so its importance ranking is reported as describing model fitting, not physics. That pointed at the fixed cohort intercept as the likely cause, but a mixed-effects model built to test that directly (Section 4.6) is not identifiable with only 3-4 batteries per cohort â€” closing that modeling line on this dataset and converting “more data would help” into a concrete acceptance criterion (~8-10+ batteries per cohort) for whatever dataset comes next.</w:t>
      </w:r>
    </w:p>
    <w:p w14:paraId="79837398">
      <w:pPr>
        <w:pStyle w:val="3"/>
        <w:rPr>
          <w:rFonts w:hint="default" w:ascii="Times New Roman" w:hAnsi="Times New Roman" w:cs="Times New Roman"/>
        </w:rPr>
      </w:pPr>
      <w:r>
        <w:rPr>
          <w:rFonts w:hint="default" w:ascii="Times New Roman" w:hAnsi="Times New Roman" w:cs="Times New Roman"/>
        </w:rPr>
        <w:t xml:space="preserve">A final pass (Sections 4.10â€“4.12) rescoped much of the above. The target used throughout, per-cycle capacity delta, has a signal fraction of </w:t>
      </w:r>
      <w:r>
        <w:rPr>
          <w:rFonts w:hint="default" w:ascii="Times New Roman" w:hAnsi="Times New Roman" w:cs="Times New Roman"/>
          <w:b/>
          <w:bCs/>
        </w:rPr>
        <w:t>0.044</w:t>
      </w:r>
      <w:r>
        <w:rPr>
          <w:rFonts w:hint="default" w:ascii="Times New Roman" w:hAnsi="Times New Roman" w:cs="Times New Roman"/>
        </w:rPr>
        <w:t xml:space="preserve"> â€” an RÂ² of 0.044 was the best score obtainable against it, so the recurring null result was substantially a property of the target. On a well-conditioned target (</w:t>
      </w:r>
      <w:r>
        <w:rPr>
          <w:rStyle w:val="48"/>
          <w:rFonts w:hint="default" w:ascii="Times New Roman" w:hAnsi="Times New Roman" w:cs="Times New Roman"/>
        </w:rPr>
        <w:t>soh</w:t>
      </w:r>
      <w:r>
        <w:rPr>
          <w:rFonts w:hint="default" w:ascii="Times New Roman" w:hAnsi="Times New Roman" w:cs="Times New Roman"/>
        </w:rPr>
        <w:t>/</w:t>
      </w:r>
      <w:r>
        <w:rPr>
          <w:rStyle w:val="48"/>
          <w:rFonts w:hint="default" w:ascii="Times New Roman" w:hAnsi="Times New Roman" w:cs="Times New Roman"/>
        </w:rPr>
        <w:t>cumulative_fade</w:t>
      </w:r>
      <w:r>
        <w:rPr>
          <w:rFonts w:hint="default" w:ascii="Times New Roman" w:hAnsi="Times New Roman" w:cs="Times New Roman"/>
        </w:rPr>
        <w:t>, ceiling 0.569) four candidates clear the same gate. A reversible thermal offset in measured capacity â€” apparent SOH of 0.918 at 4 Â°C versus 0.999 at 44 Â°C before degradation is possible â€” was found to explain mechanically why temperature predicts fade correctly within cohorts and backwards across them.</w:t>
      </w:r>
    </w:p>
    <w:p w14:paraId="6778BF43">
      <w:pPr>
        <w:pStyle w:val="3"/>
        <w:rPr>
          <w:rFonts w:hint="default" w:ascii="Times New Roman" w:hAnsi="Times New Roman" w:cs="Times New Roman"/>
        </w:rPr>
      </w:pPr>
      <w:r>
        <w:rPr>
          <w:rFonts w:hint="default" w:ascii="Times New Roman" w:hAnsi="Times New Roman" w:cs="Times New Roman"/>
        </w:rPr>
        <w:t xml:space="preserve">A benchmark of twelve published methods, including a real XGBoost and a real LSTM, showed that </w:t>
      </w:r>
      <w:r>
        <w:rPr>
          <w:rFonts w:hint="default" w:ascii="Times New Roman" w:hAnsi="Times New Roman" w:cs="Times New Roman"/>
          <w:b/>
          <w:bCs/>
        </w:rPr>
        <w:t>leave-one-cell-out rank carries essentially no information about leave-one-cohort-out rank</w:t>
      </w:r>
      <w:r>
        <w:rPr>
          <w:rFonts w:hint="default" w:ascii="Times New Roman" w:hAnsi="Times New Roman" w:cs="Times New Roman"/>
        </w:rPr>
        <w:t xml:space="preserve"> (Spearman Ï = +0.084, p = 0.795, n = 12) and that choosing by the former costs 0.309 RÂ². The most robust method in the table is </w:t>
      </w:r>
      <w:r>
        <w:rPr>
          <w:rStyle w:val="48"/>
          <w:rFonts w:hint="default" w:ascii="Times New Roman" w:hAnsi="Times New Roman" w:cs="Times New Roman"/>
        </w:rPr>
        <w:t>age_linear</w:t>
      </w:r>
      <w:r>
        <w:rPr>
          <w:rFonts w:hint="default" w:ascii="Times New Roman" w:hAnsi="Times New Roman" w:cs="Times New Roman"/>
        </w:rPr>
        <w:t xml:space="preserve">, a straight line on cycle count: it reaches LOCO RÂ² = 0.406 against the best model’s 0.459, so </w:t>
      </w:r>
      <w:r>
        <w:rPr>
          <w:rFonts w:hint="default" w:ascii="Times New Roman" w:hAnsi="Times New Roman" w:cs="Times New Roman"/>
          <w:b/>
          <w:bCs/>
        </w:rPr>
        <w:t>all the behavioural modelling buys about 0.05 RÂ² over counting cycles</w:t>
      </w:r>
      <w:r>
        <w:rPr>
          <w:rFonts w:hint="default" w:ascii="Times New Roman" w:hAnsi="Times New Roman" w:cs="Times New Roman"/>
        </w:rPr>
        <w:t>.</w:t>
      </w:r>
    </w:p>
    <w:p w14:paraId="707DAC6B">
      <w:pPr>
        <w:pStyle w:val="3"/>
        <w:rPr>
          <w:rFonts w:hint="default" w:ascii="Times New Roman" w:hAnsi="Times New Roman" w:cs="Times New Roman"/>
        </w:rPr>
      </w:pPr>
      <w:r>
        <w:rPr>
          <w:rFonts w:hint="default" w:ascii="Times New Roman" w:hAnsi="Times New Roman" w:cs="Times New Roman"/>
        </w:rPr>
        <w:t xml:space="preserve">The picture then replicated on CALCE (Section 4.13) â€” a second laboratory, a depth-of-discharge cohort axis rather than a thermal one, 19 cells across 8 cohorts and two cell families. Every method again lost skill under protocol shift. Which </w:t>
      </w:r>
      <w:r>
        <w:rPr>
          <w:rFonts w:hint="default" w:ascii="Times New Roman" w:hAnsi="Times New Roman" w:cs="Times New Roman"/>
          <w:i/>
          <w:iCs/>
        </w:rPr>
        <w:t>family</w:t>
      </w:r>
      <w:r>
        <w:rPr>
          <w:rFonts w:hint="default" w:ascii="Times New Roman" w:hAnsi="Times New Roman" w:cs="Times New Roman"/>
        </w:rPr>
        <w:t xml:space="preserve"> transfers best did not replicate.</w:t>
      </w:r>
    </w:p>
    <w:p w14:paraId="44B45F86">
      <w:pPr>
        <w:pStyle w:val="3"/>
        <w:rPr>
          <w:rFonts w:hint="default" w:ascii="Times New Roman" w:hAnsi="Times New Roman" w:cs="Times New Roman"/>
        </w:rPr>
      </w:pPr>
      <w:r>
        <w:rPr>
          <w:rFonts w:hint="default" w:ascii="Times New Roman" w:hAnsi="Times New Roman" w:cs="Times New Roman"/>
        </w:rPr>
        <w:t xml:space="preserve">By that point five separate ranking claims had been made and withdrawn, so a designed experiment (Section 4.14, 220 measurements) was run to find out why. The proposed explanation â€” that the gap reflects cohort coverage â€” was </w:t>
      </w:r>
      <w:r>
        <w:rPr>
          <w:rFonts w:hint="default" w:ascii="Times New Roman" w:hAnsi="Times New Roman" w:cs="Times New Roman"/>
          <w:b/>
          <w:bCs/>
        </w:rPr>
        <w:t>refuted</w:t>
      </w:r>
      <w:r>
        <w:rPr>
          <w:rFonts w:hint="default" w:ascii="Times New Roman" w:hAnsi="Times New Roman" w:cs="Times New Roman"/>
        </w:rPr>
        <w:t xml:space="preserve">: the one dataset showing a significant raw correlation lost it entirely once training-set size was regressed out. What the experiment did establish is that the leave-one-cohort-out estimate has an interquartile range across cohort draws of </w:t>
      </w:r>
      <w:r>
        <w:rPr>
          <w:rFonts w:hint="default" w:ascii="Times New Roman" w:hAnsi="Times New Roman" w:cs="Times New Roman"/>
          <w:b/>
          <w:bCs/>
        </w:rPr>
        <w:t>0.724 RÂ²</w:t>
      </w:r>
      <w:r>
        <w:rPr>
          <w:rFonts w:hint="default" w:ascii="Times New Roman" w:hAnsi="Times New Roman" w:cs="Times New Roman"/>
        </w:rPr>
        <w:t>, roughly twice the median difference between a nonlinear model and a straight line on cycle count (0.351). The measurement is noisier than the effect it was being used to rank, which is why every ranking claim failed to replicate.</w:t>
      </w:r>
    </w:p>
    <w:p w14:paraId="6FBB8A61">
      <w:pPr>
        <w:pStyle w:val="3"/>
        <w:rPr>
          <w:rFonts w:hint="default" w:ascii="Times New Roman" w:hAnsi="Times New Roman" w:cs="Times New Roman"/>
        </w:rPr>
      </w:pPr>
      <w:r>
        <w:rPr>
          <w:rFonts w:hint="default" w:ascii="Times New Roman" w:hAnsi="Times New Roman" w:cs="Times New Roman"/>
        </w:rPr>
        <w:t xml:space="preserve">The defensible conclusion is methodological: </w:t>
      </w:r>
      <w:r>
        <w:rPr>
          <w:rFonts w:hint="default" w:ascii="Times New Roman" w:hAnsi="Times New Roman" w:cs="Times New Roman"/>
          <w:i/>
          <w:iCs/>
        </w:rPr>
        <w:t>at the sample sizes standard battery datasets provide, a single leave-one-cohort-out estimate cannot distinguish between candidate methods and must be reported as an interval.</w:t>
      </w:r>
    </w:p>
    <w:p w14:paraId="59B4E794">
      <w:pPr>
        <w:pStyle w:val="3"/>
        <w:rPr>
          <w:rFonts w:hint="default" w:ascii="Times New Roman" w:hAnsi="Times New Roman" w:cs="Times New Roman"/>
        </w:rPr>
      </w:pPr>
      <w:r>
        <w:rPr>
          <w:rFonts w:hint="default" w:ascii="Times New Roman" w:hAnsi="Times New Roman" w:cs="Times New Roman"/>
        </w:rPr>
        <w:t>The project’s main contribution at this stage is not a validated predictive score â€” it is a rigorously diagnosed account of what does and doesn’t work, with a concrete, specific path to closing the gap.</w:t>
      </w:r>
    </w:p>
    <w:p w14:paraId="053E91CB">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0"/>
    <w:p w14:paraId="30AE69D5">
      <w:pPr>
        <w:pStyle w:val="4"/>
        <w:rPr>
          <w:rFonts w:hint="default" w:ascii="Times New Roman" w:hAnsi="Times New Roman" w:cs="Times New Roman"/>
        </w:rPr>
      </w:pPr>
      <w:bookmarkStart w:id="1" w:name="problem-statement"/>
      <w:r>
        <w:rPr>
          <w:rFonts w:hint="default" w:ascii="Times New Roman" w:hAnsi="Times New Roman" w:cs="Times New Roman"/>
        </w:rPr>
        <w:t>1. Problem Statement</w:t>
      </w:r>
    </w:p>
    <w:p w14:paraId="45C13735">
      <w:pPr>
        <w:pStyle w:val="23"/>
        <w:rPr>
          <w:rFonts w:hint="default" w:ascii="Times New Roman" w:hAnsi="Times New Roman" w:cs="Times New Roman"/>
        </w:rPr>
      </w:pPr>
      <w:r>
        <w:rPr>
          <w:rFonts w:hint="default" w:ascii="Times New Roman" w:hAnsi="Times New Roman" w:cs="Times New Roman"/>
        </w:rPr>
        <w:t xml:space="preserve">EV battery packs degrade as a function of both electrochemical aging and user behavior (fast charging, deep discharge, thermal exposure). Battery Management System (BMS) hardware handles safety but does not typically explain </w:t>
      </w:r>
      <w:r>
        <w:rPr>
          <w:rFonts w:hint="default" w:ascii="Times New Roman" w:hAnsi="Times New Roman" w:cs="Times New Roman"/>
          <w:i/>
          <w:iCs/>
        </w:rPr>
        <w:t>how</w:t>
      </w:r>
      <w:r>
        <w:rPr>
          <w:rFonts w:hint="default" w:ascii="Times New Roman" w:hAnsi="Times New Roman" w:cs="Times New Roman"/>
        </w:rPr>
        <w:t xml:space="preserve"> behavior drives long-term degradation or provide forward-looking guidance. The goal of this project is a software layer that:</w:t>
      </w:r>
    </w:p>
    <w:p w14:paraId="4570F187">
      <w:pPr>
        <w:pStyle w:val="24"/>
        <w:numPr>
          <w:ilvl w:val="0"/>
          <w:numId w:val="1"/>
        </w:numPr>
        <w:rPr>
          <w:rFonts w:hint="default" w:ascii="Times New Roman" w:hAnsi="Times New Roman" w:cs="Times New Roman"/>
        </w:rPr>
      </w:pPr>
      <w:r>
        <w:rPr>
          <w:rFonts w:hint="default" w:ascii="Times New Roman" w:hAnsi="Times New Roman" w:cs="Times New Roman"/>
        </w:rPr>
        <w:t>Converts raw BMS telemetry into interpretable behavior features.</w:t>
      </w:r>
    </w:p>
    <w:p w14:paraId="3F37D8E0">
      <w:pPr>
        <w:pStyle w:val="24"/>
        <w:numPr>
          <w:ilvl w:val="0"/>
          <w:numId w:val="1"/>
        </w:numPr>
        <w:rPr>
          <w:rFonts w:hint="default" w:ascii="Times New Roman" w:hAnsi="Times New Roman" w:cs="Times New Roman"/>
        </w:rPr>
      </w:pPr>
      <w:r>
        <w:rPr>
          <w:rFonts w:hint="default" w:ascii="Times New Roman" w:hAnsi="Times New Roman" w:cs="Times New Roman"/>
        </w:rPr>
        <w:t>Scores degradation risk and estimates a health index and RUL from those features.</w:t>
      </w:r>
    </w:p>
    <w:p w14:paraId="39223B72">
      <w:pPr>
        <w:pStyle w:val="24"/>
        <w:numPr>
          <w:ilvl w:val="0"/>
          <w:numId w:val="1"/>
        </w:numPr>
        <w:rPr>
          <w:rFonts w:hint="default" w:ascii="Times New Roman" w:hAnsi="Times New Roman" w:cs="Times New Roman"/>
        </w:rPr>
      </w:pPr>
      <w:r>
        <w:rPr>
          <w:rFonts w:hint="default" w:ascii="Times New Roman" w:hAnsi="Times New Roman" w:cs="Times New Roman"/>
        </w:rPr>
        <w:t>Explains the score in plain language and recommends action.</w:t>
      </w:r>
    </w:p>
    <w:p w14:paraId="1FB7028A">
      <w:pPr>
        <w:pStyle w:val="24"/>
        <w:numPr>
          <w:ilvl w:val="0"/>
          <w:numId w:val="1"/>
        </w:numPr>
        <w:rPr>
          <w:rFonts w:hint="default" w:ascii="Times New Roman" w:hAnsi="Times New Roman" w:cs="Times New Roman"/>
        </w:rPr>
      </w:pPr>
      <w:r>
        <w:rPr>
          <w:rFonts w:hint="default" w:ascii="Times New Roman" w:hAnsi="Times New Roman" w:cs="Times New Roman"/>
        </w:rPr>
        <w:t>Does all of the above with scores that are actually validated against measured degradation, not just plausible-sounding.</w:t>
      </w:r>
    </w:p>
    <w:p w14:paraId="11DB9909">
      <w:pPr>
        <w:pStyle w:val="23"/>
        <w:rPr>
          <w:rFonts w:hint="default" w:ascii="Times New Roman" w:hAnsi="Times New Roman" w:cs="Times New Roman"/>
        </w:rPr>
      </w:pPr>
      <w:r>
        <w:rPr>
          <w:rFonts w:hint="default" w:ascii="Times New Roman" w:hAnsi="Times New Roman" w:cs="Times New Roman"/>
        </w:rPr>
        <w:t>Item 4 is the part V1 did not have, and this report is primarily about closing that gap and reporting honestly on how far it got.</w:t>
      </w:r>
    </w:p>
    <w:p w14:paraId="1A99F412">
      <w:pPr>
        <w:pStyle w:val="5"/>
        <w:rPr>
          <w:rFonts w:hint="default" w:ascii="Times New Roman" w:hAnsi="Times New Roman" w:cs="Times New Roman"/>
        </w:rPr>
      </w:pPr>
      <w:bookmarkStart w:id="2" w:name="literature-context"/>
      <w:r>
        <w:rPr>
          <w:rFonts w:hint="default" w:ascii="Times New Roman" w:hAnsi="Times New Roman" w:cs="Times New Roman"/>
        </w:rPr>
        <w:t>1.1 Literature context</w:t>
      </w:r>
    </w:p>
    <w:p w14:paraId="6EAD4C42">
      <w:pPr>
        <w:pStyle w:val="23"/>
        <w:rPr>
          <w:rFonts w:hint="default" w:ascii="Times New Roman" w:hAnsi="Times New Roman" w:cs="Times New Roman"/>
        </w:rPr>
      </w:pPr>
      <w:r>
        <w:rPr>
          <w:rFonts w:hint="default" w:ascii="Times New Roman" w:hAnsi="Times New Roman" w:cs="Times New Roman"/>
        </w:rPr>
        <w:t>Data-driven SOH estimation is a mature applied machine-learning problem with a large literature and a small number of shared benchmark datasets. Severson et al. (2019) established the dominant framing: features derived from the discharge voltage curve â€” specifically the variance of Î”Q(V) between early cycles â€” predict cycle life before capacity degradation is measurable, at 9.1% test error across 124 LFP/graphite cells. Their dataset and feature construction anchor a large body of subsequent work on curve-based features, incremental capacity analysis and differential voltage analysis.</w:t>
      </w:r>
    </w:p>
    <w:p w14:paraId="434DD158">
      <w:pPr>
        <w:pStyle w:val="3"/>
        <w:rPr>
          <w:rFonts w:hint="default" w:ascii="Times New Roman" w:hAnsi="Times New Roman" w:cs="Times New Roman"/>
        </w:rPr>
      </w:pPr>
      <w:r>
        <w:rPr>
          <w:rFonts w:hint="default" w:ascii="Times New Roman" w:hAnsi="Times New Roman" w:cs="Times New Roman"/>
        </w:rPr>
        <w:t>The behavioural or usage-aggregate feature family this project began with â€” mean temperature, C-rate exposure, depth-of-discharge statistics â€” is less represented in that literature, and Section 4 is largely an account of why.</w:t>
      </w:r>
    </w:p>
    <w:p w14:paraId="47F205E7">
      <w:pPr>
        <w:pStyle w:val="3"/>
        <w:rPr>
          <w:rFonts w:hint="default" w:ascii="Times New Roman" w:hAnsi="Times New Roman" w:cs="Times New Roman"/>
        </w:rPr>
      </w:pPr>
      <w:r>
        <w:rPr>
          <w:rFonts w:hint="default" w:ascii="Times New Roman" w:hAnsi="Times New Roman" w:cs="Times New Roman"/>
          <w:b/>
          <w:bCs/>
        </w:rPr>
        <w:t>Validation practice is where this project ended up contributing</w:t>
      </w:r>
      <w:r>
        <w:rPr>
          <w:rFonts w:hint="default" w:ascii="Times New Roman" w:hAnsi="Times New Roman" w:cs="Times New Roman"/>
        </w:rPr>
        <w:t>, and the relevant prior work forms a ladder in which each rung holds out a larger unit than the last, and each exposes inflation the rung below concealed:</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F82716D">
        <w:tblPrEx>
          <w:tblCellMar>
            <w:top w:w="0" w:type="dxa"/>
            <w:left w:w="108" w:type="dxa"/>
            <w:bottom w:w="0" w:type="dxa"/>
            <w:right w:w="108" w:type="dxa"/>
          </w:tblCellMar>
        </w:tblPrEx>
        <w:trPr>
          <w:tblHeader/>
        </w:trPr>
        <w:tc>
          <w:p w14:paraId="3CE32E95">
            <w:pPr>
              <w:pStyle w:val="24"/>
              <w:rPr>
                <w:rFonts w:hint="default" w:ascii="Times New Roman" w:hAnsi="Times New Roman" w:cs="Times New Roman"/>
              </w:rPr>
            </w:pPr>
            <w:r>
              <w:rPr>
                <w:rFonts w:hint="default" w:ascii="Times New Roman" w:hAnsi="Times New Roman" w:cs="Times New Roman"/>
              </w:rPr>
              <w:t>Rung</w:t>
            </w:r>
          </w:p>
        </w:tc>
        <w:tc>
          <w:p w14:paraId="514A1178">
            <w:pPr>
              <w:pStyle w:val="24"/>
              <w:rPr>
                <w:rFonts w:hint="default" w:ascii="Times New Roman" w:hAnsi="Times New Roman" w:cs="Times New Roman"/>
              </w:rPr>
            </w:pPr>
            <w:r>
              <w:rPr>
                <w:rFonts w:hint="default" w:ascii="Times New Roman" w:hAnsi="Times New Roman" w:cs="Times New Roman"/>
              </w:rPr>
              <w:t>Holds out</w:t>
            </w:r>
          </w:p>
        </w:tc>
        <w:tc>
          <w:p w14:paraId="1B9BB268">
            <w:pPr>
              <w:pStyle w:val="24"/>
              <w:rPr>
                <w:rFonts w:hint="default" w:ascii="Times New Roman" w:hAnsi="Times New Roman" w:cs="Times New Roman"/>
              </w:rPr>
            </w:pPr>
            <w:r>
              <w:rPr>
                <w:rFonts w:hint="default" w:ascii="Times New Roman" w:hAnsi="Times New Roman" w:cs="Times New Roman"/>
              </w:rPr>
              <w:t>Representative finding</w:t>
            </w:r>
          </w:p>
        </w:tc>
      </w:tr>
      <w:tr w14:paraId="2558FF1C">
        <w:tblPrEx>
          <w:tblCellMar>
            <w:top w:w="0" w:type="dxa"/>
            <w:left w:w="108" w:type="dxa"/>
            <w:bottom w:w="0" w:type="dxa"/>
            <w:right w:w="108" w:type="dxa"/>
          </w:tblCellMar>
        </w:tblPrEx>
        <w:tc>
          <w:p w14:paraId="181B0FAF">
            <w:pPr>
              <w:pStyle w:val="24"/>
              <w:rPr>
                <w:rFonts w:hint="default" w:ascii="Times New Roman" w:hAnsi="Times New Roman" w:cs="Times New Roman"/>
              </w:rPr>
            </w:pPr>
            <w:r>
              <w:rPr>
                <w:rFonts w:hint="default" w:ascii="Times New Roman" w:hAnsi="Times New Roman" w:cs="Times New Roman"/>
              </w:rPr>
              <w:t>Random / k-fold over cycles</w:t>
            </w:r>
          </w:p>
        </w:tc>
        <w:tc>
          <w:p w14:paraId="01FD0A83">
            <w:pPr>
              <w:pStyle w:val="24"/>
              <w:rPr>
                <w:rFonts w:hint="default" w:ascii="Times New Roman" w:hAnsi="Times New Roman" w:cs="Times New Roman"/>
              </w:rPr>
            </w:pPr>
            <w:r>
              <w:rPr>
                <w:rFonts w:hint="default" w:ascii="Times New Roman" w:hAnsi="Times New Roman" w:cs="Times New Roman"/>
              </w:rPr>
              <w:t>Nothing â€” cycles from one cell fall on both sides</w:t>
            </w:r>
          </w:p>
        </w:tc>
        <w:tc>
          <w:p w14:paraId="09BD8E46">
            <w:pPr>
              <w:pStyle w:val="24"/>
              <w:rPr>
                <w:rFonts w:hint="default" w:ascii="Times New Roman" w:hAnsi="Times New Roman" w:cs="Times New Roman"/>
              </w:rPr>
            </w:pPr>
            <w:r>
              <w:rPr>
                <w:rFonts w:hint="default" w:ascii="Times New Roman" w:hAnsi="Times New Roman" w:cs="Times New Roman"/>
              </w:rPr>
              <w:t>Maher &amp; Yerken (2025): RÂ² = 0.9999 under random splitting</w:t>
            </w:r>
          </w:p>
        </w:tc>
      </w:tr>
      <w:tr w14:paraId="018BCBF6">
        <w:tblPrEx>
          <w:tblCellMar>
            <w:top w:w="0" w:type="dxa"/>
            <w:left w:w="108" w:type="dxa"/>
            <w:bottom w:w="0" w:type="dxa"/>
            <w:right w:w="108" w:type="dxa"/>
          </w:tblCellMar>
        </w:tblPrEx>
        <w:tc>
          <w:p w14:paraId="4310DB3E">
            <w:pPr>
              <w:pStyle w:val="24"/>
              <w:rPr>
                <w:rFonts w:hint="default" w:ascii="Times New Roman" w:hAnsi="Times New Roman" w:cs="Times New Roman"/>
              </w:rPr>
            </w:pPr>
            <w:r>
              <w:rPr>
                <w:rFonts w:hint="default" w:ascii="Times New Roman" w:hAnsi="Times New Roman" w:cs="Times New Roman"/>
              </w:rPr>
              <w:t>Cell-wise (LOBO)</w:t>
            </w:r>
          </w:p>
        </w:tc>
        <w:tc>
          <w:p w14:paraId="7F5E988F">
            <w:pPr>
              <w:pStyle w:val="24"/>
              <w:rPr>
                <w:rFonts w:hint="default" w:ascii="Times New Roman" w:hAnsi="Times New Roman" w:cs="Times New Roman"/>
              </w:rPr>
            </w:pPr>
            <w:r>
              <w:rPr>
                <w:rFonts w:hint="default" w:ascii="Times New Roman" w:hAnsi="Times New Roman" w:cs="Times New Roman"/>
              </w:rPr>
              <w:t>One cell</w:t>
            </w:r>
          </w:p>
        </w:tc>
        <w:tc>
          <w:p w14:paraId="5A68910F">
            <w:pPr>
              <w:pStyle w:val="24"/>
              <w:rPr>
                <w:rFonts w:hint="default" w:ascii="Times New Roman" w:hAnsi="Times New Roman" w:cs="Times New Roman"/>
              </w:rPr>
            </w:pPr>
            <w:r>
              <w:rPr>
                <w:rFonts w:hint="default" w:ascii="Times New Roman" w:hAnsi="Times New Roman" w:cs="Times New Roman"/>
              </w:rPr>
              <w:t>Maher &amp; Yerken (2025): the same data gives RÂ² â‰ˆ 0.91 â€” “optimistic bias”</w:t>
            </w:r>
          </w:p>
        </w:tc>
      </w:tr>
      <w:tr w14:paraId="5BB9CD83">
        <w:tblPrEx>
          <w:tblCellMar>
            <w:top w:w="0" w:type="dxa"/>
            <w:left w:w="108" w:type="dxa"/>
            <w:bottom w:w="0" w:type="dxa"/>
            <w:right w:w="108" w:type="dxa"/>
          </w:tblCellMar>
        </w:tblPrEx>
        <w:tc>
          <w:p w14:paraId="48BE6FB2">
            <w:pPr>
              <w:pStyle w:val="24"/>
              <w:rPr>
                <w:rFonts w:hint="default" w:ascii="Times New Roman" w:hAnsi="Times New Roman" w:cs="Times New Roman"/>
              </w:rPr>
            </w:pPr>
          </w:p>
        </w:tc>
        <w:tc>
          <w:p w14:paraId="6EB2AE97">
            <w:pPr>
              <w:pStyle w:val="24"/>
              <w:rPr>
                <w:rFonts w:hint="default" w:ascii="Times New Roman" w:hAnsi="Times New Roman" w:cs="Times New Roman"/>
              </w:rPr>
            </w:pPr>
          </w:p>
        </w:tc>
        <w:tc>
          <w:p w14:paraId="5E755311">
            <w:pPr>
              <w:pStyle w:val="24"/>
              <w:rPr>
                <w:rFonts w:hint="default" w:ascii="Times New Roman" w:hAnsi="Times New Roman" w:cs="Times New Roman"/>
              </w:rPr>
            </w:pPr>
            <w:r>
              <w:rPr>
                <w:rFonts w:hint="default" w:ascii="Times New Roman" w:hAnsi="Times New Roman" w:cs="Times New Roman"/>
              </w:rPr>
              <w:t>Le &amp; Nguyen (2026): a 119% gap between 5-fold CV and LOBO on NASA</w:t>
            </w:r>
          </w:p>
        </w:tc>
      </w:tr>
      <w:tr w14:paraId="3350C0B7">
        <w:tblPrEx>
          <w:tblCellMar>
            <w:top w:w="0" w:type="dxa"/>
            <w:left w:w="108" w:type="dxa"/>
            <w:bottom w:w="0" w:type="dxa"/>
            <w:right w:w="108" w:type="dxa"/>
          </w:tblCellMar>
        </w:tblPrEx>
        <w:tc>
          <w:p w14:paraId="4B151791">
            <w:pPr>
              <w:pStyle w:val="24"/>
              <w:rPr>
                <w:rFonts w:hint="default" w:ascii="Times New Roman" w:hAnsi="Times New Roman" w:cs="Times New Roman"/>
              </w:rPr>
            </w:pPr>
            <w:r>
              <w:rPr>
                <w:rFonts w:hint="default" w:ascii="Times New Roman" w:hAnsi="Times New Roman" w:cs="Times New Roman"/>
              </w:rPr>
              <w:t>Protocol-wise (LOCO)</w:t>
            </w:r>
          </w:p>
        </w:tc>
        <w:tc>
          <w:p w14:paraId="681ED570">
            <w:pPr>
              <w:pStyle w:val="24"/>
              <w:rPr>
                <w:rFonts w:hint="default" w:ascii="Times New Roman" w:hAnsi="Times New Roman" w:cs="Times New Roman"/>
              </w:rPr>
            </w:pPr>
            <w:r>
              <w:rPr>
                <w:rFonts w:hint="default" w:ascii="Times New Roman" w:hAnsi="Times New Roman" w:cs="Times New Roman"/>
              </w:rPr>
              <w:t>An entire operating protocol</w:t>
            </w:r>
          </w:p>
        </w:tc>
        <w:tc>
          <w:p w14:paraId="0A5C3F09">
            <w:pPr>
              <w:pStyle w:val="24"/>
              <w:rPr>
                <w:rFonts w:hint="default" w:ascii="Times New Roman" w:hAnsi="Times New Roman" w:cs="Times New Roman"/>
              </w:rPr>
            </w:pPr>
            <w:r>
              <w:rPr>
                <w:rFonts w:hint="default" w:ascii="Times New Roman" w:hAnsi="Times New Roman" w:cs="Times New Roman"/>
              </w:rPr>
              <w:t>Rare. Sections 4.8, 4.12â€“4.14 of this report</w:t>
            </w:r>
          </w:p>
        </w:tc>
      </w:tr>
    </w:tbl>
    <w:p w14:paraId="3A85B02F">
      <w:pPr>
        <w:pStyle w:val="3"/>
        <w:rPr>
          <w:rFonts w:hint="default" w:ascii="Times New Roman" w:hAnsi="Times New Roman" w:cs="Times New Roman"/>
        </w:rPr>
      </w:pPr>
      <w:r>
        <w:rPr>
          <w:rFonts w:hint="default" w:ascii="Times New Roman" w:hAnsi="Times New Roman" w:cs="Times New Roman"/>
        </w:rPr>
        <w:t xml:space="preserve">Maher and Yerken (2025) is the closest prior work, and the distinction matters: they show that pooling </w:t>
      </w:r>
      <w:r>
        <w:rPr>
          <w:rFonts w:hint="default" w:ascii="Times New Roman" w:hAnsi="Times New Roman" w:cs="Times New Roman"/>
          <w:i/>
          <w:iCs/>
        </w:rPr>
        <w:t>cycles within a cell</w:t>
      </w:r>
      <w:r>
        <w:rPr>
          <w:rFonts w:hint="default" w:ascii="Times New Roman" w:hAnsi="Times New Roman" w:cs="Times New Roman"/>
        </w:rPr>
        <w:t xml:space="preserve"> inflates skill and recommend group-wise cross-validation as the remedy. This project takes their conclusion as its </w:t>
      </w:r>
      <w:r>
        <w:rPr>
          <w:rFonts w:hint="default" w:ascii="Times New Roman" w:hAnsi="Times New Roman" w:cs="Times New Roman"/>
          <w:b/>
          <w:bCs/>
        </w:rPr>
        <w:t>starting point</w:t>
      </w:r>
      <w:r>
        <w:rPr>
          <w:rFonts w:hint="default" w:ascii="Times New Roman" w:hAnsi="Times New Roman" w:cs="Times New Roman"/>
        </w:rPr>
        <w:t xml:space="preserve"> and shows that pooling </w:t>
      </w:r>
      <w:r>
        <w:rPr>
          <w:rFonts w:hint="default" w:ascii="Times New Roman" w:hAnsi="Times New Roman" w:cs="Times New Roman"/>
          <w:i/>
          <w:iCs/>
        </w:rPr>
        <w:t>protocols within a cohort</w:t>
      </w:r>
      <w:r>
        <w:rPr>
          <w:rFonts w:hint="default" w:ascii="Times New Roman" w:hAnsi="Times New Roman" w:cs="Times New Roman"/>
        </w:rPr>
        <w:t xml:space="preserve"> inflates it again â€” and, in Section 4.14, that the obvious correction is itself too noisy to rank methods with. The two results are consecutive rather than competing.</w:t>
      </w:r>
    </w:p>
    <w:p w14:paraId="5C3E366A">
      <w:pPr>
        <w:pStyle w:val="14"/>
        <w:rPr>
          <w:rFonts w:hint="default" w:ascii="Times New Roman" w:hAnsi="Times New Roman" w:cs="Times New Roman"/>
        </w:rPr>
      </w:pPr>
      <w:r>
        <w:rPr>
          <w:rFonts w:hint="default" w:ascii="Times New Roman" w:hAnsi="Times New Roman" w:cs="Times New Roman"/>
        </w:rPr>
        <w:t xml:space="preserve">A full systematic survey â€” protocol, extraction schema, and a screening gate that refuses to report a proportion over an incomplete sample â€” is maintained at </w:t>
      </w:r>
      <w:r>
        <w:rPr>
          <w:rStyle w:val="48"/>
          <w:rFonts w:hint="default" w:ascii="Times New Roman" w:hAnsi="Times New Roman" w:cs="Times New Roman"/>
        </w:rPr>
        <w:t>docs/manuscript/survey/extraction.csv</w:t>
      </w:r>
      <w:r>
        <w:rPr>
          <w:rFonts w:hint="default" w:ascii="Times New Roman" w:hAnsi="Times New Roman" w:cs="Times New Roman"/>
        </w:rPr>
        <w:t xml:space="preserve"> and rendered by </w:t>
      </w:r>
      <w:r>
        <w:rPr>
          <w:rStyle w:val="48"/>
          <w:rFonts w:hint="default" w:ascii="Times New Roman" w:hAnsi="Times New Roman" w:cs="Times New Roman"/>
        </w:rPr>
        <w:t>scripts/render_survey_table.py</w:t>
      </w:r>
      <w:r>
        <w:rPr>
          <w:rFonts w:hint="default" w:ascii="Times New Roman" w:hAnsi="Times New Roman" w:cs="Times New Roman"/>
        </w:rPr>
        <w:t>. It is currently 3 papers into a declared sample of 40. The three cited here are the verified ones; no reference in this report has been filled in from memory.</w:t>
      </w:r>
    </w:p>
    <w:bookmarkEnd w:id="2"/>
    <w:p w14:paraId="380118AE">
      <w:pPr>
        <w:pStyle w:val="5"/>
        <w:rPr>
          <w:rFonts w:hint="default" w:ascii="Times New Roman" w:hAnsi="Times New Roman" w:cs="Times New Roman"/>
        </w:rPr>
      </w:pPr>
      <w:bookmarkStart w:id="3" w:name="objectives"/>
      <w:r>
        <w:rPr>
          <w:rFonts w:hint="default" w:ascii="Times New Roman" w:hAnsi="Times New Roman" w:cs="Times New Roman"/>
        </w:rPr>
        <w:t>1.2 Objectives</w:t>
      </w:r>
    </w:p>
    <w:p w14:paraId="2EA32788">
      <w:pPr>
        <w:pStyle w:val="23"/>
        <w:rPr>
          <w:rFonts w:hint="default" w:ascii="Times New Roman" w:hAnsi="Times New Roman" w:cs="Times New Roman"/>
        </w:rPr>
      </w:pPr>
      <w:r>
        <w:rPr>
          <w:rFonts w:hint="default" w:ascii="Times New Roman" w:hAnsi="Times New Roman" w:cs="Times New Roman"/>
        </w:rPr>
        <w:t>Restating the Problem Statement as testable objectives:</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1ED2668">
        <w:tblPrEx>
          <w:tblCellMar>
            <w:top w:w="0" w:type="dxa"/>
            <w:left w:w="108" w:type="dxa"/>
            <w:bottom w:w="0" w:type="dxa"/>
            <w:right w:w="108" w:type="dxa"/>
          </w:tblCellMar>
        </w:tblPrEx>
        <w:trPr>
          <w:tblHeader/>
        </w:trPr>
        <w:tc>
          <w:p w14:paraId="10A86AEC">
            <w:pPr>
              <w:pStyle w:val="24"/>
              <w:rPr>
                <w:rFonts w:hint="default" w:ascii="Times New Roman" w:hAnsi="Times New Roman" w:cs="Times New Roman"/>
              </w:rPr>
            </w:pPr>
            <w:r>
              <w:rPr>
                <w:rFonts w:hint="default" w:ascii="Times New Roman" w:hAnsi="Times New Roman" w:cs="Times New Roman"/>
              </w:rPr>
              <w:t>#</w:t>
            </w:r>
          </w:p>
        </w:tc>
        <w:tc>
          <w:p w14:paraId="5698760A">
            <w:pPr>
              <w:pStyle w:val="24"/>
              <w:rPr>
                <w:rFonts w:hint="default" w:ascii="Times New Roman" w:hAnsi="Times New Roman" w:cs="Times New Roman"/>
              </w:rPr>
            </w:pPr>
            <w:r>
              <w:rPr>
                <w:rFonts w:hint="default" w:ascii="Times New Roman" w:hAnsi="Times New Roman" w:cs="Times New Roman"/>
              </w:rPr>
              <w:t>Objective</w:t>
            </w:r>
          </w:p>
        </w:tc>
        <w:tc>
          <w:p w14:paraId="3B87BEDC">
            <w:pPr>
              <w:pStyle w:val="24"/>
              <w:rPr>
                <w:rFonts w:hint="default" w:ascii="Times New Roman" w:hAnsi="Times New Roman" w:cs="Times New Roman"/>
              </w:rPr>
            </w:pPr>
            <w:r>
              <w:rPr>
                <w:rFonts w:hint="default" w:ascii="Times New Roman" w:hAnsi="Times New Roman" w:cs="Times New Roman"/>
              </w:rPr>
              <w:t>Success criterion</w:t>
            </w:r>
          </w:p>
        </w:tc>
      </w:tr>
      <w:tr w14:paraId="6992A4CB">
        <w:tblPrEx>
          <w:tblCellMar>
            <w:top w:w="0" w:type="dxa"/>
            <w:left w:w="108" w:type="dxa"/>
            <w:bottom w:w="0" w:type="dxa"/>
            <w:right w:w="108" w:type="dxa"/>
          </w:tblCellMar>
        </w:tblPrEx>
        <w:tc>
          <w:p w14:paraId="2D5BD6B3">
            <w:pPr>
              <w:pStyle w:val="24"/>
              <w:rPr>
                <w:rFonts w:hint="default" w:ascii="Times New Roman" w:hAnsi="Times New Roman" w:cs="Times New Roman"/>
              </w:rPr>
            </w:pPr>
            <w:r>
              <w:rPr>
                <w:rFonts w:hint="default" w:ascii="Times New Roman" w:hAnsi="Times New Roman" w:cs="Times New Roman"/>
              </w:rPr>
              <w:t>O1</w:t>
            </w:r>
          </w:p>
        </w:tc>
        <w:tc>
          <w:p w14:paraId="26402CBD">
            <w:pPr>
              <w:pStyle w:val="24"/>
              <w:rPr>
                <w:rFonts w:hint="default" w:ascii="Times New Roman" w:hAnsi="Times New Roman" w:cs="Times New Roman"/>
              </w:rPr>
            </w:pPr>
            <w:r>
              <w:rPr>
                <w:rFonts w:hint="default" w:ascii="Times New Roman" w:hAnsi="Times New Roman" w:cs="Times New Roman"/>
              </w:rPr>
              <w:t>Convert raw BMS telemetry into interpretable behaviour features</w:t>
            </w:r>
          </w:p>
        </w:tc>
        <w:tc>
          <w:p w14:paraId="7509C848">
            <w:pPr>
              <w:pStyle w:val="24"/>
              <w:rPr>
                <w:rFonts w:hint="default" w:ascii="Times New Roman" w:hAnsi="Times New Roman" w:cs="Times New Roman"/>
              </w:rPr>
            </w:pPr>
            <w:r>
              <w:rPr>
                <w:rFonts w:hint="default" w:ascii="Times New Roman" w:hAnsi="Times New Roman" w:cs="Times New Roman"/>
              </w:rPr>
              <w:t>A running pipeline ingesting real telemetry and emitting the documented feature set</w:t>
            </w:r>
          </w:p>
        </w:tc>
      </w:tr>
      <w:tr w14:paraId="6C8668E9">
        <w:tblPrEx>
          <w:tblCellMar>
            <w:top w:w="0" w:type="dxa"/>
            <w:left w:w="108" w:type="dxa"/>
            <w:bottom w:w="0" w:type="dxa"/>
            <w:right w:w="108" w:type="dxa"/>
          </w:tblCellMar>
        </w:tblPrEx>
        <w:tc>
          <w:p w14:paraId="650F08B2">
            <w:pPr>
              <w:pStyle w:val="24"/>
              <w:rPr>
                <w:rFonts w:hint="default" w:ascii="Times New Roman" w:hAnsi="Times New Roman" w:cs="Times New Roman"/>
              </w:rPr>
            </w:pPr>
            <w:r>
              <w:rPr>
                <w:rFonts w:hint="default" w:ascii="Times New Roman" w:hAnsi="Times New Roman" w:cs="Times New Roman"/>
              </w:rPr>
              <w:t>O2</w:t>
            </w:r>
          </w:p>
        </w:tc>
        <w:tc>
          <w:p w14:paraId="720D7B62">
            <w:pPr>
              <w:pStyle w:val="24"/>
              <w:rPr>
                <w:rFonts w:hint="default" w:ascii="Times New Roman" w:hAnsi="Times New Roman" w:cs="Times New Roman"/>
              </w:rPr>
            </w:pPr>
            <w:r>
              <w:rPr>
                <w:rFonts w:hint="default" w:ascii="Times New Roman" w:hAnsi="Times New Roman" w:cs="Times New Roman"/>
              </w:rPr>
              <w:t>Score degradation risk; estimate a health index and RUL</w:t>
            </w:r>
          </w:p>
        </w:tc>
        <w:tc>
          <w:p w14:paraId="3842BB4E">
            <w:pPr>
              <w:pStyle w:val="24"/>
              <w:rPr>
                <w:rFonts w:hint="default" w:ascii="Times New Roman" w:hAnsi="Times New Roman" w:cs="Times New Roman"/>
              </w:rPr>
            </w:pPr>
            <w:r>
              <w:rPr>
                <w:rFonts w:hint="default" w:ascii="Times New Roman" w:hAnsi="Times New Roman" w:cs="Times New Roman"/>
              </w:rPr>
              <w:t>Scores produced end to end for every admitted cell</w:t>
            </w:r>
          </w:p>
        </w:tc>
      </w:tr>
      <w:tr w14:paraId="339DC5F4">
        <w:tblPrEx>
          <w:tblCellMar>
            <w:top w:w="0" w:type="dxa"/>
            <w:left w:w="108" w:type="dxa"/>
            <w:bottom w:w="0" w:type="dxa"/>
            <w:right w:w="108" w:type="dxa"/>
          </w:tblCellMar>
        </w:tblPrEx>
        <w:tc>
          <w:p w14:paraId="3B445DDD">
            <w:pPr>
              <w:pStyle w:val="24"/>
              <w:rPr>
                <w:rFonts w:hint="default" w:ascii="Times New Roman" w:hAnsi="Times New Roman" w:cs="Times New Roman"/>
              </w:rPr>
            </w:pPr>
            <w:r>
              <w:rPr>
                <w:rFonts w:hint="default" w:ascii="Times New Roman" w:hAnsi="Times New Roman" w:cs="Times New Roman"/>
              </w:rPr>
              <w:t>O3</w:t>
            </w:r>
          </w:p>
        </w:tc>
        <w:tc>
          <w:p w14:paraId="68F7EA94">
            <w:pPr>
              <w:pStyle w:val="24"/>
              <w:rPr>
                <w:rFonts w:hint="default" w:ascii="Times New Roman" w:hAnsi="Times New Roman" w:cs="Times New Roman"/>
              </w:rPr>
            </w:pPr>
            <w:r>
              <w:rPr>
                <w:rFonts w:hint="default" w:ascii="Times New Roman" w:hAnsi="Times New Roman" w:cs="Times New Roman"/>
              </w:rPr>
              <w:t>Explain each score in plain language and recommend action</w:t>
            </w:r>
          </w:p>
        </w:tc>
        <w:tc>
          <w:p w14:paraId="16D44D59">
            <w:pPr>
              <w:pStyle w:val="24"/>
              <w:rPr>
                <w:rFonts w:hint="default" w:ascii="Times New Roman" w:hAnsi="Times New Roman" w:cs="Times New Roman"/>
              </w:rPr>
            </w:pPr>
            <w:r>
              <w:rPr>
                <w:rFonts w:hint="default" w:ascii="Times New Roman" w:hAnsi="Times New Roman" w:cs="Times New Roman"/>
              </w:rPr>
              <w:t>Per-battery attribution and a recommendation, traceable to score terms</w:t>
            </w:r>
          </w:p>
        </w:tc>
      </w:tr>
      <w:tr w14:paraId="7734A353">
        <w:tblPrEx>
          <w:tblCellMar>
            <w:top w:w="0" w:type="dxa"/>
            <w:left w:w="108" w:type="dxa"/>
            <w:bottom w:w="0" w:type="dxa"/>
            <w:right w:w="108" w:type="dxa"/>
          </w:tblCellMar>
        </w:tblPrEx>
        <w:tc>
          <w:p w14:paraId="6122AD7B">
            <w:pPr>
              <w:pStyle w:val="24"/>
              <w:rPr>
                <w:rFonts w:hint="default" w:ascii="Times New Roman" w:hAnsi="Times New Roman" w:cs="Times New Roman"/>
              </w:rPr>
            </w:pPr>
            <w:r>
              <w:rPr>
                <w:rFonts w:hint="default" w:ascii="Times New Roman" w:hAnsi="Times New Roman" w:cs="Times New Roman"/>
              </w:rPr>
              <w:t>O4</w:t>
            </w:r>
          </w:p>
        </w:tc>
        <w:tc>
          <w:p w14:paraId="71CE53FC">
            <w:pPr>
              <w:pStyle w:val="24"/>
              <w:rPr>
                <w:rFonts w:hint="default" w:ascii="Times New Roman" w:hAnsi="Times New Roman" w:cs="Times New Roman"/>
              </w:rPr>
            </w:pPr>
            <w:r>
              <w:rPr>
                <w:rFonts w:hint="default" w:ascii="Times New Roman" w:hAnsi="Times New Roman" w:cs="Times New Roman"/>
              </w:rPr>
              <w:t>Validate those scores against measured degradation</w:t>
            </w:r>
          </w:p>
        </w:tc>
        <w:tc>
          <w:p w14:paraId="789551A9">
            <w:pPr>
              <w:pStyle w:val="24"/>
              <w:rPr>
                <w:rFonts w:hint="default" w:ascii="Times New Roman" w:hAnsi="Times New Roman" w:cs="Times New Roman"/>
              </w:rPr>
            </w:pPr>
            <w:r>
              <w:rPr>
                <w:rFonts w:hint="default" w:ascii="Times New Roman" w:hAnsi="Times New Roman" w:cs="Times New Roman"/>
              </w:rPr>
              <w:t>A statistically supported relationship between score and measured capacity fade, holding out of sample</w:t>
            </w:r>
          </w:p>
        </w:tc>
      </w:tr>
      <w:bookmarkEnd w:id="3"/>
    </w:tbl>
    <w:p w14:paraId="2674EDA0">
      <w:pPr>
        <w:pStyle w:val="5"/>
        <w:rPr>
          <w:rFonts w:hint="default" w:ascii="Times New Roman" w:hAnsi="Times New Roman" w:cs="Times New Roman"/>
        </w:rPr>
      </w:pPr>
      <w:bookmarkStart w:id="4" w:name="objectives-against-outcomes"/>
      <w:r>
        <w:rPr>
          <w:rFonts w:hint="default" w:ascii="Times New Roman" w:hAnsi="Times New Roman" w:cs="Times New Roman"/>
        </w:rPr>
        <w:t>1.3 Objectives against outcomes</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F491B13">
        <w:trPr>
          <w:tblHeader/>
        </w:trPr>
        <w:tc>
          <w:p w14:paraId="7F85D72D">
            <w:pPr>
              <w:pStyle w:val="24"/>
              <w:rPr>
                <w:rFonts w:hint="default" w:ascii="Times New Roman" w:hAnsi="Times New Roman" w:cs="Times New Roman"/>
              </w:rPr>
            </w:pPr>
            <w:r>
              <w:rPr>
                <w:rFonts w:hint="default" w:ascii="Times New Roman" w:hAnsi="Times New Roman" w:cs="Times New Roman"/>
              </w:rPr>
              <w:t>#</w:t>
            </w:r>
          </w:p>
        </w:tc>
        <w:tc>
          <w:p w14:paraId="43E757F9">
            <w:pPr>
              <w:pStyle w:val="24"/>
              <w:rPr>
                <w:rFonts w:hint="default" w:ascii="Times New Roman" w:hAnsi="Times New Roman" w:cs="Times New Roman"/>
              </w:rPr>
            </w:pPr>
            <w:r>
              <w:rPr>
                <w:rFonts w:hint="default" w:ascii="Times New Roman" w:hAnsi="Times New Roman" w:cs="Times New Roman"/>
              </w:rPr>
              <w:t>Outcome</w:t>
            </w:r>
          </w:p>
        </w:tc>
        <w:tc>
          <w:p w14:paraId="30C050C0">
            <w:pPr>
              <w:pStyle w:val="24"/>
              <w:rPr>
                <w:rFonts w:hint="default" w:ascii="Times New Roman" w:hAnsi="Times New Roman" w:cs="Times New Roman"/>
              </w:rPr>
            </w:pPr>
            <w:r>
              <w:rPr>
                <w:rFonts w:hint="default" w:ascii="Times New Roman" w:hAnsi="Times New Roman" w:cs="Times New Roman"/>
              </w:rPr>
              <w:t>Evidence</w:t>
            </w:r>
          </w:p>
        </w:tc>
      </w:tr>
      <w:tr w14:paraId="06D323FD">
        <w:tblPrEx>
          <w:tblCellMar>
            <w:top w:w="0" w:type="dxa"/>
            <w:left w:w="108" w:type="dxa"/>
            <w:bottom w:w="0" w:type="dxa"/>
            <w:right w:w="108" w:type="dxa"/>
          </w:tblCellMar>
        </w:tblPrEx>
        <w:tc>
          <w:p w14:paraId="3E85353C">
            <w:pPr>
              <w:pStyle w:val="24"/>
              <w:rPr>
                <w:rFonts w:hint="default" w:ascii="Times New Roman" w:hAnsi="Times New Roman" w:cs="Times New Roman"/>
              </w:rPr>
            </w:pPr>
            <w:r>
              <w:rPr>
                <w:rFonts w:hint="default" w:ascii="Times New Roman" w:hAnsi="Times New Roman" w:cs="Times New Roman"/>
              </w:rPr>
              <w:t>O1</w:t>
            </w:r>
          </w:p>
        </w:tc>
        <w:tc>
          <w:p w14:paraId="0C95F6DC">
            <w:pPr>
              <w:pStyle w:val="24"/>
              <w:rPr>
                <w:rFonts w:hint="default" w:ascii="Times New Roman" w:hAnsi="Times New Roman" w:cs="Times New Roman"/>
              </w:rPr>
            </w:pPr>
            <w:r>
              <w:rPr>
                <w:rFonts w:hint="default" w:ascii="Times New Roman" w:hAnsi="Times New Roman" w:cs="Times New Roman"/>
                <w:b/>
                <w:bCs/>
              </w:rPr>
              <w:t>Met.</w:t>
            </w:r>
            <w:r>
              <w:rPr>
                <w:rFonts w:hint="default" w:ascii="Times New Roman" w:hAnsi="Times New Roman" w:cs="Times New Roman"/>
              </w:rPr>
              <w:t xml:space="preserve"> Three ingestion transports (dataset files, CAN/DBC, serial rig) converge on one unified schema; features computed for 34 NASA and 22 CALCE cells</w:t>
            </w:r>
          </w:p>
        </w:tc>
        <w:tc>
          <w:p w14:paraId="37674428">
            <w:pPr>
              <w:pStyle w:val="24"/>
              <w:rPr>
                <w:rFonts w:hint="default" w:ascii="Times New Roman" w:hAnsi="Times New Roman" w:cs="Times New Roman"/>
              </w:rPr>
            </w:pPr>
            <w:r>
              <w:rPr>
                <w:rFonts w:hint="default" w:ascii="Times New Roman" w:hAnsi="Times New Roman" w:cs="Times New Roman"/>
              </w:rPr>
              <w:t>Â§2, Â§4.1</w:t>
            </w:r>
          </w:p>
        </w:tc>
      </w:tr>
      <w:tr w14:paraId="0EFD08C4">
        <w:tblPrEx>
          <w:tblCellMar>
            <w:top w:w="0" w:type="dxa"/>
            <w:left w:w="108" w:type="dxa"/>
            <w:bottom w:w="0" w:type="dxa"/>
            <w:right w:w="108" w:type="dxa"/>
          </w:tblCellMar>
        </w:tblPrEx>
        <w:tc>
          <w:p w14:paraId="5F09135F">
            <w:pPr>
              <w:pStyle w:val="24"/>
              <w:rPr>
                <w:rFonts w:hint="default" w:ascii="Times New Roman" w:hAnsi="Times New Roman" w:cs="Times New Roman"/>
              </w:rPr>
            </w:pPr>
            <w:r>
              <w:rPr>
                <w:rFonts w:hint="default" w:ascii="Times New Roman" w:hAnsi="Times New Roman" w:cs="Times New Roman"/>
              </w:rPr>
              <w:t>O2</w:t>
            </w:r>
          </w:p>
        </w:tc>
        <w:tc>
          <w:p w14:paraId="5293BFCE">
            <w:pPr>
              <w:pStyle w:val="24"/>
              <w:rPr>
                <w:rFonts w:hint="default" w:ascii="Times New Roman" w:hAnsi="Times New Roman" w:cs="Times New Roman"/>
              </w:rPr>
            </w:pPr>
            <w:r>
              <w:rPr>
                <w:rFonts w:hint="default" w:ascii="Times New Roman" w:hAnsi="Times New Roman" w:cs="Times New Roman"/>
                <w:b/>
                <w:bCs/>
              </w:rPr>
              <w:t>Met as engineering.</w:t>
            </w:r>
            <w:r>
              <w:rPr>
                <w:rFonts w:hint="default" w:ascii="Times New Roman" w:hAnsi="Times New Roman" w:cs="Times New Roman"/>
              </w:rPr>
              <w:t xml:space="preserve"> Risk, health index and RUL are produced end to end for every admitted cell, with refusals where inputs are insufficient</w:t>
            </w:r>
          </w:p>
        </w:tc>
        <w:tc>
          <w:p w14:paraId="7CF5FE24">
            <w:pPr>
              <w:pStyle w:val="24"/>
              <w:rPr>
                <w:rFonts w:hint="default" w:ascii="Times New Roman" w:hAnsi="Times New Roman" w:cs="Times New Roman"/>
              </w:rPr>
            </w:pPr>
            <w:r>
              <w:rPr>
                <w:rFonts w:hint="default" w:ascii="Times New Roman" w:hAnsi="Times New Roman" w:cs="Times New Roman"/>
              </w:rPr>
              <w:t>Â§4.1, Â§4.7</w:t>
            </w:r>
          </w:p>
        </w:tc>
      </w:tr>
      <w:tr w14:paraId="7187EE87">
        <w:tblPrEx>
          <w:tblCellMar>
            <w:top w:w="0" w:type="dxa"/>
            <w:left w:w="108" w:type="dxa"/>
            <w:bottom w:w="0" w:type="dxa"/>
            <w:right w:w="108" w:type="dxa"/>
          </w:tblCellMar>
        </w:tblPrEx>
        <w:tc>
          <w:p w14:paraId="49200E46">
            <w:pPr>
              <w:pStyle w:val="24"/>
              <w:rPr>
                <w:rFonts w:hint="default" w:ascii="Times New Roman" w:hAnsi="Times New Roman" w:cs="Times New Roman"/>
              </w:rPr>
            </w:pPr>
            <w:r>
              <w:rPr>
                <w:rFonts w:hint="default" w:ascii="Times New Roman" w:hAnsi="Times New Roman" w:cs="Times New Roman"/>
              </w:rPr>
              <w:t>O3</w:t>
            </w:r>
          </w:p>
        </w:tc>
        <w:tc>
          <w:p w14:paraId="147472B7">
            <w:pPr>
              <w:pStyle w:val="24"/>
              <w:rPr>
                <w:rFonts w:hint="default" w:ascii="Times New Roman" w:hAnsi="Times New Roman" w:cs="Times New Roman"/>
              </w:rPr>
            </w:pPr>
            <w:r>
              <w:rPr>
                <w:rFonts w:hint="default" w:ascii="Times New Roman" w:hAnsi="Times New Roman" w:cs="Times New Roman"/>
                <w:b/>
                <w:bCs/>
              </w:rPr>
              <w:t>Met, and strengthened.</w:t>
            </w:r>
            <w:r>
              <w:rPr>
                <w:rFonts w:hint="default" w:ascii="Times New Roman" w:hAnsi="Times New Roman" w:cs="Times New Roman"/>
              </w:rPr>
              <w:t xml:space="preserve"> Threshold-based attribution was replaced with exact closed-form Shapley values over the score terms; the SHAP analysis against measured fade was gated on out-of-sample skill, which it failed, so its ranking is reported as describing model fitting rather than physics</w:t>
            </w:r>
          </w:p>
        </w:tc>
        <w:tc>
          <w:p w14:paraId="7B0BA190">
            <w:pPr>
              <w:pStyle w:val="24"/>
              <w:rPr>
                <w:rFonts w:hint="default" w:ascii="Times New Roman" w:hAnsi="Times New Roman" w:cs="Times New Roman"/>
              </w:rPr>
            </w:pPr>
            <w:r>
              <w:rPr>
                <w:rFonts w:hint="default" w:ascii="Times New Roman" w:hAnsi="Times New Roman" w:cs="Times New Roman"/>
              </w:rPr>
              <w:t>Â§4.9</w:t>
            </w:r>
          </w:p>
        </w:tc>
      </w:tr>
      <w:tr w14:paraId="54473427">
        <w:tblPrEx>
          <w:tblCellMar>
            <w:top w:w="0" w:type="dxa"/>
            <w:left w:w="108" w:type="dxa"/>
            <w:bottom w:w="0" w:type="dxa"/>
            <w:right w:w="108" w:type="dxa"/>
          </w:tblCellMar>
        </w:tblPrEx>
        <w:tc>
          <w:p w14:paraId="554DB01F">
            <w:pPr>
              <w:pStyle w:val="24"/>
              <w:rPr>
                <w:rFonts w:hint="default" w:ascii="Times New Roman" w:hAnsi="Times New Roman" w:cs="Times New Roman"/>
              </w:rPr>
            </w:pPr>
            <w:r>
              <w:rPr>
                <w:rFonts w:hint="default" w:ascii="Times New Roman" w:hAnsi="Times New Roman" w:cs="Times New Roman"/>
              </w:rPr>
              <w:t>O4</w:t>
            </w:r>
          </w:p>
        </w:tc>
        <w:tc>
          <w:p w14:paraId="447E1980">
            <w:pPr>
              <w:pStyle w:val="24"/>
              <w:rPr>
                <w:rFonts w:hint="default" w:ascii="Times New Roman" w:hAnsi="Times New Roman" w:cs="Times New Roman"/>
              </w:rPr>
            </w:pPr>
            <w:r>
              <w:rPr>
                <w:rFonts w:hint="default" w:ascii="Times New Roman" w:hAnsi="Times New Roman" w:cs="Times New Roman"/>
                <w:b/>
                <w:bCs/>
              </w:rPr>
              <w:t>Not met, and the reason is the project’s main result.</w:t>
            </w:r>
            <w:r>
              <w:rPr>
                <w:rFonts w:hint="default" w:ascii="Times New Roman" w:hAnsi="Times New Roman" w:cs="Times New Roman"/>
              </w:rPr>
              <w:t xml:space="preserve"> The heuristic scores show no significant relationship with measured fade (Â§4.1). One signal â€” temperature exposure â€” is real and cohort-controlled (Â§4.2) but does not transfer across ambient conditions, for a mechanical reason later identified (Â§4.11). A fitted model is valid in-sample and does not generalise (Â§4.3, Â§4.8). Much of the earlier null result is attributable to a target that is 96% noise (Â§4.10)</w:t>
            </w:r>
          </w:p>
        </w:tc>
        <w:tc>
          <w:p w14:paraId="298964DE">
            <w:pPr>
              <w:pStyle w:val="24"/>
              <w:rPr>
                <w:rFonts w:hint="default" w:ascii="Times New Roman" w:hAnsi="Times New Roman" w:cs="Times New Roman"/>
              </w:rPr>
            </w:pPr>
            <w:r>
              <w:rPr>
                <w:rFonts w:hint="default" w:ascii="Times New Roman" w:hAnsi="Times New Roman" w:cs="Times New Roman"/>
              </w:rPr>
              <w:t>Â§4.1â€“4.3, Â§4.8, Â§4.10â€“4.11</w:t>
            </w:r>
          </w:p>
        </w:tc>
      </w:tr>
    </w:tbl>
    <w:p w14:paraId="4D2BC2B6">
      <w:pPr>
        <w:pStyle w:val="3"/>
        <w:rPr>
          <w:rFonts w:hint="default" w:ascii="Times New Roman" w:hAnsi="Times New Roman" w:cs="Times New Roman"/>
        </w:rPr>
      </w:pPr>
      <w:r>
        <w:rPr>
          <w:rFonts w:hint="default" w:ascii="Times New Roman" w:hAnsi="Times New Roman" w:cs="Times New Roman"/>
          <w:b/>
          <w:bCs/>
        </w:rPr>
        <w:t>On O4.</w:t>
      </w:r>
      <w:r>
        <w:rPr>
          <w:rFonts w:hint="default" w:ascii="Times New Roman" w:hAnsi="Times New Roman" w:cs="Times New Roman"/>
        </w:rPr>
        <w:t xml:space="preserve"> The honest position is that the objective was not achieved and that pursuing it produced a more transferable result than achieving it would have. Sections 4.12â€“4.15 establish that the validation protocol standard in this field cannot support the claims routinely made on it â€” not because it is biased, but because at these sample sizes it is too noisy. Six ranking claims were made from single-frame runs during this work and all six were withdrawn (Â§4.15). That finding does not depend on batteries and is testable by anyone with two protocols and a held-out group.</w:t>
      </w:r>
    </w:p>
    <w:p w14:paraId="499E4BE5">
      <w:pPr>
        <w:pStyle w:val="3"/>
        <w:rPr>
          <w:rFonts w:hint="default" w:ascii="Times New Roman" w:hAnsi="Times New Roman" w:cs="Times New Roman"/>
        </w:rPr>
      </w:pPr>
      <w:r>
        <w:rPr>
          <w:rFonts w:hint="default" w:ascii="Times New Roman" w:hAnsi="Times New Roman" w:cs="Times New Roman"/>
        </w:rPr>
        <w:t>A project that reported O4 as met would have had to ignore the evidence in Â§4.10 and Â§4.14. This report treats not meeting it as the finding.</w:t>
      </w:r>
    </w:p>
    <w:bookmarkEnd w:id="1"/>
    <w:bookmarkEnd w:id="4"/>
    <w:p w14:paraId="2E3217DC">
      <w:pPr>
        <w:pStyle w:val="4"/>
        <w:rPr>
          <w:rFonts w:hint="default" w:ascii="Times New Roman" w:hAnsi="Times New Roman" w:cs="Times New Roman"/>
        </w:rPr>
      </w:pPr>
      <w:bookmarkStart w:id="5" w:name="system-architecture"/>
      <w:r>
        <w:rPr>
          <w:rFonts w:hint="default" w:ascii="Times New Roman" w:hAnsi="Times New Roman" w:cs="Times New Roman"/>
        </w:rPr>
        <w:t>2. System Architecture</w:t>
      </w:r>
    </w:p>
    <w:p w14:paraId="0426D13A">
      <w:pPr>
        <w:pStyle w:val="49"/>
        <w:rPr>
          <w:rFonts w:hint="default" w:ascii="Times New Roman" w:hAnsi="Times New Roman" w:cs="Times New Roman"/>
        </w:rPr>
      </w:pPr>
      <w:r>
        <w:rPr>
          <w:rStyle w:val="48"/>
          <w:rFonts w:hint="default" w:ascii="Times New Roman" w:hAnsi="Times New Roman" w:cs="Times New Roman"/>
        </w:rPr>
        <w:t>raw telemetry (NASA / CALCE / simulated)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schema validation &amp; normalization  (src/bms/preprocessing/)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behavior flags (row-level: aggressive discharge, fast charge, high temp, deep discharge, high SOC)</w:t>
      </w:r>
      <w:r>
        <w:rPr>
          <w:rFonts w:hint="default" w:ascii="Times New Roman" w:hAnsi="Times New Roman" w:cs="Times New Roman"/>
        </w:rPr>
        <w:br w:type="textWrapping"/>
      </w:r>
      <w:r>
        <w:rPr>
          <w:rStyle w:val="48"/>
          <w:rFonts w:hint="default" w:ascii="Times New Roman" w:hAnsi="Times New Roman" w:cs="Times New Roman"/>
        </w:rPr>
        <w:t xml:space="preserve">        |                                        (src/bms/features/)</w:t>
      </w:r>
      <w:r>
        <w:rPr>
          <w:rFonts w:hint="default" w:ascii="Times New Roman" w:hAnsi="Times New Roman" w:cs="Times New Roman"/>
        </w:rPr>
        <w:br w:type="textWrapping"/>
      </w:r>
      <w:r>
        <w:rPr>
          <w:rStyle w:val="48"/>
          <w:rFonts w:hint="default" w:ascii="Times New Roman" w:hAnsi="Times New Roman" w:cs="Times New Roman"/>
        </w:rPr>
        <w:t>rolling/age features -&gt; per-battery or per-cycle summary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rule-based risk score + health index (v1) + RUL     (src/bms/risk/, health/, rul/)</w:t>
      </w:r>
      <w:r>
        <w:rPr>
          <w:rFonts w:hint="default" w:ascii="Times New Roman" w:hAnsi="Times New Roman" w:cs="Times New Roman"/>
        </w:rPr>
        <w:br w:type="textWrapping"/>
      </w:r>
      <w:r>
        <w:rPr>
          <w:rStyle w:val="48"/>
          <w:rFonts w:hint="default" w:ascii="Times New Roman" w:hAnsi="Times New Roman" w:cs="Times New Roman"/>
        </w:rPr>
        <w:t xml:space="preserve">        |                                        + fitted health_index_v2 (temperature-only, see Sec 4.3)</w:t>
      </w:r>
      <w:r>
        <w:rPr>
          <w:rFonts w:hint="default" w:ascii="Times New Roman" w:hAnsi="Times New Roman" w:cs="Times New Roman"/>
        </w:rPr>
        <w:br w:type="textWrapping"/>
      </w:r>
      <w:r>
        <w:rPr>
          <w:rStyle w:val="48"/>
          <w:rFonts w:hint="default" w:ascii="Times New Roman" w:hAnsi="Times New Roman" w:cs="Times New Roman"/>
        </w:rPr>
        <w:t>guardian report (plain-language causes + recommendation)   (src/bms/guardian/)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HTML dashboard                                      (src/bms/dashboard/)</w:t>
      </w:r>
    </w:p>
    <w:p w14:paraId="6D583932">
      <w:pPr>
        <w:pStyle w:val="23"/>
        <w:rPr>
          <w:rFonts w:hint="default" w:ascii="Times New Roman" w:hAnsi="Times New Roman" w:cs="Times New Roman"/>
        </w:rPr>
      </w:pPr>
      <w:r>
        <w:rPr>
          <w:rFonts w:hint="default" w:ascii="Times New Roman" w:hAnsi="Times New Roman" w:cs="Times New Roman"/>
        </w:rPr>
        <w:t xml:space="preserve">Entry point: </w:t>
      </w:r>
      <w:r>
        <w:rPr>
          <w:rStyle w:val="48"/>
          <w:rFonts w:hint="default" w:ascii="Times New Roman" w:hAnsi="Times New Roman" w:cs="Times New Roman"/>
        </w:rPr>
        <w:t>main.py</w:t>
      </w:r>
      <w:r>
        <w:rPr>
          <w:rFonts w:hint="default" w:ascii="Times New Roman" w:hAnsi="Times New Roman" w:cs="Times New Roman"/>
        </w:rPr>
        <w:t xml:space="preserve"> (simulated data by default, </w:t>
      </w:r>
      <w:r>
        <w:rPr>
          <w:rStyle w:val="48"/>
          <w:rFonts w:hint="default" w:ascii="Times New Roman" w:hAnsi="Times New Roman" w:cs="Times New Roman"/>
        </w:rPr>
        <w:t>--data</w:t>
      </w:r>
      <w:r>
        <w:rPr>
          <w:rFonts w:hint="default" w:ascii="Times New Roman" w:hAnsi="Times New Roman" w:cs="Times New Roman"/>
        </w:rPr>
        <w:t xml:space="preserve"> for a unified-schema CSV). Full pipeline runs in seconds on simulated data; NASA’s full 7.2M-row dataset takes under a minute to ingest.</w:t>
      </w:r>
    </w:p>
    <w:bookmarkEnd w:id="5"/>
    <w:p w14:paraId="03148710">
      <w:pPr>
        <w:pStyle w:val="4"/>
        <w:rPr>
          <w:rFonts w:hint="default" w:ascii="Times New Roman" w:hAnsi="Times New Roman" w:cs="Times New Roman"/>
        </w:rPr>
      </w:pPr>
      <w:bookmarkStart w:id="6" w:name="methodology"/>
      <w:r>
        <w:rPr>
          <w:rFonts w:hint="default" w:ascii="Times New Roman" w:hAnsi="Times New Roman" w:cs="Times New Roman"/>
        </w:rPr>
        <w:t>3. Methodology</w:t>
      </w:r>
    </w:p>
    <w:p w14:paraId="67EBB458">
      <w:pPr>
        <w:pStyle w:val="5"/>
        <w:rPr>
          <w:rFonts w:hint="default" w:ascii="Times New Roman" w:hAnsi="Times New Roman" w:cs="Times New Roman"/>
        </w:rPr>
      </w:pPr>
      <w:bookmarkStart w:id="7" w:name="baseline-v1-scoring-design"/>
      <w:r>
        <w:rPr>
          <w:rFonts w:hint="default" w:ascii="Times New Roman" w:hAnsi="Times New Roman" w:cs="Times New Roman"/>
        </w:rPr>
        <w:t>3.1 Baseline (V1) scoring design</w:t>
      </w:r>
    </w:p>
    <w:p w14:paraId="17E5F767">
      <w:pPr>
        <w:pStyle w:val="23"/>
        <w:rPr>
          <w:rFonts w:hint="default" w:ascii="Times New Roman" w:hAnsi="Times New Roman" w:cs="Times New Roman"/>
        </w:rPr>
      </w:pPr>
      <w:r>
        <w:rPr>
          <w:rFonts w:hint="default" w:ascii="Times New Roman" w:hAnsi="Times New Roman" w:cs="Times New Roman"/>
        </w:rPr>
        <w:t xml:space="preserve">Row-level </w:t>
      </w:r>
      <w:r>
        <w:rPr>
          <w:rStyle w:val="48"/>
          <w:rFonts w:hint="default" w:ascii="Times New Roman" w:hAnsi="Times New Roman" w:cs="Times New Roman"/>
        </w:rPr>
        <w:t>stress_score</w:t>
      </w:r>
      <w:r>
        <w:rPr>
          <w:rFonts w:hint="default" w:ascii="Times New Roman" w:hAnsi="Times New Roman" w:cs="Times New Roman"/>
        </w:rPr>
        <w:t xml:space="preserve"> (0-100) is a weighted sum of five binary behavior flags (aggressive discharge, fast charge, high temperature, deep discharge, high SOC), aggregated per battery into </w:t>
      </w:r>
      <w:r>
        <w:rPr>
          <w:rStyle w:val="48"/>
          <w:rFonts w:hint="default" w:ascii="Times New Roman" w:hAnsi="Times New Roman" w:cs="Times New Roman"/>
        </w:rPr>
        <w:t>avg_stress</w:t>
      </w:r>
      <w:r>
        <w:rPr>
          <w:rFonts w:hint="default" w:ascii="Times New Roman" w:hAnsi="Times New Roman" w:cs="Times New Roman"/>
        </w:rPr>
        <w:t xml:space="preserve">. </w:t>
      </w:r>
      <w:r>
        <w:rPr>
          <w:rStyle w:val="48"/>
          <w:rFonts w:hint="default" w:ascii="Times New Roman" w:hAnsi="Times New Roman" w:cs="Times New Roman"/>
        </w:rPr>
        <w:t>health_index</w:t>
      </w:r>
      <w:r>
        <w:rPr>
          <w:rFonts w:hint="default" w:ascii="Times New Roman" w:hAnsi="Times New Roman" w:cs="Times New Roman"/>
        </w:rPr>
        <w:t xml:space="preserve"> and </w:t>
      </w:r>
      <w:r>
        <w:rPr>
          <w:rStyle w:val="48"/>
          <w:rFonts w:hint="default" w:ascii="Times New Roman" w:hAnsi="Times New Roman" w:cs="Times New Roman"/>
        </w:rPr>
        <w:t>risk_score</w:t>
      </w:r>
      <w:r>
        <w:rPr>
          <w:rFonts w:hint="default" w:ascii="Times New Roman" w:hAnsi="Times New Roman" w:cs="Times New Roman"/>
        </w:rPr>
        <w:t xml:space="preserve"> are separate bucketed-threshold rules (e.g. </w:t>
      </w:r>
      <w:r>
        <w:rPr>
          <w:rStyle w:val="48"/>
          <w:rFonts w:hint="default" w:ascii="Times New Roman" w:hAnsi="Times New Roman" w:cs="Times New Roman"/>
        </w:rPr>
        <w:t>avg_temp &gt; 40: +25, &gt; 30: +15, else: +5</w:t>
      </w:r>
      <w:r>
        <w:rPr>
          <w:rFonts w:hint="default" w:ascii="Times New Roman" w:hAnsi="Times New Roman" w:cs="Times New Roman"/>
        </w:rPr>
        <w:t xml:space="preserve">) applied to the per-battery summary. RUL uses an “equivalent aging factor” combining health_index with the same underlying signals again (a known double-counting issue, documented but not yet resolved â€” see </w:t>
      </w:r>
      <w:r>
        <w:rPr>
          <w:rStyle w:val="48"/>
          <w:rFonts w:hint="default" w:ascii="Times New Roman" w:hAnsi="Times New Roman" w:cs="Times New Roman"/>
        </w:rPr>
        <w:t>src/bms/rul/rul_estimation.py</w:t>
      </w:r>
      <w:r>
        <w:rPr>
          <w:rFonts w:hint="default" w:ascii="Times New Roman" w:hAnsi="Times New Roman" w:cs="Times New Roman"/>
        </w:rPr>
        <w:t>). All weights and thresholds were hand-picked during initial development, not fit to data.</w:t>
      </w:r>
    </w:p>
    <w:bookmarkEnd w:id="7"/>
    <w:p w14:paraId="2A6E9B9B">
      <w:pPr>
        <w:pStyle w:val="5"/>
        <w:rPr>
          <w:rFonts w:hint="default" w:ascii="Times New Roman" w:hAnsi="Times New Roman" w:cs="Times New Roman"/>
        </w:rPr>
      </w:pPr>
      <w:bookmarkStart w:id="8" w:name="calibration-data"/>
      <w:r>
        <w:rPr>
          <w:rFonts w:hint="default" w:ascii="Times New Roman" w:hAnsi="Times New Roman" w:cs="Times New Roman"/>
        </w:rPr>
        <w:t>3.2 Calibration data</w:t>
      </w:r>
    </w:p>
    <w:p w14:paraId="17E20195">
      <w:pPr>
        <w:pStyle w:val="24"/>
        <w:numPr>
          <w:ilvl w:val="0"/>
          <w:numId w:val="2"/>
        </w:numPr>
        <w:rPr>
          <w:rFonts w:hint="default" w:ascii="Times New Roman" w:hAnsi="Times New Roman" w:cs="Times New Roman"/>
        </w:rPr>
      </w:pPr>
      <w:r>
        <w:rPr>
          <w:rFonts w:hint="default" w:ascii="Times New Roman" w:hAnsi="Times New Roman" w:cs="Times New Roman"/>
          <w:b/>
          <w:bCs/>
        </w:rPr>
        <w:t>NASA Li-ion dataset</w:t>
      </w:r>
      <w:r>
        <w:rPr>
          <w:rFonts w:hint="default" w:ascii="Times New Roman" w:hAnsi="Times New Roman" w:cs="Times New Roman"/>
        </w:rPr>
        <w:t xml:space="preserve"> (“cleaned_dataset” distribution): 34 cells, 7.24M telemetry rows, real per-cycle measured discharge capacity. Spans 9 distinct experimental sub-protocols (different discharge cutoff voltage, current, ambient temperature) documented in NASA’s own per-batch READMEs â€” treated as a confound to control for, not ignored.</w:t>
      </w:r>
    </w:p>
    <w:p w14:paraId="22D4BCAC">
      <w:pPr>
        <w:pStyle w:val="24"/>
        <w:numPr>
          <w:ilvl w:val="0"/>
          <w:numId w:val="2"/>
        </w:numPr>
        <w:rPr>
          <w:rFonts w:hint="default" w:ascii="Times New Roman" w:hAnsi="Times New Roman" w:cs="Times New Roman"/>
        </w:rPr>
      </w:pPr>
      <w:r>
        <w:rPr>
          <w:rFonts w:hint="default" w:ascii="Times New Roman" w:hAnsi="Times New Roman" w:cs="Times New Roman"/>
          <w:b/>
          <w:bCs/>
        </w:rPr>
        <w:t>CALCE PLN pouch cells</w:t>
      </w:r>
      <w:r>
        <w:rPr>
          <w:rFonts w:hint="default" w:ascii="Times New Roman" w:hAnsi="Times New Roman" w:cs="Times New Roman"/>
        </w:rPr>
        <w:t>: a calendar-aging (shelf storage) study plus a raw Arbin capacity-characterization export. Evaluated and found unsuitable for either cycle-fade or calendar-aging calibration (Section 4.4) â€” a real, reported negative result rather than a forced fit.</w:t>
      </w:r>
    </w:p>
    <w:p w14:paraId="1E3C00D7">
      <w:pPr>
        <w:pStyle w:val="24"/>
        <w:numPr>
          <w:ilvl w:val="0"/>
          <w:numId w:val="2"/>
        </w:numPr>
        <w:rPr>
          <w:rFonts w:hint="default" w:ascii="Times New Roman" w:hAnsi="Times New Roman" w:cs="Times New Roman"/>
        </w:rPr>
      </w:pPr>
      <w:r>
        <w:rPr>
          <w:rFonts w:hint="default" w:ascii="Times New Roman" w:hAnsi="Times New Roman" w:cs="Times New Roman"/>
          <w:b/>
          <w:bCs/>
        </w:rPr>
        <w:t>Stanford/Severson fast-charging dataset</w:t>
      </w:r>
      <w:r>
        <w:rPr>
          <w:rFonts w:hint="default" w:ascii="Times New Roman" w:hAnsi="Times New Roman" w:cs="Times New Roman"/>
        </w:rPr>
        <w:t>: identified as the right data source for fast-charge-specific validation but not yet acquired (deferred; multi-GB raw download, awaiting a smaller/processed variant).</w:t>
      </w:r>
    </w:p>
    <w:bookmarkEnd w:id="8"/>
    <w:p w14:paraId="101E04A3">
      <w:pPr>
        <w:pStyle w:val="5"/>
        <w:rPr>
          <w:rFonts w:hint="default" w:ascii="Times New Roman" w:hAnsi="Times New Roman" w:cs="Times New Roman"/>
        </w:rPr>
      </w:pPr>
      <w:bookmarkStart w:id="9" w:name="validation-approach"/>
      <w:r>
        <w:rPr>
          <w:rFonts w:hint="default" w:ascii="Times New Roman" w:hAnsi="Times New Roman" w:cs="Times New Roman"/>
        </w:rPr>
        <w:t>3.3 Validation approach</w:t>
      </w:r>
    </w:p>
    <w:p w14:paraId="44000199">
      <w:pPr>
        <w:pStyle w:val="23"/>
        <w:rPr>
          <w:rFonts w:hint="default" w:ascii="Times New Roman" w:hAnsi="Times New Roman" w:cs="Times New Roman"/>
        </w:rPr>
      </w:pPr>
      <w:r>
        <w:rPr>
          <w:rFonts w:hint="default" w:ascii="Times New Roman" w:hAnsi="Times New Roman" w:cs="Times New Roman"/>
        </w:rPr>
        <w:t>Three escalating levels of rigor, each addressing a limitation found in the previous one:</w:t>
      </w:r>
    </w:p>
    <w:p w14:paraId="572E9DFD">
      <w:pPr>
        <w:pStyle w:val="24"/>
        <w:numPr>
          <w:ilvl w:val="0"/>
          <w:numId w:val="3"/>
        </w:numPr>
        <w:rPr>
          <w:rFonts w:hint="default" w:ascii="Times New Roman" w:hAnsi="Times New Roman" w:cs="Times New Roman"/>
        </w:rPr>
      </w:pPr>
      <w:r>
        <w:rPr>
          <w:rFonts w:hint="default" w:ascii="Times New Roman" w:hAnsi="Times New Roman" w:cs="Times New Roman"/>
          <w:b/>
          <w:bCs/>
        </w:rPr>
        <w:t>Battery-level, pooled</w:t>
      </w:r>
      <w:r>
        <w:rPr>
          <w:rFonts w:hint="default" w:ascii="Times New Roman" w:hAnsi="Times New Roman" w:cs="Times New Roman"/>
        </w:rPr>
        <w:t>: one point per battery (whole-life average behavior vs. whole-life fade rate), all 34 batteries pooled regardless of protocol. Simplest, and â€” as it turned out â€” confounded.</w:t>
      </w:r>
    </w:p>
    <w:p w14:paraId="6D0F5771">
      <w:pPr>
        <w:pStyle w:val="24"/>
        <w:numPr>
          <w:ilvl w:val="0"/>
          <w:numId w:val="3"/>
        </w:numPr>
        <w:rPr>
          <w:rFonts w:hint="default" w:ascii="Times New Roman" w:hAnsi="Times New Roman" w:cs="Times New Roman"/>
        </w:rPr>
      </w:pPr>
      <w:r>
        <w:rPr>
          <w:rFonts w:hint="default" w:ascii="Times New Roman" w:hAnsi="Times New Roman" w:cs="Times New Roman"/>
          <w:b/>
          <w:bCs/>
        </w:rPr>
        <w:t>Cohort-controlled, cycle-level</w:t>
      </w:r>
      <w:r>
        <w:rPr>
          <w:rFonts w:hint="default" w:ascii="Times New Roman" w:hAnsi="Times New Roman" w:cs="Times New Roman"/>
        </w:rPr>
        <w:t>: batteries grouped by NASA’s own documented protocol groups; each battery contributes one point per cycle (a trailing window of behavior vs. that cycle’s actual capacity loss), not one point total. Addresses both the protocol confound and the information loss from collapsing a whole trajectory into one number.</w:t>
      </w:r>
    </w:p>
    <w:p w14:paraId="16216C1A">
      <w:pPr>
        <w:pStyle w:val="24"/>
        <w:numPr>
          <w:ilvl w:val="0"/>
          <w:numId w:val="3"/>
        </w:numPr>
        <w:rPr>
          <w:rFonts w:hint="default" w:ascii="Times New Roman" w:hAnsi="Times New Roman" w:cs="Times New Roman"/>
        </w:rPr>
      </w:pPr>
      <w:r>
        <w:rPr>
          <w:rFonts w:hint="default" w:ascii="Times New Roman" w:hAnsi="Times New Roman" w:cs="Times New Roman"/>
          <w:b/>
          <w:bCs/>
        </w:rPr>
        <w:t>Fitted regression with cohort fixed effects, leave-one-battery-out cross-validated</w:t>
      </w:r>
      <w:r>
        <w:rPr>
          <w:rFonts w:hint="default" w:ascii="Times New Roman" w:hAnsi="Times New Roman" w:cs="Times New Roman"/>
        </w:rPr>
        <w:t>: a continuous model rather than bucketed rules, with cohort as an explicit covariate and out-of-sample validation rather than in-sample correlation.</w:t>
      </w:r>
    </w:p>
    <w:p w14:paraId="3E47A66F">
      <w:pPr>
        <w:pStyle w:val="23"/>
        <w:rPr>
          <w:rFonts w:hint="default" w:ascii="Times New Roman" w:hAnsi="Times New Roman" w:cs="Times New Roman"/>
        </w:rPr>
      </w:pPr>
      <w:r>
        <w:rPr>
          <w:rFonts w:hint="default" w:ascii="Times New Roman" w:hAnsi="Times New Roman" w:cs="Times New Roman"/>
        </w:rPr>
        <w:t>All correlations use Spearman’s rho with reported p-values and sample sizes; the regression uses OLS with reported coefficients, standard errors, and both in-sample and cross-validated fit statistics. No result in this report is presented without its sample size and significance.</w:t>
      </w:r>
    </w:p>
    <w:bookmarkEnd w:id="9"/>
    <w:p w14:paraId="64DEC919">
      <w:pPr>
        <w:pStyle w:val="5"/>
        <w:rPr>
          <w:rFonts w:hint="default" w:ascii="Times New Roman" w:hAnsi="Times New Roman" w:cs="Times New Roman"/>
        </w:rPr>
      </w:pPr>
      <w:bookmarkStart w:id="10" w:name="verification-and-testing-strategy"/>
      <w:r>
        <w:rPr>
          <w:rFonts w:hint="default" w:ascii="Times New Roman" w:hAnsi="Times New Roman" w:cs="Times New Roman"/>
        </w:rPr>
        <w:t>3.4 Verification and testing strategy</w:t>
      </w:r>
    </w:p>
    <w:p w14:paraId="64FEC856">
      <w:pPr>
        <w:pStyle w:val="23"/>
        <w:rPr>
          <w:rFonts w:hint="default" w:ascii="Times New Roman" w:hAnsi="Times New Roman" w:cs="Times New Roman"/>
        </w:rPr>
      </w:pPr>
      <w:r>
        <w:rPr>
          <w:rFonts w:hint="default" w:ascii="Times New Roman" w:hAnsi="Times New Roman" w:cs="Times New Roman"/>
        </w:rPr>
        <w:t>The software is verified by 735 automated tests across 33 modules, executed on every push by a seven-job continuous-integration pipeline. Three categories are worth describing, because they are not the usual kind and two of them exist specifically to protect this report.</w:t>
      </w:r>
    </w:p>
    <w:p w14:paraId="57EA5E41">
      <w:pPr>
        <w:pStyle w:val="3"/>
        <w:rPr>
          <w:rFonts w:hint="default" w:ascii="Times New Roman" w:hAnsi="Times New Roman" w:cs="Times New Roman"/>
        </w:rPr>
      </w:pPr>
      <w:r>
        <w:rPr>
          <w:rFonts w:hint="default" w:ascii="Times New Roman" w:hAnsi="Times New Roman" w:cs="Times New Roman"/>
          <w:b/>
          <w:bCs/>
        </w:rPr>
        <w:t>Unit and integration tests</w:t>
      </w:r>
      <w:r>
        <w:rPr>
          <w:rFonts w:hint="default" w:ascii="Times New Roman" w:hAnsi="Times New Roman" w:cs="Times New Roman"/>
        </w:rPr>
        <w:t xml:space="preserve"> cover the conventional ground: feature computation, cycle segmentation, coulomb counting, the scoring stages, the API surface, and the serial and CAN ingestion paths end to end.</w:t>
      </w:r>
    </w:p>
    <w:p w14:paraId="1E627C82">
      <w:pPr>
        <w:pStyle w:val="3"/>
        <w:rPr>
          <w:rFonts w:hint="default" w:ascii="Times New Roman" w:hAnsi="Times New Roman" w:cs="Times New Roman"/>
        </w:rPr>
      </w:pPr>
      <w:r>
        <w:rPr>
          <w:rFonts w:hint="default" w:ascii="Times New Roman" w:hAnsi="Times New Roman" w:cs="Times New Roman"/>
          <w:b/>
          <w:bCs/>
        </w:rPr>
        <w:t>Prose-to-evidence pinning</w:t>
      </w:r>
      <w:r>
        <w:rPr>
          <w:rFonts w:hint="default" w:ascii="Times New Roman" w:hAnsi="Times New Roman" w:cs="Times New Roman"/>
        </w:rPr>
        <w:t xml:space="preserve"> (</w:t>
      </w:r>
      <w:r>
        <w:rPr>
          <w:rStyle w:val="48"/>
          <w:rFonts w:hint="default" w:ascii="Times New Roman" w:hAnsi="Times New Roman" w:cs="Times New Roman"/>
        </w:rPr>
        <w:t>tests/test_reported_numbers.py</w:t>
      </w:r>
      <w:r>
        <w:rPr>
          <w:rFonts w:hint="default" w:ascii="Times New Roman" w:hAnsi="Times New Roman" w:cs="Times New Roman"/>
        </w:rPr>
        <w:t xml:space="preserve">) binds every figure quoted in this report to the artifact that produced it. Each pinned claim records the value, the recipe that recomputes it from a tracked CSV under </w:t>
      </w:r>
      <w:r>
        <w:rPr>
          <w:rStyle w:val="48"/>
          <w:rFonts w:hint="default" w:ascii="Times New Roman" w:hAnsi="Times New Roman" w:cs="Times New Roman"/>
        </w:rPr>
        <w:t>reports/metrics/</w:t>
      </w:r>
      <w:r>
        <w:rPr>
          <w:rFonts w:hint="default" w:ascii="Times New Roman" w:hAnsi="Times New Roman" w:cs="Times New Roman"/>
        </w:rPr>
        <w:t>, and a regular expression that must match this document. Re-running an experiment and forgetting to update a paragraph fails the build. This mechanism was not a precaution taken in advance â€” it was built after a stale figure was found to have survived a full re-run, and Â§6.4 of the companion manuscript documents that failure.</w:t>
      </w:r>
    </w:p>
    <w:p w14:paraId="4C1994A3">
      <w:pPr>
        <w:pStyle w:val="3"/>
        <w:rPr>
          <w:rFonts w:hint="default" w:ascii="Times New Roman" w:hAnsi="Times New Roman" w:cs="Times New Roman"/>
        </w:rPr>
      </w:pPr>
      <w:r>
        <w:rPr>
          <w:rFonts w:hint="default" w:ascii="Times New Roman" w:hAnsi="Times New Roman" w:cs="Times New Roman"/>
          <w:b/>
          <w:bCs/>
        </w:rPr>
        <w:t>Refusal tests.</w:t>
      </w:r>
      <w:r>
        <w:rPr>
          <w:rFonts w:hint="default" w:ascii="Times New Roman" w:hAnsi="Times New Roman" w:cs="Times New Roman"/>
        </w:rPr>
        <w:t xml:space="preserve"> Because the system’s defining behaviour is declining to produce a number it cannot justify, the refusals are tested as functionality rather than as error handling. Nine gates each have tests asserting that the refusal fires, that it names the consumer that would have broken, and â€” equally important â€” that the stages </w:t>
      </w:r>
      <w:r>
        <w:rPr>
          <w:rFonts w:hint="default" w:ascii="Times New Roman" w:hAnsi="Times New Roman" w:cs="Times New Roman"/>
          <w:i/>
          <w:iCs/>
        </w:rPr>
        <w:t>upstream</w:t>
      </w:r>
      <w:r>
        <w:rPr>
          <w:rFonts w:hint="default" w:ascii="Times New Roman" w:hAnsi="Times New Roman" w:cs="Times New Roman"/>
        </w:rPr>
        <w:t xml:space="preserve"> of it still report what they measured.</w:t>
      </w:r>
    </w:p>
    <w:p w14:paraId="6C6966E5">
      <w:pPr>
        <w:pStyle w:val="3"/>
        <w:rPr>
          <w:rFonts w:hint="default" w:ascii="Times New Roman" w:hAnsi="Times New Roman" w:cs="Times New Roman"/>
        </w:rPr>
      </w:pPr>
      <w:r>
        <w:rPr>
          <w:rFonts w:hint="default" w:ascii="Times New Roman" w:hAnsi="Times New Roman" w:cs="Times New Roman"/>
          <w:b/>
          <w:bCs/>
        </w:rPr>
        <w:t>Cross-artifact structural tests</w:t>
      </w:r>
      <w:r>
        <w:rPr>
          <w:rFonts w:hint="default" w:ascii="Times New Roman" w:hAnsi="Times New Roman" w:cs="Times New Roman"/>
        </w:rPr>
        <w:t xml:space="preserve"> assert that independently maintained artifacts agree: the firmware sketch’s declared field set is compared as a </w:t>
      </w:r>
      <w:r>
        <w:rPr>
          <w:rFonts w:hint="default" w:ascii="Times New Roman" w:hAnsi="Times New Roman" w:cs="Times New Roman"/>
          <w:i/>
          <w:iCs/>
        </w:rPr>
        <w:t>set</w:t>
      </w:r>
      <w:r>
        <w:rPr>
          <w:rFonts w:hint="default" w:ascii="Times New Roman" w:hAnsi="Times New Roman" w:cs="Times New Roman"/>
        </w:rPr>
        <w:t xml:space="preserve"> against the wire schema’s authoritative definition, and the schema table embedded in the hardware documentation must equal the rendered output of the code that defines it. Substring assertions had already proved insufficient â€” a renamed wire field left the schema identifier untouched, so the firmware would have continued announcing a protocol version it no longer spoke.</w:t>
      </w:r>
    </w:p>
    <w:p w14:paraId="27BDC967">
      <w:pPr>
        <w:pStyle w:val="3"/>
        <w:rPr>
          <w:rFonts w:hint="default" w:ascii="Times New Roman" w:hAnsi="Times New Roman" w:cs="Times New Roman"/>
        </w:rPr>
      </w:pPr>
      <w:r>
        <w:rPr>
          <w:rFonts w:hint="default" w:ascii="Times New Roman" w:hAnsi="Times New Roman" w:cs="Times New Roman"/>
        </w:rPr>
        <w:t>The CI pipeline additionally runs three jobs that are unusual and were each added in response to a specific failure mode:</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43B6444">
        <w:tblPrEx>
          <w:tblCellMar>
            <w:top w:w="0" w:type="dxa"/>
            <w:left w:w="108" w:type="dxa"/>
            <w:bottom w:w="0" w:type="dxa"/>
            <w:right w:w="108" w:type="dxa"/>
          </w:tblCellMar>
        </w:tblPrEx>
        <w:trPr>
          <w:tblHeader/>
        </w:trPr>
        <w:tc>
          <w:p w14:paraId="0EE40D15">
            <w:pPr>
              <w:pStyle w:val="24"/>
              <w:rPr>
                <w:rFonts w:hint="default" w:ascii="Times New Roman" w:hAnsi="Times New Roman" w:cs="Times New Roman"/>
              </w:rPr>
            </w:pPr>
            <w:r>
              <w:rPr>
                <w:rFonts w:hint="default" w:ascii="Times New Roman" w:hAnsi="Times New Roman" w:cs="Times New Roman"/>
              </w:rPr>
              <w:t>Job</w:t>
            </w:r>
          </w:p>
        </w:tc>
        <w:tc>
          <w:p w14:paraId="798682DE">
            <w:pPr>
              <w:pStyle w:val="24"/>
              <w:rPr>
                <w:rFonts w:hint="default" w:ascii="Times New Roman" w:hAnsi="Times New Roman" w:cs="Times New Roman"/>
              </w:rPr>
            </w:pPr>
            <w:r>
              <w:rPr>
                <w:rFonts w:hint="default" w:ascii="Times New Roman" w:hAnsi="Times New Roman" w:cs="Times New Roman"/>
              </w:rPr>
              <w:t>Guards against</w:t>
            </w:r>
          </w:p>
        </w:tc>
      </w:tr>
      <w:tr w14:paraId="1B3A5DC2">
        <w:tblPrEx>
          <w:tblCellMar>
            <w:top w:w="0" w:type="dxa"/>
            <w:left w:w="108" w:type="dxa"/>
            <w:bottom w:w="0" w:type="dxa"/>
            <w:right w:w="108" w:type="dxa"/>
          </w:tblCellMar>
        </w:tblPrEx>
        <w:tc>
          <w:p w14:paraId="3B3CB18F">
            <w:pPr>
              <w:pStyle w:val="24"/>
              <w:rPr>
                <w:rFonts w:hint="default" w:ascii="Times New Roman" w:hAnsi="Times New Roman" w:cs="Times New Roman"/>
              </w:rPr>
            </w:pPr>
            <w:r>
              <w:rPr>
                <w:rStyle w:val="48"/>
                <w:rFonts w:hint="default" w:ascii="Times New Roman" w:hAnsi="Times New Roman" w:cs="Times New Roman"/>
              </w:rPr>
              <w:t>no-optional-extras</w:t>
            </w:r>
          </w:p>
        </w:tc>
        <w:tc>
          <w:p w14:paraId="516D8799">
            <w:pPr>
              <w:pStyle w:val="24"/>
              <w:rPr>
                <w:rFonts w:hint="default" w:ascii="Times New Roman" w:hAnsi="Times New Roman" w:cs="Times New Roman"/>
              </w:rPr>
            </w:pPr>
            <w:r>
              <w:rPr>
                <w:rFonts w:hint="default" w:ascii="Times New Roman" w:hAnsi="Times New Roman" w:cs="Times New Roman"/>
              </w:rPr>
              <w:t>Uninstalls the optional CAN dependency and re-runs the suite, so “this dependency is optional” is tested rather than claimed</w:t>
            </w:r>
          </w:p>
        </w:tc>
      </w:tr>
      <w:tr w14:paraId="31BEECD8">
        <w:tblPrEx>
          <w:tblCellMar>
            <w:top w:w="0" w:type="dxa"/>
            <w:left w:w="108" w:type="dxa"/>
            <w:bottom w:w="0" w:type="dxa"/>
            <w:right w:w="108" w:type="dxa"/>
          </w:tblCellMar>
        </w:tblPrEx>
        <w:tc>
          <w:p w14:paraId="78B9BC9E">
            <w:pPr>
              <w:pStyle w:val="24"/>
              <w:rPr>
                <w:rFonts w:hint="default" w:ascii="Times New Roman" w:hAnsi="Times New Roman" w:cs="Times New Roman"/>
              </w:rPr>
            </w:pPr>
            <w:r>
              <w:rPr>
                <w:rStyle w:val="48"/>
                <w:rFonts w:hint="default" w:ascii="Times New Roman" w:hAnsi="Times New Roman" w:cs="Times New Roman"/>
              </w:rPr>
              <w:t>reproduce-study</w:t>
            </w:r>
          </w:p>
        </w:tc>
        <w:tc>
          <w:p w14:paraId="33EC0DAA">
            <w:pPr>
              <w:pStyle w:val="24"/>
              <w:rPr>
                <w:rFonts w:hint="default" w:ascii="Times New Roman" w:hAnsi="Times New Roman" w:cs="Times New Roman"/>
              </w:rPr>
            </w:pPr>
            <w:r>
              <w:rPr>
                <w:rFonts w:hint="default" w:ascii="Times New Roman" w:hAnsi="Times New Roman" w:cs="Times New Roman"/>
              </w:rPr>
              <w:t>Executes the headline benchmark end to end, so the central result cannot rot</w:t>
            </w:r>
          </w:p>
        </w:tc>
      </w:tr>
      <w:tr w14:paraId="213F9807">
        <w:tblPrEx>
          <w:tblCellMar>
            <w:top w:w="0" w:type="dxa"/>
            <w:left w:w="108" w:type="dxa"/>
            <w:bottom w:w="0" w:type="dxa"/>
            <w:right w:w="108" w:type="dxa"/>
          </w:tblCellMar>
        </w:tblPrEx>
        <w:tc>
          <w:p w14:paraId="1EB927C4">
            <w:pPr>
              <w:pStyle w:val="24"/>
              <w:rPr>
                <w:rFonts w:hint="default" w:ascii="Times New Roman" w:hAnsi="Times New Roman" w:cs="Times New Roman"/>
              </w:rPr>
            </w:pPr>
            <w:r>
              <w:rPr>
                <w:rFonts w:hint="default" w:ascii="Times New Roman" w:hAnsi="Times New Roman" w:cs="Times New Roman"/>
              </w:rPr>
              <w:t>Python floor matrix (3.10 and 3.12)</w:t>
            </w:r>
          </w:p>
        </w:tc>
        <w:tc>
          <w:p w14:paraId="4764F8FB">
            <w:pPr>
              <w:pStyle w:val="24"/>
              <w:rPr>
                <w:rFonts w:hint="default" w:ascii="Times New Roman" w:hAnsi="Times New Roman" w:cs="Times New Roman"/>
              </w:rPr>
            </w:pPr>
            <w:r>
              <w:rPr>
                <w:rFonts w:hint="default" w:ascii="Times New Roman" w:hAnsi="Times New Roman" w:cs="Times New Roman"/>
              </w:rPr>
              <w:t>Testing only the newest interpreter lets a declared minimum version rot silently</w:t>
            </w:r>
          </w:p>
        </w:tc>
      </w:tr>
    </w:tbl>
    <w:p w14:paraId="4E64CB56">
      <w:pPr>
        <w:pStyle w:val="3"/>
        <w:rPr>
          <w:rFonts w:hint="default" w:ascii="Times New Roman" w:hAnsi="Times New Roman" w:cs="Times New Roman"/>
        </w:rPr>
      </w:pPr>
      <w:r>
        <w:rPr>
          <w:rFonts w:hint="default" w:ascii="Times New Roman" w:hAnsi="Times New Roman" w:cs="Times New Roman"/>
          <w:b/>
          <w:bCs/>
        </w:rPr>
        <w:t>What is not verified.</w:t>
      </w:r>
      <w:r>
        <w:rPr>
          <w:rFonts w:hint="default" w:ascii="Times New Roman" w:hAnsi="Times New Roman" w:cs="Times New Roman"/>
        </w:rPr>
        <w:t xml:space="preserve"> The pyserial port read (</w:t>
      </w:r>
      <w:r>
        <w:rPr>
          <w:rStyle w:val="48"/>
          <w:rFonts w:hint="default" w:ascii="Times New Roman" w:hAnsi="Times New Roman" w:cs="Times New Roman"/>
        </w:rPr>
        <w:t>SerialPortSource.lines()</w:t>
      </w:r>
      <w:r>
        <w:rPr>
          <w:rFonts w:hint="default" w:ascii="Times New Roman" w:hAnsi="Times New Roman" w:cs="Times New Roman"/>
        </w:rPr>
        <w:t>) has never run against a physical board â€” approximately 25 lines that the emulator cannot exercise, since everything downstream of it is driven through the identical parser. The firmware sketch has never been compiled in CI, so “compiles on ESP32, ESP8266 and AVR” is a claim rather than a tested fact. Both are recorded in Â§5.</w:t>
      </w:r>
    </w:p>
    <w:bookmarkEnd w:id="6"/>
    <w:bookmarkEnd w:id="10"/>
    <w:p w14:paraId="0A69F4C8">
      <w:pPr>
        <w:pStyle w:val="4"/>
        <w:rPr>
          <w:rFonts w:hint="default" w:ascii="Times New Roman" w:hAnsi="Times New Roman" w:cs="Times New Roman"/>
        </w:rPr>
      </w:pPr>
      <w:bookmarkStart w:id="11" w:name="results"/>
      <w:r>
        <w:rPr>
          <w:rFonts w:hint="default" w:ascii="Times New Roman" w:hAnsi="Times New Roman" w:cs="Times New Roman"/>
        </w:rPr>
        <w:t>4. Results</w:t>
      </w:r>
    </w:p>
    <w:p w14:paraId="4BDDB752">
      <w:pPr>
        <w:pStyle w:val="5"/>
        <w:rPr>
          <w:rFonts w:hint="default" w:ascii="Times New Roman" w:hAnsi="Times New Roman" w:cs="Times New Roman"/>
        </w:rPr>
      </w:pPr>
      <w:bookmarkStart w:id="12" w:name="Xcaef31aab28204f8a725fe9ae9e6f20458d739d"/>
      <w:r>
        <w:rPr>
          <w:rFonts w:hint="default" w:ascii="Times New Roman" w:hAnsi="Times New Roman" w:cs="Times New Roman"/>
        </w:rPr>
        <w:t>4.1 The baseline heuristic is not validated (Level 1)</w:t>
      </w:r>
    </w:p>
    <w:p w14:paraId="35F97744">
      <w:pPr>
        <w:pStyle w:val="23"/>
        <w:rPr>
          <w:rFonts w:hint="default" w:ascii="Times New Roman" w:hAnsi="Times New Roman" w:cs="Times New Roman"/>
        </w:rPr>
      </w:pPr>
      <w:r>
        <w:rPr>
          <w:rFonts w:hint="default" w:ascii="Times New Roman" w:hAnsi="Times New Roman" w:cs="Times New Roman"/>
        </w:rPr>
        <w:t xml:space="preserve">None of </w:t>
      </w:r>
      <w:r>
        <w:rPr>
          <w:rStyle w:val="48"/>
          <w:rFonts w:hint="default" w:ascii="Times New Roman" w:hAnsi="Times New Roman" w:cs="Times New Roman"/>
        </w:rPr>
        <w:t>health_index</w:t>
      </w:r>
      <w:r>
        <w:rPr>
          <w:rFonts w:hint="default" w:ascii="Times New Roman" w:hAnsi="Times New Roman" w:cs="Times New Roman"/>
        </w:rPr>
        <w:t xml:space="preserve">, </w:t>
      </w:r>
      <w:r>
        <w:rPr>
          <w:rStyle w:val="48"/>
          <w:rFonts w:hint="default" w:ascii="Times New Roman" w:hAnsi="Times New Roman" w:cs="Times New Roman"/>
        </w:rPr>
        <w:t>risk_score</w:t>
      </w:r>
      <w:r>
        <w:rPr>
          <w:rFonts w:hint="default" w:ascii="Times New Roman" w:hAnsi="Times New Roman" w:cs="Times New Roman"/>
        </w:rPr>
        <w:t xml:space="preserve">, or </w:t>
      </w:r>
      <w:r>
        <w:rPr>
          <w:rStyle w:val="48"/>
          <w:rFonts w:hint="default" w:ascii="Times New Roman" w:hAnsi="Times New Roman" w:cs="Times New Roman"/>
        </w:rPr>
        <w:t>avg_stress</w:t>
      </w:r>
      <w:r>
        <w:rPr>
          <w:rFonts w:hint="default" w:ascii="Times New Roman" w:hAnsi="Times New Roman" w:cs="Times New Roman"/>
        </w:rPr>
        <w:t xml:space="preserve"> showed a statistically significant relationship with real fade rate or cycles-to-80%-capacity (all p &gt; 0.13, n=24-33, pooled across confounded protocols). </w:t>
      </w:r>
      <w:r>
        <w:rPr>
          <w:rStyle w:val="48"/>
          <w:rFonts w:hint="default" w:ascii="Times New Roman" w:hAnsi="Times New Roman" w:cs="Times New Roman"/>
        </w:rPr>
        <w:t>health_index</w:t>
      </w:r>
      <w:r>
        <w:rPr>
          <w:rFonts w:hint="default" w:ascii="Times New Roman" w:hAnsi="Times New Roman" w:cs="Times New Roman"/>
        </w:rPr>
        <w:t>/</w:t>
      </w:r>
      <w:r>
        <w:rPr>
          <w:rStyle w:val="48"/>
          <w:rFonts w:hint="default" w:ascii="Times New Roman" w:hAnsi="Times New Roman" w:cs="Times New Roman"/>
        </w:rPr>
        <w:t>risk_score</w:t>
      </w:r>
      <w:r>
        <w:rPr>
          <w:rFonts w:hint="default" w:ascii="Times New Roman" w:hAnsi="Times New Roman" w:cs="Times New Roman"/>
        </w:rPr>
        <w:t xml:space="preserve"> trended in the </w:t>
      </w:r>
      <w:r>
        <w:rPr>
          <w:rFonts w:hint="default" w:ascii="Times New Roman" w:hAnsi="Times New Roman" w:cs="Times New Roman"/>
          <w:i/>
          <w:iCs/>
        </w:rPr>
        <w:t>wrong</w:t>
      </w:r>
      <w:r>
        <w:rPr>
          <w:rFonts w:hint="default" w:ascii="Times New Roman" w:hAnsi="Times New Roman" w:cs="Times New Roman"/>
        </w:rPr>
        <w:t xml:space="preserve"> direction (though not significantly). One real bug was caught and fixed in the process: </w:t>
      </w:r>
      <w:r>
        <w:rPr>
          <w:rStyle w:val="48"/>
          <w:rFonts w:hint="default" w:ascii="Times New Roman" w:hAnsi="Times New Roman" w:cs="Times New Roman"/>
        </w:rPr>
        <w:t>fast_charge_flag</w:t>
      </w:r>
      <w:r>
        <w:rPr>
          <w:rFonts w:hint="default" w:ascii="Times New Roman" w:hAnsi="Times New Roman" w:cs="Times New Roman"/>
        </w:rPr>
        <w:t xml:space="preserve"> used a flat 2A threshold that never fired on real data (observed current never exceeded 1.54A); it was replaced with a C-rate-relative threshold, which is dimensionally correct regardless of this dataset’s specific result.</w:t>
      </w:r>
    </w:p>
    <w:p w14:paraId="37BD4275">
      <w:pPr>
        <w:pStyle w:val="3"/>
        <w:rPr>
          <w:rFonts w:hint="default" w:ascii="Times New Roman" w:hAnsi="Times New Roman" w:cs="Times New Roman"/>
        </w:rPr>
      </w:pPr>
      <w:r>
        <w:rPr>
          <w:rFonts w:hint="default" w:ascii="Times New Roman" w:hAnsi="Times New Roman" w:cs="Times New Roman"/>
        </w:rPr>
        <w:t xml:space="preserve">The bucketed scoring rule also loses resolution independent of whether its weights are right: joining the pipeline’s assigned </w:t>
      </w:r>
      <w:r>
        <w:rPr>
          <w:rStyle w:val="48"/>
          <w:rFonts w:hint="default" w:ascii="Times New Roman" w:hAnsi="Times New Roman" w:cs="Times New Roman"/>
        </w:rPr>
        <w:t>health_index</w:t>
      </w:r>
      <w:r>
        <w:rPr>
          <w:rFonts w:hint="default" w:ascii="Times New Roman" w:hAnsi="Times New Roman" w:cs="Times New Roman"/>
        </w:rPr>
        <w:t xml:space="preserve"> against each battery’s actual measured fade rate (Figure 1) shows 7 of 33 batteries collapsed onto the identical score of 39 despite a 25Ã— range in real fade rate between them, and 14 more collapsed onto 52 despite a range that includes both near-zero and clearly-degrading cells. A rule this coarse can’t distinguish a battery fading 25Ã— faster than another from one that reports it identically.</w:t>
      </w:r>
    </w:p>
    <w:p w14:paraId="7129EB02">
      <w:pPr>
        <w:pStyle w:val="47"/>
        <w:rPr>
          <w:rFonts w:hint="default" w:ascii="Times New Roman" w:hAnsi="Times New Roman" w:cs="Times New Roman"/>
        </w:rPr>
      </w:pPr>
      <w:r>
        <w:rPr>
          <w:rFonts w:hint="default" w:ascii="Times New Roman" w:hAnsi="Times New Roman" w:cs="Times New Roman"/>
        </w:rPr>
        <w:drawing>
          <wp:inline distT="0" distB="0" distL="114300" distR="114300">
            <wp:extent cx="5334000" cy="3199765"/>
            <wp:effectExtent l="0" t="0" r="0" b="0"/>
            <wp:docPr id="21" name="Picture" descr="Figure 1: the baseline health_index does not resolve real fade-rate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Figure 1: the baseline health_index does not resolve real fade-rate differences"/>
                    <pic:cNvPicPr>
                      <a:picLocks noChangeAspect="1" noChangeArrowheads="1"/>
                    </pic:cNvPicPr>
                  </pic:nvPicPr>
                  <pic:blipFill>
                    <a:blip r:embed="rId5"/>
                    <a:stretch>
                      <a:fillRect/>
                    </a:stretch>
                  </pic:blipFill>
                  <pic:spPr>
                    <a:xfrm>
                      <a:off x="0" y="0"/>
                      <a:ext cx="5334000" cy="3200399"/>
                    </a:xfrm>
                    <a:prstGeom prst="rect">
                      <a:avLst/>
                    </a:prstGeom>
                    <a:noFill/>
                    <a:ln w="9525">
                      <a:noFill/>
                    </a:ln>
                  </pic:spPr>
                </pic:pic>
              </a:graphicData>
            </a:graphic>
          </wp:inline>
        </w:drawing>
      </w:r>
    </w:p>
    <w:p w14:paraId="39C90EC6">
      <w:pPr>
        <w:pStyle w:val="45"/>
        <w:rPr>
          <w:rFonts w:hint="default" w:ascii="Times New Roman" w:hAnsi="Times New Roman" w:cs="Times New Roman"/>
        </w:rPr>
      </w:pPr>
      <w:r>
        <w:rPr>
          <w:rFonts w:hint="default" w:ascii="Times New Roman" w:hAnsi="Times New Roman" w:cs="Times New Roman"/>
        </w:rPr>
        <w:t>Figure 1: the baseline health_index does not resolve real fade-rate differences</w:t>
      </w:r>
    </w:p>
    <w:bookmarkEnd w:id="12"/>
    <w:p w14:paraId="5638A16B">
      <w:pPr>
        <w:pStyle w:val="5"/>
        <w:rPr>
          <w:rFonts w:hint="default" w:ascii="Times New Roman" w:hAnsi="Times New Roman" w:cs="Times New Roman"/>
        </w:rPr>
      </w:pPr>
      <w:bookmarkStart w:id="13" w:name="X17fc4fec394c20d14c318e292aeb1331226ebfc"/>
      <w:r>
        <w:rPr>
          <w:rFonts w:hint="default" w:ascii="Times New Roman" w:hAnsi="Times New Roman" w:cs="Times New Roman"/>
        </w:rPr>
        <w:t>4.2 Temperature is a real, transferable signal; current-based flags are not (Level 2)</w:t>
      </w:r>
    </w:p>
    <w:p w14:paraId="6AE8F561">
      <w:pPr>
        <w:pStyle w:val="23"/>
        <w:rPr>
          <w:rFonts w:hint="default" w:ascii="Times New Roman" w:hAnsi="Times New Roman" w:cs="Times New Roman"/>
        </w:rPr>
      </w:pPr>
      <w:r>
        <w:rPr>
          <w:rFonts w:hint="default" w:ascii="Times New Roman" w:hAnsi="Times New Roman" w:cs="Times New Roman"/>
        </w:rPr>
        <w:t xml:space="preserve">Controlling for protocol via NASA’s own documented cohorts and comparing at cycle resolution: </w:t>
      </w:r>
      <w:r>
        <w:rPr>
          <w:rStyle w:val="48"/>
          <w:rFonts w:hint="default" w:ascii="Times New Roman" w:hAnsi="Times New Roman" w:cs="Times New Roman"/>
        </w:rPr>
        <w:t>avg_temp</w:t>
      </w:r>
      <w:r>
        <w:rPr>
          <w:rFonts w:hint="default" w:ascii="Times New Roman" w:hAnsi="Times New Roman" w:cs="Times New Roman"/>
        </w:rPr>
        <w:t xml:space="preserve"> (trailing 5-cycle window) is a significant, correctly-signed predictor of capacity loss in two independent cohorts (Ï=0.21 and Ï=0.22, both p&lt;0.0001), with the correct sign in 7 of 7 individual batteries checked (a check against pseudoreplication from pooling autocorrelated cycles).</w:t>
      </w:r>
    </w:p>
    <w:p w14:paraId="549AA81A">
      <w:pPr>
        <w:pStyle w:val="47"/>
        <w:rPr>
          <w:rFonts w:hint="default" w:ascii="Times New Roman" w:hAnsi="Times New Roman" w:cs="Times New Roman"/>
        </w:rPr>
      </w:pPr>
      <w:r>
        <w:rPr>
          <w:rFonts w:hint="default" w:ascii="Times New Roman" w:hAnsi="Times New Roman" w:cs="Times New Roman"/>
        </w:rPr>
        <w:drawing>
          <wp:inline distT="0" distB="0" distL="114300" distR="114300">
            <wp:extent cx="5334000" cy="2357120"/>
            <wp:effectExtent l="0" t="0" r="0" b="0"/>
            <wp:docPr id="25" name="Picture" descr="Figure 2: temperature is a significant, correctly-signed, transferable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Figure 2: temperature is a significant, correctly-signed, transferable signal"/>
                    <pic:cNvPicPr>
                      <a:picLocks noChangeAspect="1" noChangeArrowheads="1"/>
                    </pic:cNvPicPr>
                  </pic:nvPicPr>
                  <pic:blipFill>
                    <a:blip r:embed="rId6"/>
                    <a:stretch>
                      <a:fillRect/>
                    </a:stretch>
                  </pic:blipFill>
                  <pic:spPr>
                    <a:xfrm>
                      <a:off x="0" y="0"/>
                      <a:ext cx="5334000" cy="2357273"/>
                    </a:xfrm>
                    <a:prstGeom prst="rect">
                      <a:avLst/>
                    </a:prstGeom>
                    <a:noFill/>
                    <a:ln w="9525">
                      <a:noFill/>
                    </a:ln>
                  </pic:spPr>
                </pic:pic>
              </a:graphicData>
            </a:graphic>
          </wp:inline>
        </w:drawing>
      </w:r>
    </w:p>
    <w:p w14:paraId="2DBF19D5">
      <w:pPr>
        <w:pStyle w:val="45"/>
        <w:rPr>
          <w:rFonts w:hint="default" w:ascii="Times New Roman" w:hAnsi="Times New Roman" w:cs="Times New Roman"/>
        </w:rPr>
      </w:pPr>
      <w:r>
        <w:rPr>
          <w:rFonts w:hint="default" w:ascii="Times New Roman" w:hAnsi="Times New Roman" w:cs="Times New Roman"/>
        </w:rPr>
        <w:t>Figure 2: temperature is a significant, correctly-signed, transferable signal</w:t>
      </w:r>
    </w:p>
    <w:p w14:paraId="73E30374">
      <w:pPr>
        <w:pStyle w:val="14"/>
        <w:rPr>
          <w:rFonts w:hint="default" w:ascii="Times New Roman" w:hAnsi="Times New Roman" w:cs="Times New Roman"/>
        </w:rPr>
      </w:pPr>
      <w:r>
        <w:rPr>
          <w:rFonts w:hint="default" w:ascii="Times New Roman" w:hAnsi="Times New Roman" w:cs="Times New Roman"/>
          <w:b/>
          <w:bCs/>
        </w:rPr>
        <w:t>Scope narrowed by Section 4.11.</w:t>
      </w:r>
      <w:r>
        <w:rPr>
          <w:rFonts w:hint="default" w:ascii="Times New Roman" w:hAnsi="Times New Roman" w:cs="Times New Roman"/>
        </w:rPr>
        <w:t xml:space="preserve"> This result holds </w:t>
      </w:r>
      <w:r>
        <w:rPr>
          <w:rFonts w:hint="default" w:ascii="Times New Roman" w:hAnsi="Times New Roman" w:cs="Times New Roman"/>
          <w:i/>
          <w:iCs/>
        </w:rPr>
        <w:t>within</w:t>
      </w:r>
      <w:r>
        <w:rPr>
          <w:rFonts w:hint="default" w:ascii="Times New Roman" w:hAnsi="Times New Roman" w:cs="Times New Roman"/>
        </w:rPr>
        <w:t xml:space="preserve"> cohorts and should not be read as “transferable”, despite this section’s original heading. Measured capacity carries a large reversible thermal offset â€” apparent SOH is 0.918 at 4 Â°C and 0.999 at 44 Â°C at cycle â‰¤ 20, before degradation is possible â€” which is constant inside a fixed-ambient cohort but switches on across cohorts, where it is anti-correlated with real thermal aging and reverses the apparent sign. The within-cohort finding above stands; the cross-cohort collapse reported in Section 4.8 now has a measurement explanation rather than only a statistical one.</w:t>
      </w:r>
    </w:p>
    <w:p w14:paraId="1CA793B9">
      <w:pPr>
        <w:pStyle w:val="23"/>
        <w:rPr>
          <w:rFonts w:hint="default" w:ascii="Times New Roman" w:hAnsi="Times New Roman" w:cs="Times New Roman"/>
        </w:rPr>
      </w:pPr>
      <w:r>
        <w:rPr>
          <w:rFonts w:hint="default" w:ascii="Times New Roman" w:hAnsi="Times New Roman" w:cs="Times New Roman"/>
        </w:rPr>
        <w:t xml:space="preserve">The current-based </w:t>
      </w:r>
      <w:r>
        <w:rPr>
          <w:rStyle w:val="48"/>
          <w:rFonts w:hint="default" w:ascii="Times New Roman" w:hAnsi="Times New Roman" w:cs="Times New Roman"/>
        </w:rPr>
        <w:t>avg_stress</w:t>
      </w:r>
      <w:r>
        <w:rPr>
          <w:rFonts w:hint="default" w:ascii="Times New Roman" w:hAnsi="Times New Roman" w:cs="Times New Roman"/>
        </w:rPr>
        <w:t xml:space="preserve">/ </w:t>
      </w:r>
      <w:r>
        <w:rPr>
          <w:rStyle w:val="48"/>
          <w:rFonts w:hint="default" w:ascii="Times New Roman" w:hAnsi="Times New Roman" w:cs="Times New Roman"/>
        </w:rPr>
        <w:t>aggressive_discharge_count</w:t>
      </w:r>
      <w:r>
        <w:rPr>
          <w:rFonts w:hint="default" w:ascii="Times New Roman" w:hAnsi="Times New Roman" w:cs="Times New Roman"/>
        </w:rPr>
        <w:t xml:space="preserve"> signals do not transfer: significant and positive in room-temperature cohorts, significant and </w:t>
      </w:r>
      <w:r>
        <w:rPr>
          <w:rFonts w:hint="default" w:ascii="Times New Roman" w:hAnsi="Times New Roman" w:cs="Times New Roman"/>
          <w:i/>
          <w:iCs/>
        </w:rPr>
        <w:t>negative</w:t>
      </w:r>
      <w:r>
        <w:rPr>
          <w:rFonts w:hint="default" w:ascii="Times New Roman" w:hAnsi="Times New Roman" w:cs="Times New Roman"/>
        </w:rPr>
        <w:t xml:space="preserve"> in the 4Â°C cohort. Also found: the coarse bucketed rules have essentially no resolution even before considering whether the weights are right â€” 6 of 7 batteries in a clean, single-protocol cohort received the </w:t>
      </w:r>
      <w:r>
        <w:rPr>
          <w:rFonts w:hint="default" w:ascii="Times New Roman" w:hAnsi="Times New Roman" w:cs="Times New Roman"/>
          <w:i/>
          <w:iCs/>
        </w:rPr>
        <w:t>identical</w:t>
      </w:r>
      <w:r>
        <w:rPr>
          <w:rFonts w:hint="default" w:ascii="Times New Roman" w:hAnsi="Times New Roman" w:cs="Times New Roman"/>
        </w:rPr>
        <w:t xml:space="preserve"> health_index despite a 5x range in real fade rate. That pattern holds across the full dataset too, not just this one cohort â€” see Figure 1 in Section 4.1, where 7 of 33 batteries collapse onto a single score despite a 25x range in fade rate between them.</w:t>
      </w:r>
    </w:p>
    <w:bookmarkEnd w:id="13"/>
    <w:p w14:paraId="1C5E79FF">
      <w:pPr>
        <w:pStyle w:val="5"/>
        <w:rPr>
          <w:rFonts w:hint="default" w:ascii="Times New Roman" w:hAnsi="Times New Roman" w:cs="Times New Roman"/>
        </w:rPr>
      </w:pPr>
      <w:bookmarkStart w:id="14" w:name="X1192a33daab9fc8aed35839a28ad7f1e73c14bb"/>
      <w:r>
        <w:rPr>
          <w:rFonts w:hint="default" w:ascii="Times New Roman" w:hAnsi="Times New Roman" w:cs="Times New Roman"/>
        </w:rPr>
        <w:t>4.3 A fitted model replicates the signal but does not generalize (Level 3)</w:t>
      </w:r>
    </w:p>
    <w:p w14:paraId="2D4F2554">
      <w:pPr>
        <w:pStyle w:val="23"/>
        <w:rPr>
          <w:rFonts w:hint="default" w:ascii="Times New Roman" w:hAnsi="Times New Roman" w:cs="Times New Roman"/>
        </w:rPr>
      </w:pPr>
      <w:r>
        <w:rPr>
          <w:rFonts w:hint="default" w:ascii="Times New Roman" w:hAnsi="Times New Roman" w:cs="Times New Roman"/>
        </w:rPr>
        <w:t xml:space="preserve">With cohort as a fixed effect, </w:t>
      </w:r>
      <w:r>
        <w:rPr>
          <w:rStyle w:val="48"/>
          <w:rFonts w:hint="default" w:ascii="Times New Roman" w:hAnsi="Times New Roman" w:cs="Times New Roman"/>
        </w:rPr>
        <w:t>trailing_avg_temp</w:t>
      </w:r>
      <w:r>
        <w:rPr>
          <w:rFonts w:hint="default" w:ascii="Times New Roman" w:hAnsi="Times New Roman" w:cs="Times New Roman"/>
        </w:rPr>
        <w:t xml:space="preserve"> remains significant (coefficient 0.0038 Ah/Â°C, p&lt;0.0001) in a pooled OLS regression fit on all 2,682 cycle-level observations across all 9 cohorts. In-sample RÂ² = 0.015 â€” already low, meaning even the </w:t>
      </w:r>
      <w:r>
        <w:rPr>
          <w:rFonts w:hint="default" w:ascii="Times New Roman" w:hAnsi="Times New Roman" w:cs="Times New Roman"/>
          <w:i/>
          <w:iCs/>
        </w:rPr>
        <w:t>fitted</w:t>
      </w:r>
      <w:r>
        <w:rPr>
          <w:rFonts w:hint="default" w:ascii="Times New Roman" w:hAnsi="Times New Roman" w:cs="Times New Roman"/>
        </w:rPr>
        <w:t xml:space="preserve"> line explains little of the per-cycle variance.</w:t>
      </w:r>
    </w:p>
    <w:p w14:paraId="1F5C64DB">
      <w:pPr>
        <w:pStyle w:val="3"/>
        <w:rPr>
          <w:rFonts w:hint="default" w:ascii="Times New Roman" w:hAnsi="Times New Roman" w:cs="Times New Roman"/>
        </w:rPr>
      </w:pPr>
      <w:r>
        <w:rPr>
          <w:rFonts w:hint="default" w:ascii="Times New Roman" w:hAnsi="Times New Roman" w:cs="Times New Roman"/>
        </w:rPr>
        <w:t>Leave-one-battery-out cross-validation, two complementary metrics:</w:t>
      </w:r>
    </w:p>
    <w:p w14:paraId="39081BEC">
      <w:pPr>
        <w:pStyle w:val="24"/>
        <w:numPr>
          <w:ilvl w:val="0"/>
          <w:numId w:val="2"/>
        </w:numPr>
        <w:rPr>
          <w:rFonts w:hint="default" w:ascii="Times New Roman" w:hAnsi="Times New Roman" w:cs="Times New Roman"/>
        </w:rPr>
      </w:pPr>
      <w:r>
        <w:rPr>
          <w:rFonts w:hint="default" w:ascii="Times New Roman" w:hAnsi="Times New Roman" w:cs="Times New Roman"/>
          <w:b/>
          <w:bCs/>
        </w:rPr>
        <w:t>RÂ² against each held-out battery’s own mean</w:t>
      </w:r>
      <w:r>
        <w:rPr>
          <w:rFonts w:hint="default" w:ascii="Times New Roman" w:hAnsi="Times New Roman" w:cs="Times New Roman"/>
        </w:rPr>
        <w:t xml:space="preserve"> (does the model beat the simplest possible baseline â€” “predict this battery’s average”?): mean </w:t>
      </w:r>
      <w:r>
        <w:rPr>
          <w:rFonts w:hint="default" w:ascii="Times New Roman" w:hAnsi="Times New Roman" w:cs="Times New Roman"/>
          <w:b/>
          <w:bCs/>
        </w:rPr>
        <w:t>0.0024</w:t>
      </w:r>
      <w:r>
        <w:rPr>
          <w:rFonts w:hint="default" w:ascii="Times New Roman" w:hAnsi="Times New Roman" w:cs="Times New Roman"/>
        </w:rPr>
        <w:t xml:space="preserve"> across 33 testable batteries, with only </w:t>
      </w:r>
      <w:r>
        <w:rPr>
          <w:rFonts w:hint="default" w:ascii="Times New Roman" w:hAnsi="Times New Roman" w:cs="Times New Roman"/>
          <w:b/>
          <w:bCs/>
        </w:rPr>
        <w:t>19 of 33</w:t>
      </w:r>
      <w:r>
        <w:rPr>
          <w:rFonts w:hint="default" w:ascii="Times New Roman" w:hAnsi="Times New Roman" w:cs="Times New Roman"/>
        </w:rPr>
        <w:t xml:space="preserve"> (58%) beating that naive baseline at all. Effectively a tie with “assume every cycle is average for this battery.”</w:t>
      </w:r>
    </w:p>
    <w:p w14:paraId="47D4C05F">
      <w:pPr>
        <w:pStyle w:val="24"/>
        <w:numPr>
          <w:ilvl w:val="0"/>
          <w:numId w:val="2"/>
        </w:numPr>
        <w:rPr>
          <w:rFonts w:hint="default" w:ascii="Times New Roman" w:hAnsi="Times New Roman" w:cs="Times New Roman"/>
        </w:rPr>
      </w:pPr>
      <w:r>
        <w:rPr>
          <w:rFonts w:hint="default" w:ascii="Times New Roman" w:hAnsi="Times New Roman" w:cs="Times New Roman"/>
          <w:b/>
          <w:bCs/>
        </w:rPr>
        <w:t>Spearman rank correlation</w:t>
      </w:r>
      <w:r>
        <w:rPr>
          <w:rFonts w:hint="default" w:ascii="Times New Roman" w:hAnsi="Times New Roman" w:cs="Times New Roman"/>
        </w:rPr>
        <w:t xml:space="preserve"> between predicted and actual per-cycle capacity loss: median </w:t>
      </w:r>
      <w:r>
        <w:rPr>
          <w:rFonts w:hint="default" w:ascii="Times New Roman" w:hAnsi="Times New Roman" w:cs="Times New Roman"/>
          <w:b/>
          <w:bCs/>
        </w:rPr>
        <w:t>0.052</w:t>
      </w:r>
      <w:r>
        <w:rPr>
          <w:rFonts w:hint="default" w:ascii="Times New Roman" w:hAnsi="Times New Roman" w:cs="Times New Roman"/>
        </w:rPr>
        <w:t>, with 24 of 33 (73%) batteries showing a positive correlation â€” directionally more encouraging than the RÂ² view, but a weak effect size even where positive.</w:t>
      </w:r>
    </w:p>
    <w:p w14:paraId="7B34A426">
      <w:pPr>
        <w:pStyle w:val="23"/>
        <w:rPr>
          <w:rFonts w:hint="default" w:ascii="Times New Roman" w:hAnsi="Times New Roman" w:cs="Times New Roman"/>
        </w:rPr>
      </w:pPr>
      <w:r>
        <w:rPr>
          <w:rFonts w:hint="default" w:ascii="Times New Roman" w:hAnsi="Times New Roman" w:cs="Times New Roman"/>
        </w:rPr>
        <w:t xml:space="preserve">Both are true simultaneously and are not in tension: the model gets the </w:t>
      </w:r>
      <w:r>
        <w:rPr>
          <w:rFonts w:hint="default" w:ascii="Times New Roman" w:hAnsi="Times New Roman" w:cs="Times New Roman"/>
          <w:i/>
          <w:iCs/>
        </w:rPr>
        <w:t>direction</w:t>
      </w:r>
      <w:r>
        <w:rPr>
          <w:rFonts w:hint="default" w:ascii="Times New Roman" w:hAnsi="Times New Roman" w:cs="Times New Roman"/>
        </w:rPr>
        <w:t xml:space="preserve"> right more often than chance (rank correlation), but the </w:t>
      </w:r>
      <w:r>
        <w:rPr>
          <w:rFonts w:hint="default" w:ascii="Times New Roman" w:hAnsi="Times New Roman" w:cs="Times New Roman"/>
          <w:i/>
          <w:iCs/>
        </w:rPr>
        <w:t>magnitude</w:t>
      </w:r>
      <w:r>
        <w:rPr>
          <w:rFonts w:hint="default" w:ascii="Times New Roman" w:hAnsi="Times New Roman" w:cs="Times New Roman"/>
        </w:rPr>
        <w:t xml:space="preserve"> of its predictions adds essentially no value over a flat per-battery baseline (RÂ²). For a report, the second framing is the more important one to lead with, since it’s the one a practical deployment decision would actually depend on.</w:t>
      </w:r>
    </w:p>
    <w:p w14:paraId="483A1F7B">
      <w:pPr>
        <w:pStyle w:val="3"/>
        <w:rPr>
          <w:rFonts w:hint="default" w:ascii="Times New Roman" w:hAnsi="Times New Roman" w:cs="Times New Roman"/>
        </w:rPr>
      </w:pPr>
      <w:r>
        <w:rPr>
          <w:rFonts w:hint="default" w:ascii="Times New Roman" w:hAnsi="Times New Roman" w:cs="Times New Roman"/>
        </w:rPr>
        <w:t xml:space="preserve">An interaction test for the Level 2 hypothesis (that cold ambient inflates the apparent effect of aggressive discharge via internal resistance) was run directly: </w:t>
      </w:r>
      <w:r>
        <w:rPr>
          <w:rStyle w:val="48"/>
          <w:rFonts w:hint="default" w:ascii="Times New Roman" w:hAnsi="Times New Roman" w:cs="Times New Roman"/>
        </w:rPr>
        <w:t>trailing_aggressive_discharge_count Ã— is_cold</w:t>
      </w:r>
      <w:r>
        <w:rPr>
          <w:rFonts w:hint="default" w:ascii="Times New Roman" w:hAnsi="Times New Roman" w:cs="Times New Roman"/>
        </w:rPr>
        <w:t xml:space="preserve">, controlling for cohort. The interaction coefficient is positive (consistent with the hypothesis) but </w:t>
      </w:r>
      <w:r>
        <w:rPr>
          <w:rFonts w:hint="default" w:ascii="Times New Roman" w:hAnsi="Times New Roman" w:cs="Times New Roman"/>
          <w:b/>
          <w:bCs/>
        </w:rPr>
        <w:t>not significant at conventional thresholds</w:t>
      </w:r>
      <w:r>
        <w:rPr>
          <w:rFonts w:hint="default" w:ascii="Times New Roman" w:hAnsi="Times New Roman" w:cs="Times New Roman"/>
        </w:rPr>
        <w:t xml:space="preserve"> (p=0.098, n=2,682 cycle-observations). A supporting but indirect check using NASA’s impedance (Re/Rct) data found that for the one cohort where impedance was measured in-situ at the true operating temperature (43Â°C, rather than NASA’s usual standardized 24Â°C for EIS), internal resistance was lower than at 24Â°C (Re: 0.051 vs 0.059 Î©; Rct: 0.062 vs 0.083 Î©) â€” consistent with the general temperature-resistance relationship the hypothesis depends on, but this doesn’t directly confirm the effect at 4Â°C, since NASA’s 4Â°C-cohort impedance measurements were taken after re-equilibrating to 24Â°C, not in-situ. </w:t>
      </w:r>
      <w:r>
        <w:rPr>
          <w:rFonts w:hint="default" w:ascii="Times New Roman" w:hAnsi="Times New Roman" w:cs="Times New Roman"/>
          <w:b/>
          <w:bCs/>
        </w:rPr>
        <w:t>Verdict: suggestive, not confirmed.</w:t>
      </w:r>
    </w:p>
    <w:p w14:paraId="1E12CA3D">
      <w:pPr>
        <w:pStyle w:val="3"/>
        <w:rPr>
          <w:rFonts w:hint="default" w:ascii="Times New Roman" w:hAnsi="Times New Roman" w:cs="Times New Roman"/>
        </w:rPr>
      </w:pPr>
      <w:r>
        <w:rPr>
          <w:rFonts w:hint="default" w:ascii="Times New Roman" w:hAnsi="Times New Roman" w:cs="Times New Roman"/>
        </w:rPr>
        <w:t>This model (</w:t>
      </w:r>
      <w:r>
        <w:rPr>
          <w:rStyle w:val="48"/>
          <w:rFonts w:hint="default" w:ascii="Times New Roman" w:hAnsi="Times New Roman" w:cs="Times New Roman"/>
        </w:rPr>
        <w:t>src/bms/health/health_index_v2.py</w:t>
      </w:r>
      <w:r>
        <w:rPr>
          <w:rFonts w:hint="default" w:ascii="Times New Roman" w:hAnsi="Times New Roman" w:cs="Times New Roman"/>
        </w:rPr>
        <w:t xml:space="preserve">) is </w:t>
      </w:r>
      <w:r>
        <w:rPr>
          <w:rFonts w:hint="default" w:ascii="Times New Roman" w:hAnsi="Times New Roman" w:cs="Times New Roman"/>
          <w:b/>
          <w:bCs/>
        </w:rPr>
        <w:t>not</w:t>
      </w:r>
      <w:r>
        <w:rPr>
          <w:rFonts w:hint="default" w:ascii="Times New Roman" w:hAnsi="Times New Roman" w:cs="Times New Roman"/>
        </w:rPr>
        <w:t xml:space="preserve"> the pipeline’s default and is not used by the dashboard. A statistically significant in-sample coefficient that performs at-or-near a naive baseline out-of-sample is not a usable predictor, and shipping it as the primary score would repeat the exact mistake this calibration effort exists to correct.</w:t>
      </w:r>
    </w:p>
    <w:bookmarkEnd w:id="14"/>
    <w:p w14:paraId="036143EC">
      <w:pPr>
        <w:pStyle w:val="5"/>
        <w:rPr>
          <w:rFonts w:hint="default" w:ascii="Times New Roman" w:hAnsi="Times New Roman" w:cs="Times New Roman"/>
        </w:rPr>
      </w:pPr>
      <w:bookmarkStart w:id="15" w:name="X99ddb3ba300c006c122a336d04f731fb8b3cd70"/>
      <w:r>
        <w:rPr>
          <w:rFonts w:hint="default" w:ascii="Times New Roman" w:hAnsi="Times New Roman" w:cs="Times New Roman"/>
        </w:rPr>
        <w:t>4.4 CALCE: real engineering value, zero calibration value</w:t>
      </w:r>
    </w:p>
    <w:p w14:paraId="30901891">
      <w:pPr>
        <w:pStyle w:val="23"/>
        <w:rPr>
          <w:rFonts w:hint="default" w:ascii="Times New Roman" w:hAnsi="Times New Roman" w:cs="Times New Roman"/>
        </w:rPr>
      </w:pPr>
      <w:r>
        <w:rPr>
          <w:rFonts w:hint="default" w:ascii="Times New Roman" w:hAnsi="Times New Roman" w:cs="Times New Roman"/>
        </w:rPr>
        <w:t>A working loader (</w:t>
      </w:r>
      <w:r>
        <w:rPr>
          <w:rStyle w:val="48"/>
          <w:rFonts w:hint="default" w:ascii="Times New Roman" w:hAnsi="Times New Roman" w:cs="Times New Roman"/>
        </w:rPr>
        <w:t>src/bms/io/load_calce_capacity.py</w:t>
      </w:r>
      <w:r>
        <w:rPr>
          <w:rFonts w:hint="default" w:ascii="Times New Roman" w:hAnsi="Times New Roman" w:cs="Times New Roman"/>
        </w:rPr>
        <w:t xml:space="preserve">) was built for CALCE’s raw Arbin cycler export format, recovering 138 of 150 cells after fixing a case-sensitivity bug in a free-text ID-mapping parser that initially silently captured only 34. Running this data through the pipeline caught a genuine correctness bug unrelated to CALCE itself: </w:t>
      </w:r>
      <w:r>
        <w:rPr>
          <w:rStyle w:val="48"/>
          <w:rFonts w:hint="default" w:ascii="Times New Roman" w:hAnsi="Times New Roman" w:cs="Times New Roman"/>
        </w:rPr>
        <w:t>compute_risk_assessment</w:t>
      </w:r>
      <w:r>
        <w:rPr>
          <w:rFonts w:hint="default" w:ascii="Times New Roman" w:hAnsi="Times New Roman" w:cs="Times New Roman"/>
        </w:rPr>
        <w:t>/</w:t>
      </w:r>
      <w:r>
        <w:rPr>
          <w:rStyle w:val="48"/>
          <w:rFonts w:hint="default" w:ascii="Times New Roman" w:hAnsi="Times New Roman" w:cs="Times New Roman"/>
        </w:rPr>
        <w:t>compute_health_index</w:t>
      </w:r>
      <w:r>
        <w:rPr>
          <w:rFonts w:hint="default" w:ascii="Times New Roman" w:hAnsi="Times New Roman" w:cs="Times New Roman"/>
        </w:rPr>
        <w:t xml:space="preserve"> were silently treating missing data (no temperature channel in this dataset) as “low risk” because NumPy’s NaN comparisons evaluate to False â€” now fixed to raise instead. However, the data itself could not support either of the two calibration questions attempted: it’s single-cycle characterization data (no cycle-fade trajectory), and its “pre-storage” and “post-storage” capacity values turned out to be the same measurement recorded twice, not a before/after pair â€” ruling out a calendar-aging capacity-loss analysis. Full detail in </w:t>
      </w:r>
      <w:r>
        <w:rPr>
          <w:rStyle w:val="48"/>
          <w:rFonts w:hint="default" w:ascii="Times New Roman" w:hAnsi="Times New Roman" w:cs="Times New Roman"/>
        </w:rPr>
        <w:t>docs/calce_dataset_note.md</w:t>
      </w:r>
      <w:r>
        <w:rPr>
          <w:rFonts w:hint="default" w:ascii="Times New Roman" w:hAnsi="Times New Roman" w:cs="Times New Roman"/>
        </w:rPr>
        <w:t>.</w:t>
      </w:r>
    </w:p>
    <w:bookmarkEnd w:id="15"/>
    <w:p w14:paraId="1F5E297F">
      <w:pPr>
        <w:pStyle w:val="5"/>
        <w:rPr>
          <w:rFonts w:hint="default" w:ascii="Times New Roman" w:hAnsi="Times New Roman" w:cs="Times New Roman"/>
        </w:rPr>
      </w:pPr>
      <w:bookmarkStart w:id="16" w:name="Xf32bdfeb6f6dd44c784b43a0dd72260d348c26f"/>
      <w:r>
        <w:rPr>
          <w:rFonts w:hint="default" w:ascii="Times New Roman" w:hAnsi="Times New Roman" w:cs="Times New Roman"/>
        </w:rPr>
        <w:t>4.5 Longer prediction horizons: real gains in rank signal, not in RÂ² (Level 3b)</w:t>
      </w:r>
    </w:p>
    <w:p w14:paraId="3754A8B5">
      <w:pPr>
        <w:pStyle w:val="23"/>
        <w:rPr>
          <w:rFonts w:hint="default" w:ascii="Times New Roman" w:hAnsi="Times New Roman" w:cs="Times New Roman"/>
        </w:rPr>
      </w:pPr>
      <w:r>
        <w:rPr>
          <w:rFonts w:hint="default" w:ascii="Times New Roman" w:hAnsi="Times New Roman" w:cs="Times New Roman"/>
        </w:rPr>
        <w:t>Section 6 (original draft) proposed the obvious next test: Section 4.3’s model predicts capacity loss one cycle ahead, a target likely dominated by per-cycle measurement noise. Predicting cumulative loss over a longer window (10/20/50 cycles) should average that noise down. This was run (</w:t>
      </w:r>
      <w:r>
        <w:rPr>
          <w:rStyle w:val="48"/>
          <w:rFonts w:hint="default" w:ascii="Times New Roman" w:hAnsi="Times New Roman" w:cs="Times New Roman"/>
        </w:rPr>
        <w:t>scripts/fit_horizon_regression_model.py</w:t>
      </w:r>
      <w:r>
        <w:rPr>
          <w:rFonts w:hint="default" w:ascii="Times New Roman" w:hAnsi="Times New Roman" w:cs="Times New Roman"/>
        </w:rPr>
        <w:t xml:space="preserve">, reusing the cached Section 4.3 cycle-level table â€” </w:t>
      </w:r>
      <w:r>
        <w:rPr>
          <w:rStyle w:val="48"/>
          <w:rFonts w:hint="default" w:ascii="Times New Roman" w:hAnsi="Times New Roman" w:cs="Times New Roman"/>
        </w:rPr>
        <w:t>trailing_avg_temp</w:t>
      </w:r>
      <w:r>
        <w:rPr>
          <w:rFonts w:hint="default" w:ascii="Times New Roman" w:hAnsi="Times New Roman" w:cs="Times New Roman"/>
        </w:rPr>
        <w:t xml:space="preserve"> is not horizon-dependent, only the target is, so no raw-telemetry re-ingestion was needed) and the result is genuinely mixed, not the clean improvement the hypothesis predicted:</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C4813DE">
        <w:tblPrEx>
          <w:tblCellMar>
            <w:top w:w="0" w:type="dxa"/>
            <w:left w:w="108" w:type="dxa"/>
            <w:bottom w:w="0" w:type="dxa"/>
            <w:right w:w="108" w:type="dxa"/>
          </w:tblCellMar>
        </w:tblPrEx>
        <w:trPr>
          <w:tblHeader/>
        </w:trPr>
        <w:tc>
          <w:p w14:paraId="7D8CB289">
            <w:pPr>
              <w:pStyle w:val="24"/>
              <w:jc w:val="right"/>
              <w:rPr>
                <w:rFonts w:hint="default" w:ascii="Times New Roman" w:hAnsi="Times New Roman" w:cs="Times New Roman"/>
              </w:rPr>
            </w:pPr>
            <w:r>
              <w:rPr>
                <w:rFonts w:hint="default" w:ascii="Times New Roman" w:hAnsi="Times New Roman" w:cs="Times New Roman"/>
              </w:rPr>
              <w:t>Horizon (cycles)</w:t>
            </w:r>
          </w:p>
        </w:tc>
        <w:tc>
          <w:p w14:paraId="6A110DC5">
            <w:pPr>
              <w:pStyle w:val="24"/>
              <w:jc w:val="right"/>
              <w:rPr>
                <w:rFonts w:hint="default" w:ascii="Times New Roman" w:hAnsi="Times New Roman" w:cs="Times New Roman"/>
              </w:rPr>
            </w:pPr>
            <w:r>
              <w:rPr>
                <w:rFonts w:hint="default" w:ascii="Times New Roman" w:hAnsi="Times New Roman" w:cs="Times New Roman"/>
              </w:rPr>
              <w:t>In-sample RÂ²</w:t>
            </w:r>
          </w:p>
        </w:tc>
        <w:tc>
          <w:p w14:paraId="5E09A5F8">
            <w:pPr>
              <w:pStyle w:val="24"/>
              <w:jc w:val="right"/>
              <w:rPr>
                <w:rFonts w:hint="default" w:ascii="Times New Roman" w:hAnsi="Times New Roman" w:cs="Times New Roman"/>
              </w:rPr>
            </w:pPr>
            <w:r>
              <w:rPr>
                <w:rFonts w:hint="default" w:ascii="Times New Roman" w:hAnsi="Times New Roman" w:cs="Times New Roman"/>
              </w:rPr>
              <w:t>LOBO RÂ² (median)</w:t>
            </w:r>
          </w:p>
        </w:tc>
        <w:tc>
          <w:p w14:paraId="446DCE46">
            <w:pPr>
              <w:pStyle w:val="24"/>
              <w:jc w:val="right"/>
              <w:rPr>
                <w:rFonts w:hint="default" w:ascii="Times New Roman" w:hAnsi="Times New Roman" w:cs="Times New Roman"/>
              </w:rPr>
            </w:pPr>
            <w:r>
              <w:rPr>
                <w:rFonts w:hint="default" w:ascii="Times New Roman" w:hAnsi="Times New Roman" w:cs="Times New Roman"/>
              </w:rPr>
              <w:t>% beating baseline</w:t>
            </w:r>
          </w:p>
        </w:tc>
        <w:tc>
          <w:p w14:paraId="3A34803C">
            <w:pPr>
              <w:pStyle w:val="24"/>
              <w:jc w:val="right"/>
              <w:rPr>
                <w:rFonts w:hint="default" w:ascii="Times New Roman" w:hAnsi="Times New Roman" w:cs="Times New Roman"/>
              </w:rPr>
            </w:pPr>
            <w:r>
              <w:rPr>
                <w:rFonts w:hint="default" w:ascii="Times New Roman" w:hAnsi="Times New Roman" w:cs="Times New Roman"/>
              </w:rPr>
              <w:t>Spearman Ï (median)</w:t>
            </w:r>
          </w:p>
        </w:tc>
        <w:tc>
          <w:p w14:paraId="6D417C0E">
            <w:pPr>
              <w:pStyle w:val="24"/>
              <w:jc w:val="right"/>
              <w:rPr>
                <w:rFonts w:hint="default" w:ascii="Times New Roman" w:hAnsi="Times New Roman" w:cs="Times New Roman"/>
              </w:rPr>
            </w:pPr>
            <w:r>
              <w:rPr>
                <w:rFonts w:hint="default" w:ascii="Times New Roman" w:hAnsi="Times New Roman" w:cs="Times New Roman"/>
              </w:rPr>
              <w:t>% positive Ï</w:t>
            </w:r>
          </w:p>
        </w:tc>
      </w:tr>
      <w:tr w14:paraId="3BA3F5BF">
        <w:tblPrEx>
          <w:tblCellMar>
            <w:top w:w="0" w:type="dxa"/>
            <w:left w:w="108" w:type="dxa"/>
            <w:bottom w:w="0" w:type="dxa"/>
            <w:right w:w="108" w:type="dxa"/>
          </w:tblCellMar>
        </w:tblPrEx>
        <w:tc>
          <w:p w14:paraId="4CC473BB">
            <w:pPr>
              <w:pStyle w:val="24"/>
              <w:jc w:val="right"/>
              <w:rPr>
                <w:rFonts w:hint="default" w:ascii="Times New Roman" w:hAnsi="Times New Roman" w:cs="Times New Roman"/>
              </w:rPr>
            </w:pPr>
            <w:r>
              <w:rPr>
                <w:rFonts w:hint="default" w:ascii="Times New Roman" w:hAnsi="Times New Roman" w:cs="Times New Roman"/>
              </w:rPr>
              <w:t>1</w:t>
            </w:r>
          </w:p>
        </w:tc>
        <w:tc>
          <w:p w14:paraId="1AEB6B13">
            <w:pPr>
              <w:pStyle w:val="24"/>
              <w:jc w:val="right"/>
              <w:rPr>
                <w:rFonts w:hint="default" w:ascii="Times New Roman" w:hAnsi="Times New Roman" w:cs="Times New Roman"/>
              </w:rPr>
            </w:pPr>
            <w:r>
              <w:rPr>
                <w:rFonts w:hint="default" w:ascii="Times New Roman" w:hAnsi="Times New Roman" w:cs="Times New Roman"/>
              </w:rPr>
              <w:t>0.015</w:t>
            </w:r>
          </w:p>
        </w:tc>
        <w:tc>
          <w:p w14:paraId="694931E0">
            <w:pPr>
              <w:pStyle w:val="24"/>
              <w:jc w:val="right"/>
              <w:rPr>
                <w:rFonts w:hint="default" w:ascii="Times New Roman" w:hAnsi="Times New Roman" w:cs="Times New Roman"/>
              </w:rPr>
            </w:pPr>
            <w:r>
              <w:rPr>
                <w:rFonts w:hint="default" w:ascii="Times New Roman" w:hAnsi="Times New Roman" w:cs="Times New Roman"/>
              </w:rPr>
              <w:t>âˆ’0.002</w:t>
            </w:r>
          </w:p>
        </w:tc>
        <w:tc>
          <w:p w14:paraId="3D82F7B2">
            <w:pPr>
              <w:pStyle w:val="24"/>
              <w:jc w:val="right"/>
              <w:rPr>
                <w:rFonts w:hint="default" w:ascii="Times New Roman" w:hAnsi="Times New Roman" w:cs="Times New Roman"/>
              </w:rPr>
            </w:pPr>
            <w:r>
              <w:rPr>
                <w:rFonts w:hint="default" w:ascii="Times New Roman" w:hAnsi="Times New Roman" w:cs="Times New Roman"/>
              </w:rPr>
              <w:t>36%</w:t>
            </w:r>
          </w:p>
        </w:tc>
        <w:tc>
          <w:p w14:paraId="02DA7962">
            <w:pPr>
              <w:pStyle w:val="24"/>
              <w:jc w:val="right"/>
              <w:rPr>
                <w:rFonts w:hint="default" w:ascii="Times New Roman" w:hAnsi="Times New Roman" w:cs="Times New Roman"/>
              </w:rPr>
            </w:pPr>
            <w:r>
              <w:rPr>
                <w:rFonts w:hint="default" w:ascii="Times New Roman" w:hAnsi="Times New Roman" w:cs="Times New Roman"/>
              </w:rPr>
              <w:t>0.066</w:t>
            </w:r>
          </w:p>
        </w:tc>
        <w:tc>
          <w:p w14:paraId="46CA4D5E">
            <w:pPr>
              <w:pStyle w:val="24"/>
              <w:jc w:val="right"/>
              <w:rPr>
                <w:rFonts w:hint="default" w:ascii="Times New Roman" w:hAnsi="Times New Roman" w:cs="Times New Roman"/>
              </w:rPr>
            </w:pPr>
            <w:r>
              <w:rPr>
                <w:rFonts w:hint="default" w:ascii="Times New Roman" w:hAnsi="Times New Roman" w:cs="Times New Roman"/>
              </w:rPr>
              <w:t>67%</w:t>
            </w:r>
          </w:p>
        </w:tc>
      </w:tr>
      <w:tr w14:paraId="572A9302">
        <w:tblPrEx>
          <w:tblCellMar>
            <w:top w:w="0" w:type="dxa"/>
            <w:left w:w="108" w:type="dxa"/>
            <w:bottom w:w="0" w:type="dxa"/>
            <w:right w:w="108" w:type="dxa"/>
          </w:tblCellMar>
        </w:tblPrEx>
        <w:tc>
          <w:p w14:paraId="30EF4618">
            <w:pPr>
              <w:pStyle w:val="24"/>
              <w:jc w:val="right"/>
              <w:rPr>
                <w:rFonts w:hint="default" w:ascii="Times New Roman" w:hAnsi="Times New Roman" w:cs="Times New Roman"/>
              </w:rPr>
            </w:pPr>
            <w:r>
              <w:rPr>
                <w:rFonts w:hint="default" w:ascii="Times New Roman" w:hAnsi="Times New Roman" w:cs="Times New Roman"/>
              </w:rPr>
              <w:t>10</w:t>
            </w:r>
          </w:p>
        </w:tc>
        <w:tc>
          <w:p w14:paraId="4FC374E8">
            <w:pPr>
              <w:pStyle w:val="24"/>
              <w:jc w:val="right"/>
              <w:rPr>
                <w:rFonts w:hint="default" w:ascii="Times New Roman" w:hAnsi="Times New Roman" w:cs="Times New Roman"/>
              </w:rPr>
            </w:pPr>
            <w:r>
              <w:rPr>
                <w:rFonts w:hint="default" w:ascii="Times New Roman" w:hAnsi="Times New Roman" w:cs="Times New Roman"/>
              </w:rPr>
              <w:t>0.279</w:t>
            </w:r>
          </w:p>
        </w:tc>
        <w:tc>
          <w:p w14:paraId="32315FD7">
            <w:pPr>
              <w:pStyle w:val="24"/>
              <w:jc w:val="right"/>
              <w:rPr>
                <w:rFonts w:hint="default" w:ascii="Times New Roman" w:hAnsi="Times New Roman" w:cs="Times New Roman"/>
              </w:rPr>
            </w:pPr>
            <w:r>
              <w:rPr>
                <w:rFonts w:hint="default" w:ascii="Times New Roman" w:hAnsi="Times New Roman" w:cs="Times New Roman"/>
              </w:rPr>
              <w:t>âˆ’0.055</w:t>
            </w:r>
          </w:p>
        </w:tc>
        <w:tc>
          <w:p w14:paraId="08650A65">
            <w:pPr>
              <w:pStyle w:val="24"/>
              <w:jc w:val="right"/>
              <w:rPr>
                <w:rFonts w:hint="default" w:ascii="Times New Roman" w:hAnsi="Times New Roman" w:cs="Times New Roman"/>
              </w:rPr>
            </w:pPr>
            <w:r>
              <w:rPr>
                <w:rFonts w:hint="default" w:ascii="Times New Roman" w:hAnsi="Times New Roman" w:cs="Times New Roman"/>
              </w:rPr>
              <w:t>42%</w:t>
            </w:r>
          </w:p>
        </w:tc>
        <w:tc>
          <w:p w14:paraId="7B2A602C">
            <w:pPr>
              <w:pStyle w:val="24"/>
              <w:jc w:val="right"/>
              <w:rPr>
                <w:rFonts w:hint="default" w:ascii="Times New Roman" w:hAnsi="Times New Roman" w:cs="Times New Roman"/>
              </w:rPr>
            </w:pPr>
            <w:r>
              <w:rPr>
                <w:rFonts w:hint="default" w:ascii="Times New Roman" w:hAnsi="Times New Roman" w:cs="Times New Roman"/>
              </w:rPr>
              <w:t>0.371</w:t>
            </w:r>
          </w:p>
        </w:tc>
        <w:tc>
          <w:p w14:paraId="68CA35C7">
            <w:pPr>
              <w:pStyle w:val="24"/>
              <w:jc w:val="right"/>
              <w:rPr>
                <w:rFonts w:hint="default" w:ascii="Times New Roman" w:hAnsi="Times New Roman" w:cs="Times New Roman"/>
              </w:rPr>
            </w:pPr>
            <w:r>
              <w:rPr>
                <w:rFonts w:hint="default" w:ascii="Times New Roman" w:hAnsi="Times New Roman" w:cs="Times New Roman"/>
              </w:rPr>
              <w:t>79%</w:t>
            </w:r>
          </w:p>
        </w:tc>
      </w:tr>
      <w:tr w14:paraId="631C3FB9">
        <w:tblPrEx>
          <w:tblCellMar>
            <w:top w:w="0" w:type="dxa"/>
            <w:left w:w="108" w:type="dxa"/>
            <w:bottom w:w="0" w:type="dxa"/>
            <w:right w:w="108" w:type="dxa"/>
          </w:tblCellMar>
        </w:tblPrEx>
        <w:tc>
          <w:p w14:paraId="5ECEE46D">
            <w:pPr>
              <w:pStyle w:val="24"/>
              <w:jc w:val="right"/>
              <w:rPr>
                <w:rFonts w:hint="default" w:ascii="Times New Roman" w:hAnsi="Times New Roman" w:cs="Times New Roman"/>
              </w:rPr>
            </w:pPr>
            <w:r>
              <w:rPr>
                <w:rFonts w:hint="default" w:ascii="Times New Roman" w:hAnsi="Times New Roman" w:cs="Times New Roman"/>
              </w:rPr>
              <w:t>20</w:t>
            </w:r>
          </w:p>
        </w:tc>
        <w:tc>
          <w:p w14:paraId="59ED078F">
            <w:pPr>
              <w:pStyle w:val="24"/>
              <w:jc w:val="right"/>
              <w:rPr>
                <w:rFonts w:hint="default" w:ascii="Times New Roman" w:hAnsi="Times New Roman" w:cs="Times New Roman"/>
              </w:rPr>
            </w:pPr>
            <w:r>
              <w:rPr>
                <w:rFonts w:hint="default" w:ascii="Times New Roman" w:hAnsi="Times New Roman" w:cs="Times New Roman"/>
              </w:rPr>
              <w:t>0.464</w:t>
            </w:r>
          </w:p>
        </w:tc>
        <w:tc>
          <w:p w14:paraId="6B67106E">
            <w:pPr>
              <w:pStyle w:val="24"/>
              <w:jc w:val="right"/>
              <w:rPr>
                <w:rFonts w:hint="default" w:ascii="Times New Roman" w:hAnsi="Times New Roman" w:cs="Times New Roman"/>
              </w:rPr>
            </w:pPr>
            <w:r>
              <w:rPr>
                <w:rFonts w:hint="default" w:ascii="Times New Roman" w:hAnsi="Times New Roman" w:cs="Times New Roman"/>
              </w:rPr>
              <w:t>âˆ’0.365</w:t>
            </w:r>
          </w:p>
        </w:tc>
        <w:tc>
          <w:p w14:paraId="757B75DA">
            <w:pPr>
              <w:pStyle w:val="24"/>
              <w:jc w:val="right"/>
              <w:rPr>
                <w:rFonts w:hint="default" w:ascii="Times New Roman" w:hAnsi="Times New Roman" w:cs="Times New Roman"/>
              </w:rPr>
            </w:pPr>
            <w:r>
              <w:rPr>
                <w:rFonts w:hint="default" w:ascii="Times New Roman" w:hAnsi="Times New Roman" w:cs="Times New Roman"/>
              </w:rPr>
              <w:t>30%</w:t>
            </w:r>
          </w:p>
        </w:tc>
        <w:tc>
          <w:p w14:paraId="3A61A9D5">
            <w:pPr>
              <w:pStyle w:val="24"/>
              <w:jc w:val="right"/>
              <w:rPr>
                <w:rFonts w:hint="default" w:ascii="Times New Roman" w:hAnsi="Times New Roman" w:cs="Times New Roman"/>
              </w:rPr>
            </w:pPr>
            <w:r>
              <w:rPr>
                <w:rFonts w:hint="default" w:ascii="Times New Roman" w:hAnsi="Times New Roman" w:cs="Times New Roman"/>
              </w:rPr>
              <w:t>0.243</w:t>
            </w:r>
          </w:p>
        </w:tc>
        <w:tc>
          <w:p w14:paraId="21421618">
            <w:pPr>
              <w:pStyle w:val="24"/>
              <w:jc w:val="right"/>
              <w:rPr>
                <w:rFonts w:hint="default" w:ascii="Times New Roman" w:hAnsi="Times New Roman" w:cs="Times New Roman"/>
              </w:rPr>
            </w:pPr>
            <w:r>
              <w:rPr>
                <w:rFonts w:hint="default" w:ascii="Times New Roman" w:hAnsi="Times New Roman" w:cs="Times New Roman"/>
              </w:rPr>
              <w:t>80%</w:t>
            </w:r>
          </w:p>
        </w:tc>
      </w:tr>
      <w:tr w14:paraId="2F50F184">
        <w:tblPrEx>
          <w:tblCellMar>
            <w:top w:w="0" w:type="dxa"/>
            <w:left w:w="108" w:type="dxa"/>
            <w:bottom w:w="0" w:type="dxa"/>
            <w:right w:w="108" w:type="dxa"/>
          </w:tblCellMar>
        </w:tblPrEx>
        <w:tc>
          <w:p w14:paraId="4B9768C0">
            <w:pPr>
              <w:pStyle w:val="24"/>
              <w:jc w:val="right"/>
              <w:rPr>
                <w:rFonts w:hint="default" w:ascii="Times New Roman" w:hAnsi="Times New Roman" w:cs="Times New Roman"/>
              </w:rPr>
            </w:pPr>
            <w:r>
              <w:rPr>
                <w:rFonts w:hint="default" w:ascii="Times New Roman" w:hAnsi="Times New Roman" w:cs="Times New Roman"/>
              </w:rPr>
              <w:t>50</w:t>
            </w:r>
          </w:p>
        </w:tc>
        <w:tc>
          <w:p w14:paraId="55FBEED5">
            <w:pPr>
              <w:pStyle w:val="24"/>
              <w:jc w:val="right"/>
              <w:rPr>
                <w:rFonts w:hint="default" w:ascii="Times New Roman" w:hAnsi="Times New Roman" w:cs="Times New Roman"/>
              </w:rPr>
            </w:pPr>
            <w:r>
              <w:rPr>
                <w:rFonts w:hint="default" w:ascii="Times New Roman" w:hAnsi="Times New Roman" w:cs="Times New Roman"/>
              </w:rPr>
              <w:t>0.634</w:t>
            </w:r>
          </w:p>
        </w:tc>
        <w:tc>
          <w:p w14:paraId="29BECBD1">
            <w:pPr>
              <w:pStyle w:val="24"/>
              <w:jc w:val="right"/>
              <w:rPr>
                <w:rFonts w:hint="default" w:ascii="Times New Roman" w:hAnsi="Times New Roman" w:cs="Times New Roman"/>
              </w:rPr>
            </w:pPr>
            <w:r>
              <w:rPr>
                <w:rFonts w:hint="default" w:ascii="Times New Roman" w:hAnsi="Times New Roman" w:cs="Times New Roman"/>
              </w:rPr>
              <w:t>âˆ’0.509</w:t>
            </w:r>
          </w:p>
        </w:tc>
        <w:tc>
          <w:p w14:paraId="20306AC8">
            <w:pPr>
              <w:pStyle w:val="24"/>
              <w:jc w:val="right"/>
              <w:rPr>
                <w:rFonts w:hint="default" w:ascii="Times New Roman" w:hAnsi="Times New Roman" w:cs="Times New Roman"/>
              </w:rPr>
            </w:pPr>
            <w:r>
              <w:rPr>
                <w:rFonts w:hint="default" w:ascii="Times New Roman" w:hAnsi="Times New Roman" w:cs="Times New Roman"/>
              </w:rPr>
              <w:t>28%</w:t>
            </w:r>
          </w:p>
        </w:tc>
        <w:tc>
          <w:p w14:paraId="60B110E3">
            <w:pPr>
              <w:pStyle w:val="24"/>
              <w:jc w:val="right"/>
              <w:rPr>
                <w:rFonts w:hint="default" w:ascii="Times New Roman" w:hAnsi="Times New Roman" w:cs="Times New Roman"/>
              </w:rPr>
            </w:pPr>
            <w:r>
              <w:rPr>
                <w:rFonts w:hint="default" w:ascii="Times New Roman" w:hAnsi="Times New Roman" w:cs="Times New Roman"/>
              </w:rPr>
              <w:t>0.195</w:t>
            </w:r>
          </w:p>
        </w:tc>
        <w:tc>
          <w:p w14:paraId="1C0BFEF4">
            <w:pPr>
              <w:pStyle w:val="24"/>
              <w:jc w:val="right"/>
              <w:rPr>
                <w:rFonts w:hint="default" w:ascii="Times New Roman" w:hAnsi="Times New Roman" w:cs="Times New Roman"/>
              </w:rPr>
            </w:pPr>
            <w:r>
              <w:rPr>
                <w:rFonts w:hint="default" w:ascii="Times New Roman" w:hAnsi="Times New Roman" w:cs="Times New Roman"/>
              </w:rPr>
              <w:t>83%</w:t>
            </w:r>
          </w:p>
        </w:tc>
      </w:tr>
    </w:tbl>
    <w:p w14:paraId="2B65C180">
      <w:pPr>
        <w:pStyle w:val="3"/>
        <w:rPr>
          <w:rFonts w:hint="default" w:ascii="Times New Roman" w:hAnsi="Times New Roman" w:cs="Times New Roman"/>
        </w:rPr>
      </w:pPr>
      <w:r>
        <w:rPr>
          <w:rFonts w:hint="default" w:ascii="Times New Roman" w:hAnsi="Times New Roman" w:cs="Times New Roman"/>
          <w:i/>
          <w:iCs/>
        </w:rPr>
        <w:t>Batteries tested: 34 at H=1, 33 at H=10, 32 at H=20, 19 at H=50 â€” see the coverage-loss discussion below for which cohorts drop out and why.</w:t>
      </w:r>
    </w:p>
    <w:p w14:paraId="5F227AF5">
      <w:pPr>
        <w:pStyle w:val="47"/>
        <w:rPr>
          <w:rFonts w:hint="default" w:ascii="Times New Roman" w:hAnsi="Times New Roman" w:cs="Times New Roman"/>
        </w:rPr>
      </w:pPr>
      <w:r>
        <w:rPr>
          <w:rFonts w:hint="default" w:ascii="Times New Roman" w:hAnsi="Times New Roman" w:cs="Times New Roman"/>
        </w:rPr>
        <w:drawing>
          <wp:inline distT="0" distB="0" distL="114300" distR="114300">
            <wp:extent cx="5334000" cy="3111500"/>
            <wp:effectExtent l="0" t="0" r="0" b="0"/>
            <wp:docPr id="31" name="Picture" descr="Figure 3: longer horizons – rank signal improves, calibrated RÂ² doe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 3: longer horizons – rank signal improves, calibrated RÂ² does not"/>
                    <pic:cNvPicPr>
                      <a:picLocks noChangeAspect="1" noChangeArrowheads="1"/>
                    </pic:cNvPicPr>
                  </pic:nvPicPr>
                  <pic:blipFill>
                    <a:blip r:embed="rId7"/>
                    <a:stretch>
                      <a:fillRect/>
                    </a:stretch>
                  </pic:blipFill>
                  <pic:spPr>
                    <a:xfrm>
                      <a:off x="0" y="0"/>
                      <a:ext cx="5334000" cy="3111500"/>
                    </a:xfrm>
                    <a:prstGeom prst="rect">
                      <a:avLst/>
                    </a:prstGeom>
                    <a:noFill/>
                    <a:ln w="9525">
                      <a:noFill/>
                    </a:ln>
                  </pic:spPr>
                </pic:pic>
              </a:graphicData>
            </a:graphic>
          </wp:inline>
        </w:drawing>
      </w:r>
    </w:p>
    <w:p w14:paraId="7FFCAE85">
      <w:pPr>
        <w:pStyle w:val="45"/>
        <w:rPr>
          <w:rFonts w:hint="default" w:ascii="Times New Roman" w:hAnsi="Times New Roman" w:cs="Times New Roman"/>
        </w:rPr>
      </w:pPr>
      <w:r>
        <w:rPr>
          <w:rFonts w:hint="default" w:ascii="Times New Roman" w:hAnsi="Times New Roman" w:cs="Times New Roman"/>
        </w:rPr>
        <w:t>Figure 3: longer horizons – rank signal improves, calibrated RÂ² does not</w:t>
      </w:r>
    </w:p>
    <w:p w14:paraId="51DC9F7A">
      <w:pPr>
        <w:pStyle w:val="3"/>
        <w:rPr>
          <w:rFonts w:hint="default" w:ascii="Times New Roman" w:hAnsi="Times New Roman" w:cs="Times New Roman"/>
        </w:rPr>
      </w:pPr>
      <w:r>
        <w:rPr>
          <w:rFonts w:hint="default" w:ascii="Times New Roman" w:hAnsi="Times New Roman" w:cs="Times New Roman"/>
        </w:rPr>
        <w:t>Two findings, and they point in different directions:</w:t>
      </w:r>
    </w:p>
    <w:p w14:paraId="0EF6F789">
      <w:pPr>
        <w:pStyle w:val="24"/>
        <w:numPr>
          <w:ilvl w:val="0"/>
          <w:numId w:val="2"/>
        </w:numPr>
        <w:rPr>
          <w:rFonts w:hint="default" w:ascii="Times New Roman" w:hAnsi="Times New Roman" w:cs="Times New Roman"/>
        </w:rPr>
      </w:pPr>
      <w:r>
        <w:rPr>
          <w:rFonts w:hint="default" w:ascii="Times New Roman" w:hAnsi="Times New Roman" w:cs="Times New Roman"/>
          <w:b/>
          <w:bCs/>
        </w:rPr>
        <w:t>Rank correlation genuinely improves and generalizes better</w:t>
      </w:r>
      <w:r>
        <w:rPr>
          <w:rFonts w:hint="default" w:ascii="Times New Roman" w:hAnsi="Times New Roman" w:cs="Times New Roman"/>
        </w:rPr>
        <w:t xml:space="preserve"> with horizon: median Spearman Ï roughly triples from H=1 to H=10, and the fraction of held-out batteries with the </w:t>
      </w:r>
      <w:r>
        <w:rPr>
          <w:rFonts w:hint="default" w:ascii="Times New Roman" w:hAnsi="Times New Roman" w:cs="Times New Roman"/>
          <w:i/>
          <w:iCs/>
        </w:rPr>
        <w:t>correct-direction</w:t>
      </w:r>
      <w:r>
        <w:rPr>
          <w:rFonts w:hint="default" w:ascii="Times New Roman" w:hAnsi="Times New Roman" w:cs="Times New Roman"/>
        </w:rPr>
        <w:t xml:space="preserve"> prediction rises from 67% to 79â€“83%. This is consistent with the noise-averaging hypothesis and is a real, if modest, positive result â€” the model gets </w:t>
      </w:r>
      <w:r>
        <w:rPr>
          <w:rFonts w:hint="default" w:ascii="Times New Roman" w:hAnsi="Times New Roman" w:cs="Times New Roman"/>
          <w:i/>
          <w:iCs/>
        </w:rPr>
        <w:t>which batteries are degrading faster</w:t>
      </w:r>
      <w:r>
        <w:rPr>
          <w:rFonts w:hint="default" w:ascii="Times New Roman" w:hAnsi="Times New Roman" w:cs="Times New Roman"/>
        </w:rPr>
        <w:t xml:space="preserve"> more right at longer horizons.</w:t>
      </w:r>
    </w:p>
    <w:p w14:paraId="7E37D2B7">
      <w:pPr>
        <w:pStyle w:val="24"/>
        <w:numPr>
          <w:ilvl w:val="0"/>
          <w:numId w:val="2"/>
        </w:numPr>
        <w:rPr>
          <w:rFonts w:hint="default" w:ascii="Times New Roman" w:hAnsi="Times New Roman" w:cs="Times New Roman"/>
        </w:rPr>
      </w:pPr>
      <w:r>
        <w:rPr>
          <w:rFonts w:hint="default" w:ascii="Times New Roman" w:hAnsi="Times New Roman" w:cs="Times New Roman"/>
          <w:b/>
          <w:bCs/>
        </w:rPr>
        <w:t>RÂ² vs. each battery’s own mean does not improve â€” it gets worse.</w:t>
      </w:r>
      <w:r>
        <w:rPr>
          <w:rFonts w:hint="default" w:ascii="Times New Roman" w:hAnsi="Times New Roman" w:cs="Times New Roman"/>
        </w:rPr>
        <w:t xml:space="preserve"> In-sample RÂ² climbing to 0.63 is not evidence the model is 40x better; it’s what happens when cohort dummies increasingly absorb a target whose magnitude scales with horizon, which is a mechanical effect of cumulative sums, not a sign the temperature slope became more informative out-of-sample. The out-of-sample number that matters gets worse. (An early run reported </w:t>
      </w:r>
      <w:r>
        <w:rPr>
          <w:rFonts w:hint="default" w:ascii="Times New Roman" w:hAnsi="Times New Roman" w:cs="Times New Roman"/>
          <w:i/>
          <w:iCs/>
        </w:rPr>
        <w:t>mean</w:t>
      </w:r>
      <w:r>
        <w:rPr>
          <w:rFonts w:hint="default" w:ascii="Times New Roman" w:hAnsi="Times New Roman" w:cs="Times New Roman"/>
        </w:rPr>
        <w:t xml:space="preserve"> RÂ² of âˆ’24 at H=50 â€” that number is real but is an artifact of a few near-flat-trajectory batteries with SS_tot â‰ˆ 0, where any real error explodes into an arbitrarily large negative RÂ² and dominates a mean across 18-19 batteries; e.g. B0041 alone scores âˆ’402 at H=50. Median is the number to read, and it also gets worse with horizon, just far less dramatically.)</w:t>
      </w:r>
    </w:p>
    <w:p w14:paraId="23C45D3C">
      <w:pPr>
        <w:pStyle w:val="23"/>
        <w:rPr>
          <w:rFonts w:hint="default" w:ascii="Times New Roman" w:hAnsi="Times New Roman" w:cs="Times New Roman"/>
        </w:rPr>
      </w:pPr>
      <w:r>
        <w:rPr>
          <w:rFonts w:hint="default" w:ascii="Times New Roman" w:hAnsi="Times New Roman" w:cs="Times New Roman"/>
        </w:rPr>
        <w:t>A confound this experiment cannot rule out: horizon and sample size move together. At H=50, four of nine cohorts (15 of 34 batteries) are excluded outright because no cell in them survives 50 more cycles, so the H=50 row is not a controlled comparison against H=1 â€” it’s a smaller, longer-lived- battery-skewed sample. The RÂ² degradation could partly be that smaller, noisier cross-validation folds are inherently less stable, not purely a horizon effect. This should be checked by holding cohort composition fixed before drawing a strong conclusion.</w:t>
      </w:r>
    </w:p>
    <w:p w14:paraId="4422665F">
      <w:pPr>
        <w:pStyle w:val="3"/>
        <w:rPr>
          <w:rFonts w:hint="default" w:ascii="Times New Roman" w:hAnsi="Times New Roman" w:cs="Times New Roman"/>
        </w:rPr>
      </w:pPr>
      <w:r>
        <w:rPr>
          <w:rFonts w:hint="default" w:ascii="Times New Roman" w:hAnsi="Times New Roman" w:cs="Times New Roman"/>
          <w:b/>
          <w:bCs/>
        </w:rPr>
        <w:t>Verdict:</w:t>
      </w:r>
      <w:r>
        <w:rPr>
          <w:rFonts w:hint="default" w:ascii="Times New Roman" w:hAnsi="Times New Roman" w:cs="Times New Roman"/>
        </w:rPr>
        <w:t xml:space="preserve"> the longer-horizon hypothesis was worth testing cheaply and was tested cheaply â€” but it does not resolve Section 4.3’s core finding. The fitted model is still not a usable quantitative predictor (RÂ² against a naive baseline is still negative, and now more negative than before). What it adds is evidence that the temperature signal has real, generalizing </w:t>
      </w:r>
      <w:r>
        <w:rPr>
          <w:rFonts w:hint="default" w:ascii="Times New Roman" w:hAnsi="Times New Roman" w:cs="Times New Roman"/>
          <w:i/>
          <w:iCs/>
        </w:rPr>
        <w:t>directional</w:t>
      </w:r>
      <w:r>
        <w:rPr>
          <w:rFonts w:hint="default" w:ascii="Times New Roman" w:hAnsi="Times New Roman" w:cs="Times New Roman"/>
        </w:rPr>
        <w:t xml:space="preserve"> information that a single-cycle regression target was too noisy to expose â€” which argues for the per-battery random-effects model in Section 6 (future item 2, second half â€” not yet done) rather than for longer horizons on the current fixed-cohort-intercept model. Reusing fixed cohort dummies at longer horizons appears to make the intercept mismatch problem worse, not better, as cumulative-loss magnitude diverges further between an unseen battery and its cohort-mates.</w:t>
      </w:r>
    </w:p>
    <w:bookmarkEnd w:id="16"/>
    <w:p w14:paraId="013A76F4">
      <w:pPr>
        <w:pStyle w:val="5"/>
        <w:rPr>
          <w:rFonts w:hint="default" w:ascii="Times New Roman" w:hAnsi="Times New Roman" w:cs="Times New Roman"/>
        </w:rPr>
      </w:pPr>
      <w:bookmarkStart w:id="17" w:name="X442d66697a6f04daea3234a4b8c67dbce0daeaf"/>
      <w:r>
        <w:rPr>
          <w:rFonts w:hint="default" w:ascii="Times New Roman" w:hAnsi="Times New Roman" w:cs="Times New Roman"/>
        </w:rPr>
        <w:t>4.6 Mixed-effects model: closed by a data limit, not a modeling failure (Level 3c)</w:t>
      </w:r>
    </w:p>
    <w:p w14:paraId="2E175355">
      <w:pPr>
        <w:pStyle w:val="23"/>
        <w:rPr>
          <w:rFonts w:hint="default" w:ascii="Times New Roman" w:hAnsi="Times New Roman" w:cs="Times New Roman"/>
        </w:rPr>
      </w:pPr>
      <w:r>
        <w:rPr>
          <w:rFonts w:hint="default" w:ascii="Times New Roman" w:hAnsi="Times New Roman" w:cs="Times New Roman"/>
        </w:rPr>
        <w:t>Section 4.5 pointed at a specific culprit for why RÂ² doesn’t improve with horizon: the fixed cohort intercept (9 dummies) is too coarse and generalizes poorly to a held-out battery. The direct fix from mixed-model theory is a per-battery random intercept nested within the cohort fixed effect. This was attempted (</w:t>
      </w:r>
      <w:r>
        <w:rPr>
          <w:rStyle w:val="48"/>
          <w:rFonts w:hint="default" w:ascii="Times New Roman" w:hAnsi="Times New Roman" w:cs="Times New Roman"/>
        </w:rPr>
        <w:t>scripts/fit_mixed_effects_model.py</w:t>
      </w:r>
      <w:r>
        <w:rPr>
          <w:rFonts w:hint="default" w:ascii="Times New Roman" w:hAnsi="Times New Roman" w:cs="Times New Roman"/>
        </w:rPr>
        <w:t>) and is closed for a specific, checkable reason rather than resolved either way.</w:t>
      </w:r>
    </w:p>
    <w:p w14:paraId="67DEB689">
      <w:pPr>
        <w:pStyle w:val="3"/>
        <w:rPr>
          <w:rFonts w:hint="default" w:ascii="Times New Roman" w:hAnsi="Times New Roman" w:cs="Times New Roman"/>
        </w:rPr>
      </w:pPr>
      <w:r>
        <w:rPr>
          <w:rFonts w:hint="default" w:ascii="Times New Roman" w:hAnsi="Times New Roman" w:cs="Times New Roman"/>
        </w:rPr>
        <w:t>Two things worth separating, because only one of them is a data problem:</w:t>
      </w:r>
    </w:p>
    <w:p w14:paraId="7D8DAEEF">
      <w:pPr>
        <w:pStyle w:val="24"/>
        <w:numPr>
          <w:ilvl w:val="0"/>
          <w:numId w:val="2"/>
        </w:numPr>
        <w:rPr>
          <w:rFonts w:hint="default" w:ascii="Times New Roman" w:hAnsi="Times New Roman" w:cs="Times New Roman"/>
        </w:rPr>
      </w:pPr>
      <w:r>
        <w:rPr>
          <w:rFonts w:hint="default" w:ascii="Times New Roman" w:hAnsi="Times New Roman" w:cs="Times New Roman"/>
          <w:b/>
          <w:bCs/>
        </w:rPr>
        <w:t>Structural limit, true regardless of data size.</w:t>
      </w:r>
      <w:r>
        <w:rPr>
          <w:rFonts w:hint="default" w:ascii="Times New Roman" w:hAnsi="Times New Roman" w:cs="Times New Roman"/>
        </w:rPr>
        <w:t xml:space="preserve"> Under leave-one-battery-out validation the held-out battery contributes zero training rows, so its random intercept is unestimable by definition â€” there’s nothing to condition it on. The only prediction available for a genuinely unseen battery is the population-level fixed effects, which is structurally identical in form to the plain OLS model in Section 4.3. A mixed model can only help LOBO performance </w:t>
      </w:r>
      <w:r>
        <w:rPr>
          <w:rFonts w:hint="default" w:ascii="Times New Roman" w:hAnsi="Times New Roman" w:cs="Times New Roman"/>
          <w:i/>
          <w:iCs/>
        </w:rPr>
        <w:t>indirectly</w:t>
      </w:r>
      <w:r>
        <w:rPr>
          <w:rFonts w:hint="default" w:ascii="Times New Roman" w:hAnsi="Times New Roman" w:cs="Times New Roman"/>
        </w:rPr>
        <w:t>, via better-calibrated fixed effects from correctly modeling within-battery autocorrelation during training (plain OLS treats every cycle-row as an independent observation, which it isn’t).</w:t>
      </w:r>
    </w:p>
    <w:p w14:paraId="627EE5A2">
      <w:pPr>
        <w:pStyle w:val="24"/>
        <w:numPr>
          <w:ilvl w:val="0"/>
          <w:numId w:val="2"/>
        </w:numPr>
        <w:rPr>
          <w:rFonts w:hint="default" w:ascii="Times New Roman" w:hAnsi="Times New Roman" w:cs="Times New Roman"/>
        </w:rPr>
      </w:pPr>
      <w:r>
        <w:rPr>
          <w:rFonts w:hint="default" w:ascii="Times New Roman" w:hAnsi="Times New Roman" w:cs="Times New Roman"/>
          <w:b/>
          <w:bCs/>
        </w:rPr>
        <w:t>That indirect benefit isn’t estimable here.</w:t>
      </w:r>
      <w:r>
        <w:rPr>
          <w:rFonts w:hint="default" w:ascii="Times New Roman" w:hAnsi="Times New Roman" w:cs="Times New Roman"/>
        </w:rPr>
        <w:t xml:space="preserve"> Four specifications were tried (battery random intercept with three different optimizers; battery random intercept nested within the cohort fixed effect via a variance component). The random-effect variance estimate is either pinned to the boundary (~1e-9, i.e. the model degenerates to the existing OLS fit and gains nothing) or swings to a non-trivial value (0.017) on an optimizer that fails to converge â€” the signature of a likelihood surface that can’t identify the parameter from this data, not evidence of a genuine near-zero effect. The reason is visible directly in the data: every one of the 9 cohorts has exactly 3-4 batteries. That’s too few to separate a battery-level variance component from cohort and residual variance.</w:t>
      </w:r>
    </w:p>
    <w:p w14:paraId="742DE8A7">
      <w:pPr>
        <w:pStyle w:val="23"/>
        <w:rPr>
          <w:rFonts w:hint="default" w:ascii="Times New Roman" w:hAnsi="Times New Roman" w:cs="Times New Roman"/>
        </w:rPr>
      </w:pPr>
      <w:r>
        <w:rPr>
          <w:rFonts w:hint="default" w:ascii="Times New Roman" w:hAnsi="Times New Roman" w:cs="Times New Roman"/>
          <w:b/>
          <w:bCs/>
        </w:rPr>
        <w:t>Full LOBO cross-validation of the mixed model was deliberately not run.</w:t>
      </w:r>
      <w:r>
        <w:rPr>
          <w:rFonts w:hint="default" w:ascii="Times New Roman" w:hAnsi="Times New Roman" w:cs="Times New Roman"/>
        </w:rPr>
        <w:t xml:space="preserve"> With an unidentified variance component, the LOBO number would depend on which optimizer happened to be called, which is not a result â€” it would be reporting whichever number the optimizer’s initialization landed on. Running it would have looked more thorough without being more informative.</w:t>
      </w:r>
    </w:p>
    <w:p w14:paraId="0814F2DD">
      <w:pPr>
        <w:pStyle w:val="3"/>
        <w:rPr>
          <w:rFonts w:hint="default" w:ascii="Times New Roman" w:hAnsi="Times New Roman" w:cs="Times New Roman"/>
        </w:rPr>
      </w:pPr>
      <w:r>
        <w:rPr>
          <w:rFonts w:hint="default" w:ascii="Times New Roman" w:hAnsi="Times New Roman" w:cs="Times New Roman"/>
          <w:b/>
          <w:bCs/>
        </w:rPr>
        <w:t>What this closes and what it reopens.</w:t>
      </w:r>
      <w:r>
        <w:rPr>
          <w:rFonts w:hint="default" w:ascii="Times New Roman" w:hAnsi="Times New Roman" w:cs="Times New Roman"/>
        </w:rPr>
        <w:t xml:space="preserve"> It closes the “try a more flexible model on the current data” line â€” that’s now been tried at two levels (fixed cohort-intercept regression, mixed-effects) with a real, diagnosed reason further attempts on </w:t>
      </w:r>
      <w:r>
        <w:rPr>
          <w:rFonts w:hint="default" w:ascii="Times New Roman" w:hAnsi="Times New Roman" w:cs="Times New Roman"/>
          <w:i/>
          <w:iCs/>
        </w:rPr>
        <w:t>this</w:t>
      </w:r>
      <w:r>
        <w:rPr>
          <w:rFonts w:hint="default" w:ascii="Times New Roman" w:hAnsi="Times New Roman" w:cs="Times New Roman"/>
        </w:rPr>
        <w:t xml:space="preserve"> NASA subset won’t help. It reopens Section 5’s existing “single dataset” limitation with a sharper, numeric version: a future dataset needs roughly 8-10+ batteries per protocol cohort, not 3-4, if a random-effects approach is the goal â€” a concrete acceptance criterion for dataset selection rather than “more data would help,” which is worth having when evaluating Stanford/Severson or CALCE CS2/CX2 as the next dataset.</w:t>
      </w:r>
    </w:p>
    <w:bookmarkEnd w:id="17"/>
    <w:p w14:paraId="70F1C7D5">
      <w:pPr>
        <w:pStyle w:val="5"/>
        <w:rPr>
          <w:rFonts w:hint="default" w:ascii="Times New Roman" w:hAnsi="Times New Roman" w:cs="Times New Roman"/>
        </w:rPr>
      </w:pPr>
      <w:bookmarkStart w:id="18" w:name="X9058298d46916c035b7ee975cd150eaefef7e91"/>
      <w:r>
        <w:rPr>
          <w:rFonts w:hint="default" w:ascii="Times New Roman" w:hAnsi="Times New Roman" w:cs="Times New Roman"/>
        </w:rPr>
        <w:t>4.7 Threshold reachability: most of the score is a constant (Level 4)</w:t>
      </w:r>
    </w:p>
    <w:p w14:paraId="31B966AE">
      <w:pPr>
        <w:pStyle w:val="23"/>
        <w:rPr>
          <w:rFonts w:hint="default" w:ascii="Times New Roman" w:hAnsi="Times New Roman" w:cs="Times New Roman"/>
        </w:rPr>
      </w:pPr>
      <w:r>
        <w:rPr>
          <w:rFonts w:hint="default" w:ascii="Times New Roman" w:hAnsi="Times New Roman" w:cs="Times New Roman"/>
        </w:rPr>
        <w:t xml:space="preserve">Sections 4.1â€“4.3 established that the heuristic scores do not correlate with measured fade. They did not explain </w:t>
      </w:r>
      <w:r>
        <w:rPr>
          <w:rFonts w:hint="default" w:ascii="Times New Roman" w:hAnsi="Times New Roman" w:cs="Times New Roman"/>
          <w:i/>
          <w:iCs/>
        </w:rPr>
        <w:t>why</w:t>
      </w:r>
      <w:r>
        <w:rPr>
          <w:rFonts w:hint="default" w:ascii="Times New Roman" w:hAnsi="Times New Roman" w:cs="Times New Roman"/>
        </w:rPr>
        <w:t>. Extracting the score terms into shared, auditable specifications (Section 4.9) made that question answerable, and the answer is mechanical rather than conceptual.</w:t>
      </w:r>
    </w:p>
    <w:p w14:paraId="2283CD0F">
      <w:pPr>
        <w:pStyle w:val="3"/>
        <w:rPr>
          <w:rFonts w:hint="default" w:ascii="Times New Roman" w:hAnsi="Times New Roman" w:cs="Times New Roman"/>
        </w:rPr>
      </w:pPr>
      <w:r>
        <w:rPr>
          <w:rStyle w:val="48"/>
          <w:rFonts w:hint="default" w:ascii="Times New Roman" w:hAnsi="Times New Roman" w:cs="Times New Roman"/>
        </w:rPr>
        <w:t>scripts/audit_threshold_reachability.py</w:t>
      </w:r>
      <w:r>
        <w:rPr>
          <w:rFonts w:hint="default" w:ascii="Times New Roman" w:hAnsi="Times New Roman" w:cs="Times New Roman"/>
        </w:rPr>
        <w:t xml:space="preserve"> compares each term’s hand-chosen cut points against the range its input feature actually occupies in the 2,682 cycle-level NASA observations:</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1EF622BB">
        <w:tblPrEx>
          <w:tblCellMar>
            <w:top w:w="0" w:type="dxa"/>
            <w:left w:w="108" w:type="dxa"/>
            <w:bottom w:w="0" w:type="dxa"/>
            <w:right w:w="108" w:type="dxa"/>
          </w:tblCellMar>
        </w:tblPrEx>
        <w:trPr>
          <w:tblHeader/>
        </w:trPr>
        <w:tc>
          <w:p w14:paraId="3D4246C0">
            <w:pPr>
              <w:pStyle w:val="24"/>
              <w:rPr>
                <w:rFonts w:hint="default" w:ascii="Times New Roman" w:hAnsi="Times New Roman" w:cs="Times New Roman"/>
              </w:rPr>
            </w:pPr>
            <w:r>
              <w:rPr>
                <w:rFonts w:hint="default" w:ascii="Times New Roman" w:hAnsi="Times New Roman" w:cs="Times New Roman"/>
              </w:rPr>
              <w:t>Term</w:t>
            </w:r>
          </w:p>
        </w:tc>
        <w:tc>
          <w:p w14:paraId="2855FF88">
            <w:pPr>
              <w:pStyle w:val="24"/>
              <w:rPr>
                <w:rFonts w:hint="default" w:ascii="Times New Roman" w:hAnsi="Times New Roman" w:cs="Times New Roman"/>
              </w:rPr>
            </w:pPr>
            <w:r>
              <w:rPr>
                <w:rFonts w:hint="default" w:ascii="Times New Roman" w:hAnsi="Times New Roman" w:cs="Times New Roman"/>
              </w:rPr>
              <w:t>Feature</w:t>
            </w:r>
          </w:p>
        </w:tc>
        <w:tc>
          <w:p w14:paraId="204D9693">
            <w:pPr>
              <w:pStyle w:val="24"/>
              <w:rPr>
                <w:rFonts w:hint="default" w:ascii="Times New Roman" w:hAnsi="Times New Roman" w:cs="Times New Roman"/>
              </w:rPr>
            </w:pPr>
            <w:r>
              <w:rPr>
                <w:rFonts w:hint="default" w:ascii="Times New Roman" w:hAnsi="Times New Roman" w:cs="Times New Roman"/>
              </w:rPr>
              <w:t>Observed range</w:t>
            </w:r>
          </w:p>
        </w:tc>
        <w:tc>
          <w:p w14:paraId="48C6C7C5">
            <w:pPr>
              <w:pStyle w:val="24"/>
              <w:rPr>
                <w:rFonts w:hint="default" w:ascii="Times New Roman" w:hAnsi="Times New Roman" w:cs="Times New Roman"/>
              </w:rPr>
            </w:pPr>
            <w:r>
              <w:rPr>
                <w:rFonts w:hint="default" w:ascii="Times New Roman" w:hAnsi="Times New Roman" w:cs="Times New Roman"/>
              </w:rPr>
              <w:t>Bands at</w:t>
            </w:r>
          </w:p>
        </w:tc>
        <w:tc>
          <w:p w14:paraId="76D42661">
            <w:pPr>
              <w:pStyle w:val="24"/>
              <w:rPr>
                <w:rFonts w:hint="default" w:ascii="Times New Roman" w:hAnsi="Times New Roman" w:cs="Times New Roman"/>
              </w:rPr>
            </w:pPr>
            <w:r>
              <w:rPr>
                <w:rFonts w:hint="default" w:ascii="Times New Roman" w:hAnsi="Times New Roman" w:cs="Times New Roman"/>
              </w:rPr>
              <w:t>Status</w:t>
            </w:r>
          </w:p>
        </w:tc>
      </w:tr>
      <w:tr w14:paraId="6F086C08">
        <w:tblPrEx>
          <w:tblCellMar>
            <w:top w:w="0" w:type="dxa"/>
            <w:left w:w="108" w:type="dxa"/>
            <w:bottom w:w="0" w:type="dxa"/>
            <w:right w:w="108" w:type="dxa"/>
          </w:tblCellMar>
        </w:tblPrEx>
        <w:tc>
          <w:p w14:paraId="158D1DCB">
            <w:pPr>
              <w:pStyle w:val="24"/>
              <w:rPr>
                <w:rFonts w:hint="default" w:ascii="Times New Roman" w:hAnsi="Times New Roman" w:cs="Times New Roman"/>
              </w:rPr>
            </w:pPr>
            <w:r>
              <w:rPr>
                <w:rFonts w:hint="default" w:ascii="Times New Roman" w:hAnsi="Times New Roman" w:cs="Times New Roman"/>
              </w:rPr>
              <w:t>stress</w:t>
            </w:r>
          </w:p>
        </w:tc>
        <w:tc>
          <w:p w14:paraId="6AF319B5">
            <w:pPr>
              <w:pStyle w:val="24"/>
              <w:rPr>
                <w:rFonts w:hint="default" w:ascii="Times New Roman" w:hAnsi="Times New Roman" w:cs="Times New Roman"/>
              </w:rPr>
            </w:pPr>
            <w:r>
              <w:rPr>
                <w:rStyle w:val="48"/>
                <w:rFonts w:hint="default" w:ascii="Times New Roman" w:hAnsi="Times New Roman" w:cs="Times New Roman"/>
              </w:rPr>
              <w:t>avg_stress</w:t>
            </w:r>
          </w:p>
        </w:tc>
        <w:tc>
          <w:p w14:paraId="12214ADF">
            <w:pPr>
              <w:pStyle w:val="24"/>
              <w:rPr>
                <w:rFonts w:hint="default" w:ascii="Times New Roman" w:hAnsi="Times New Roman" w:cs="Times New Roman"/>
              </w:rPr>
            </w:pPr>
            <w:r>
              <w:rPr>
                <w:rFonts w:hint="default" w:ascii="Times New Roman" w:hAnsi="Times New Roman" w:cs="Times New Roman"/>
              </w:rPr>
              <w:t>1.71 â€“ 33.38</w:t>
            </w:r>
          </w:p>
        </w:tc>
        <w:tc>
          <w:p w14:paraId="5CFC5870">
            <w:pPr>
              <w:pStyle w:val="24"/>
              <w:rPr>
                <w:rFonts w:hint="default" w:ascii="Times New Roman" w:hAnsi="Times New Roman" w:cs="Times New Roman"/>
              </w:rPr>
            </w:pPr>
            <w:r>
              <w:rPr>
                <w:rFonts w:hint="default" w:ascii="Times New Roman" w:hAnsi="Times New Roman" w:cs="Times New Roman"/>
              </w:rPr>
              <w:t>50, 70</w:t>
            </w:r>
          </w:p>
        </w:tc>
        <w:tc>
          <w:p w14:paraId="69745678">
            <w:pPr>
              <w:pStyle w:val="24"/>
              <w:rPr>
                <w:rFonts w:hint="default" w:ascii="Times New Roman" w:hAnsi="Times New Roman" w:cs="Times New Roman"/>
              </w:rPr>
            </w:pPr>
            <w:r>
              <w:rPr>
                <w:rFonts w:hint="default" w:ascii="Times New Roman" w:hAnsi="Times New Roman" w:cs="Times New Roman"/>
                <w:b/>
                <w:bCs/>
              </w:rPr>
              <w:t>DEGENERATE</w:t>
            </w:r>
          </w:p>
        </w:tc>
      </w:tr>
      <w:tr w14:paraId="472F30D3">
        <w:tblPrEx>
          <w:tblCellMar>
            <w:top w:w="0" w:type="dxa"/>
            <w:left w:w="108" w:type="dxa"/>
            <w:bottom w:w="0" w:type="dxa"/>
            <w:right w:w="108" w:type="dxa"/>
          </w:tblCellMar>
        </w:tblPrEx>
        <w:tc>
          <w:p w14:paraId="5DC5CAEF">
            <w:pPr>
              <w:pStyle w:val="24"/>
              <w:rPr>
                <w:rFonts w:hint="default" w:ascii="Times New Roman" w:hAnsi="Times New Roman" w:cs="Times New Roman"/>
              </w:rPr>
            </w:pPr>
            <w:r>
              <w:rPr>
                <w:rFonts w:hint="default" w:ascii="Times New Roman" w:hAnsi="Times New Roman" w:cs="Times New Roman"/>
              </w:rPr>
              <w:t>fast charge</w:t>
            </w:r>
          </w:p>
        </w:tc>
        <w:tc>
          <w:p w14:paraId="1BE72B49">
            <w:pPr>
              <w:pStyle w:val="24"/>
              <w:rPr>
                <w:rFonts w:hint="default" w:ascii="Times New Roman" w:hAnsi="Times New Roman" w:cs="Times New Roman"/>
              </w:rPr>
            </w:pPr>
            <w:r>
              <w:rPr>
                <w:rStyle w:val="48"/>
                <w:rFonts w:hint="default" w:ascii="Times New Roman" w:hAnsi="Times New Roman" w:cs="Times New Roman"/>
              </w:rPr>
              <w:t>fast_charge_duration</w:t>
            </w:r>
          </w:p>
        </w:tc>
        <w:tc>
          <w:p w14:paraId="2FC590FC">
            <w:pPr>
              <w:pStyle w:val="24"/>
              <w:rPr>
                <w:rFonts w:hint="default" w:ascii="Times New Roman" w:hAnsi="Times New Roman" w:cs="Times New Roman"/>
              </w:rPr>
            </w:pPr>
            <w:r>
              <w:rPr>
                <w:rFonts w:hint="default" w:ascii="Times New Roman" w:hAnsi="Times New Roman" w:cs="Times New Roman"/>
              </w:rPr>
              <w:t>0.00 â€“ 0.00</w:t>
            </w:r>
          </w:p>
        </w:tc>
        <w:tc>
          <w:p w14:paraId="23B8B03D">
            <w:pPr>
              <w:pStyle w:val="24"/>
              <w:rPr>
                <w:rFonts w:hint="default" w:ascii="Times New Roman" w:hAnsi="Times New Roman" w:cs="Times New Roman"/>
              </w:rPr>
            </w:pPr>
            <w:r>
              <w:rPr>
                <w:rFonts w:hint="default" w:ascii="Times New Roman" w:hAnsi="Times New Roman" w:cs="Times New Roman"/>
              </w:rPr>
              <w:t>20, 100</w:t>
            </w:r>
          </w:p>
        </w:tc>
        <w:tc>
          <w:p w14:paraId="23BDA8AC">
            <w:pPr>
              <w:pStyle w:val="24"/>
              <w:rPr>
                <w:rFonts w:hint="default" w:ascii="Times New Roman" w:hAnsi="Times New Roman" w:cs="Times New Roman"/>
              </w:rPr>
            </w:pPr>
            <w:r>
              <w:rPr>
                <w:rFonts w:hint="default" w:ascii="Times New Roman" w:hAnsi="Times New Roman" w:cs="Times New Roman"/>
                <w:b/>
                <w:bCs/>
              </w:rPr>
              <w:t>DEGENERATE</w:t>
            </w:r>
          </w:p>
        </w:tc>
      </w:tr>
      <w:tr w14:paraId="54070D9E">
        <w:tblPrEx>
          <w:tblCellMar>
            <w:top w:w="0" w:type="dxa"/>
            <w:left w:w="108" w:type="dxa"/>
            <w:bottom w:w="0" w:type="dxa"/>
            <w:right w:w="108" w:type="dxa"/>
          </w:tblCellMar>
        </w:tblPrEx>
        <w:tc>
          <w:p w14:paraId="15252065">
            <w:pPr>
              <w:pStyle w:val="24"/>
              <w:rPr>
                <w:rFonts w:hint="default" w:ascii="Times New Roman" w:hAnsi="Times New Roman" w:cs="Times New Roman"/>
              </w:rPr>
            </w:pPr>
            <w:r>
              <w:rPr>
                <w:rFonts w:hint="default" w:ascii="Times New Roman" w:hAnsi="Times New Roman" w:cs="Times New Roman"/>
              </w:rPr>
              <w:t>deep discharge</w:t>
            </w:r>
          </w:p>
        </w:tc>
        <w:tc>
          <w:p w14:paraId="349388BE">
            <w:pPr>
              <w:pStyle w:val="24"/>
              <w:rPr>
                <w:rFonts w:hint="default" w:ascii="Times New Roman" w:hAnsi="Times New Roman" w:cs="Times New Roman"/>
              </w:rPr>
            </w:pPr>
            <w:r>
              <w:rPr>
                <w:rStyle w:val="48"/>
                <w:rFonts w:hint="default" w:ascii="Times New Roman" w:hAnsi="Times New Roman" w:cs="Times New Roman"/>
              </w:rPr>
              <w:t>deep_discharge_duration</w:t>
            </w:r>
          </w:p>
        </w:tc>
        <w:tc>
          <w:p w14:paraId="58A651A5">
            <w:pPr>
              <w:pStyle w:val="24"/>
              <w:rPr>
                <w:rFonts w:hint="default" w:ascii="Times New Roman" w:hAnsi="Times New Roman" w:cs="Times New Roman"/>
              </w:rPr>
            </w:pPr>
            <w:r>
              <w:rPr>
                <w:rFonts w:hint="default" w:ascii="Times New Roman" w:hAnsi="Times New Roman" w:cs="Times New Roman"/>
              </w:rPr>
              <w:t>77 â€“ 3,768</w:t>
            </w:r>
          </w:p>
        </w:tc>
        <w:tc>
          <w:p w14:paraId="7D26BE41">
            <w:pPr>
              <w:pStyle w:val="24"/>
              <w:rPr>
                <w:rFonts w:hint="default" w:ascii="Times New Roman" w:hAnsi="Times New Roman" w:cs="Times New Roman"/>
              </w:rPr>
            </w:pPr>
            <w:r>
              <w:rPr>
                <w:rFonts w:hint="default" w:ascii="Times New Roman" w:hAnsi="Times New Roman" w:cs="Times New Roman"/>
              </w:rPr>
              <w:t>20, 100</w:t>
            </w:r>
          </w:p>
        </w:tc>
        <w:tc>
          <w:p w14:paraId="1CA3174F">
            <w:pPr>
              <w:pStyle w:val="24"/>
              <w:rPr>
                <w:rFonts w:hint="default" w:ascii="Times New Roman" w:hAnsi="Times New Roman" w:cs="Times New Roman"/>
              </w:rPr>
            </w:pPr>
            <w:r>
              <w:rPr>
                <w:rFonts w:hint="default" w:ascii="Times New Roman" w:hAnsi="Times New Roman" w:cs="Times New Roman"/>
              </w:rPr>
              <w:t>PARTIAL (99.9% in one band)</w:t>
            </w:r>
          </w:p>
        </w:tc>
      </w:tr>
      <w:tr w14:paraId="6B0207B0">
        <w:tblPrEx>
          <w:tblCellMar>
            <w:top w:w="0" w:type="dxa"/>
            <w:left w:w="108" w:type="dxa"/>
            <w:bottom w:w="0" w:type="dxa"/>
            <w:right w:w="108" w:type="dxa"/>
          </w:tblCellMar>
        </w:tblPrEx>
        <w:tc>
          <w:p w14:paraId="10DC69F4">
            <w:pPr>
              <w:pStyle w:val="24"/>
              <w:rPr>
                <w:rFonts w:hint="default" w:ascii="Times New Roman" w:hAnsi="Times New Roman" w:cs="Times New Roman"/>
              </w:rPr>
            </w:pPr>
            <w:r>
              <w:rPr>
                <w:rFonts w:hint="default" w:ascii="Times New Roman" w:hAnsi="Times New Roman" w:cs="Times New Roman"/>
              </w:rPr>
              <w:t>temperature</w:t>
            </w:r>
          </w:p>
        </w:tc>
        <w:tc>
          <w:p w14:paraId="0D79017F">
            <w:pPr>
              <w:pStyle w:val="24"/>
              <w:rPr>
                <w:rFonts w:hint="default" w:ascii="Times New Roman" w:hAnsi="Times New Roman" w:cs="Times New Roman"/>
              </w:rPr>
            </w:pPr>
            <w:r>
              <w:rPr>
                <w:rStyle w:val="48"/>
                <w:rFonts w:hint="default" w:ascii="Times New Roman" w:hAnsi="Times New Roman" w:cs="Times New Roman"/>
              </w:rPr>
              <w:t>avg_temp</w:t>
            </w:r>
          </w:p>
        </w:tc>
        <w:tc>
          <w:p w14:paraId="29726085">
            <w:pPr>
              <w:pStyle w:val="24"/>
              <w:rPr>
                <w:rFonts w:hint="default" w:ascii="Times New Roman" w:hAnsi="Times New Roman" w:cs="Times New Roman"/>
              </w:rPr>
            </w:pPr>
            <w:r>
              <w:rPr>
                <w:rFonts w:hint="default" w:ascii="Times New Roman" w:hAnsi="Times New Roman" w:cs="Times New Roman"/>
              </w:rPr>
              <w:t>5.18 â€“ 46.78</w:t>
            </w:r>
          </w:p>
        </w:tc>
        <w:tc>
          <w:p w14:paraId="49508835">
            <w:pPr>
              <w:pStyle w:val="24"/>
              <w:rPr>
                <w:rFonts w:hint="default" w:ascii="Times New Roman" w:hAnsi="Times New Roman" w:cs="Times New Roman"/>
              </w:rPr>
            </w:pPr>
            <w:r>
              <w:rPr>
                <w:rFonts w:hint="default" w:ascii="Times New Roman" w:hAnsi="Times New Roman" w:cs="Times New Roman"/>
              </w:rPr>
              <w:t>30, 40</w:t>
            </w:r>
          </w:p>
        </w:tc>
        <w:tc>
          <w:p w14:paraId="24E22560">
            <w:pPr>
              <w:pStyle w:val="24"/>
              <w:rPr>
                <w:rFonts w:hint="default" w:ascii="Times New Roman" w:hAnsi="Times New Roman" w:cs="Times New Roman"/>
              </w:rPr>
            </w:pPr>
            <w:r>
              <w:rPr>
                <w:rFonts w:hint="default" w:ascii="Times New Roman" w:hAnsi="Times New Roman" w:cs="Times New Roman"/>
              </w:rPr>
              <w:t>ACTIVE</w:t>
            </w:r>
          </w:p>
        </w:tc>
      </w:tr>
      <w:tr w14:paraId="6D6A2273">
        <w:tblPrEx>
          <w:tblCellMar>
            <w:top w:w="0" w:type="dxa"/>
            <w:left w:w="108" w:type="dxa"/>
            <w:bottom w:w="0" w:type="dxa"/>
            <w:right w:w="108" w:type="dxa"/>
          </w:tblCellMar>
        </w:tblPrEx>
        <w:tc>
          <w:p w14:paraId="530B3A86">
            <w:pPr>
              <w:pStyle w:val="24"/>
              <w:rPr>
                <w:rFonts w:hint="default" w:ascii="Times New Roman" w:hAnsi="Times New Roman" w:cs="Times New Roman"/>
              </w:rPr>
            </w:pPr>
            <w:r>
              <w:rPr>
                <w:rFonts w:hint="default" w:ascii="Times New Roman" w:hAnsi="Times New Roman" w:cs="Times New Roman"/>
              </w:rPr>
              <w:t>aggressive discharge</w:t>
            </w:r>
          </w:p>
        </w:tc>
        <w:tc>
          <w:p w14:paraId="35784F87">
            <w:pPr>
              <w:pStyle w:val="24"/>
              <w:rPr>
                <w:rFonts w:hint="default" w:ascii="Times New Roman" w:hAnsi="Times New Roman" w:cs="Times New Roman"/>
              </w:rPr>
            </w:pPr>
            <w:r>
              <w:rPr>
                <w:rStyle w:val="48"/>
                <w:rFonts w:hint="default" w:ascii="Times New Roman" w:hAnsi="Times New Roman" w:cs="Times New Roman"/>
              </w:rPr>
              <w:t>aggressive_discharge_count</w:t>
            </w:r>
          </w:p>
        </w:tc>
        <w:tc>
          <w:p w14:paraId="17D253BF">
            <w:pPr>
              <w:pStyle w:val="24"/>
              <w:rPr>
                <w:rFonts w:hint="default" w:ascii="Times New Roman" w:hAnsi="Times New Roman" w:cs="Times New Roman"/>
              </w:rPr>
            </w:pPr>
            <w:r>
              <w:rPr>
                <w:rFonts w:hint="default" w:ascii="Times New Roman" w:hAnsi="Times New Roman" w:cs="Times New Roman"/>
              </w:rPr>
              <w:t>0 â€“ 546</w:t>
            </w:r>
          </w:p>
        </w:tc>
        <w:tc>
          <w:p w14:paraId="60F625BD">
            <w:pPr>
              <w:pStyle w:val="24"/>
              <w:rPr>
                <w:rFonts w:hint="default" w:ascii="Times New Roman" w:hAnsi="Times New Roman" w:cs="Times New Roman"/>
              </w:rPr>
            </w:pPr>
            <w:r>
              <w:rPr>
                <w:rFonts w:hint="default" w:ascii="Times New Roman" w:hAnsi="Times New Roman" w:cs="Times New Roman"/>
              </w:rPr>
              <w:t>100, 500</w:t>
            </w:r>
          </w:p>
        </w:tc>
        <w:tc>
          <w:p w14:paraId="36FFC2CB">
            <w:pPr>
              <w:pStyle w:val="24"/>
              <w:rPr>
                <w:rFonts w:hint="default" w:ascii="Times New Roman" w:hAnsi="Times New Roman" w:cs="Times New Roman"/>
              </w:rPr>
            </w:pPr>
            <w:r>
              <w:rPr>
                <w:rFonts w:hint="default" w:ascii="Times New Roman" w:hAnsi="Times New Roman" w:cs="Times New Roman"/>
              </w:rPr>
              <w:t>ACTIVE</w:t>
            </w:r>
          </w:p>
        </w:tc>
      </w:tr>
      <w:tr w14:paraId="53C5C033">
        <w:tblPrEx>
          <w:tblCellMar>
            <w:top w:w="0" w:type="dxa"/>
            <w:left w:w="108" w:type="dxa"/>
            <w:bottom w:w="0" w:type="dxa"/>
            <w:right w:w="108" w:type="dxa"/>
          </w:tblCellMar>
        </w:tblPrEx>
        <w:tc>
          <w:p w14:paraId="51FFE210">
            <w:pPr>
              <w:pStyle w:val="24"/>
              <w:rPr>
                <w:rFonts w:hint="default" w:ascii="Times New Roman" w:hAnsi="Times New Roman" w:cs="Times New Roman"/>
              </w:rPr>
            </w:pPr>
            <w:r>
              <w:rPr>
                <w:rFonts w:hint="default" w:ascii="Times New Roman" w:hAnsi="Times New Roman" w:cs="Times New Roman"/>
              </w:rPr>
              <w:t>SOC extremes</w:t>
            </w:r>
          </w:p>
        </w:tc>
        <w:tc>
          <w:p w14:paraId="26520F95">
            <w:pPr>
              <w:pStyle w:val="24"/>
              <w:rPr>
                <w:rFonts w:hint="default" w:ascii="Times New Roman" w:hAnsi="Times New Roman" w:cs="Times New Roman"/>
              </w:rPr>
            </w:pPr>
            <w:r>
              <w:rPr>
                <w:rStyle w:val="48"/>
                <w:rFonts w:hint="default" w:ascii="Times New Roman" w:hAnsi="Times New Roman" w:cs="Times New Roman"/>
              </w:rPr>
              <w:t>avg_soc</w:t>
            </w:r>
          </w:p>
        </w:tc>
        <w:tc>
          <w:p w14:paraId="15A89759">
            <w:pPr>
              <w:pStyle w:val="24"/>
              <w:rPr>
                <w:rFonts w:hint="default" w:ascii="Times New Roman" w:hAnsi="Times New Roman" w:cs="Times New Roman"/>
              </w:rPr>
            </w:pPr>
            <w:r>
              <w:rPr>
                <w:rFonts w:hint="default" w:ascii="Times New Roman" w:hAnsi="Times New Roman" w:cs="Times New Roman"/>
              </w:rPr>
              <w:t>0.43 â€“ 68.78</w:t>
            </w:r>
          </w:p>
        </w:tc>
        <w:tc>
          <w:p w14:paraId="505B6824">
            <w:pPr>
              <w:pStyle w:val="24"/>
              <w:rPr>
                <w:rFonts w:hint="default" w:ascii="Times New Roman" w:hAnsi="Times New Roman" w:cs="Times New Roman"/>
              </w:rPr>
            </w:pPr>
            <w:r>
              <w:rPr>
                <w:rFonts w:hint="default" w:ascii="Times New Roman" w:hAnsi="Times New Roman" w:cs="Times New Roman"/>
              </w:rPr>
              <w:t>&lt;20, &gt;80</w:t>
            </w:r>
          </w:p>
        </w:tc>
        <w:tc>
          <w:p w14:paraId="3150ACCF">
            <w:pPr>
              <w:pStyle w:val="24"/>
              <w:rPr>
                <w:rFonts w:hint="default" w:ascii="Times New Roman" w:hAnsi="Times New Roman" w:cs="Times New Roman"/>
              </w:rPr>
            </w:pPr>
            <w:r>
              <w:rPr>
                <w:rFonts w:hint="default" w:ascii="Times New Roman" w:hAnsi="Times New Roman" w:cs="Times New Roman"/>
              </w:rPr>
              <w:t>ACTIVE (low branch only)</w:t>
            </w:r>
          </w:p>
        </w:tc>
      </w:tr>
    </w:tbl>
    <w:p w14:paraId="71D14044">
      <w:pPr>
        <w:pStyle w:val="3"/>
        <w:rPr>
          <w:rFonts w:hint="default" w:ascii="Times New Roman" w:hAnsi="Times New Roman" w:cs="Times New Roman"/>
        </w:rPr>
      </w:pPr>
      <w:r>
        <w:rPr>
          <w:rFonts w:hint="default" w:ascii="Times New Roman" w:hAnsi="Times New Roman" w:cs="Times New Roman"/>
        </w:rPr>
        <w:t>Two terms never leave a single band, so they emit a constant. Decomposed per battery across the 33 calibration cells:</w:t>
      </w:r>
    </w:p>
    <w:tbl>
      <w:tblPr>
        <w:tblStyle w:val="41"/>
        <w:tblW w:w="0" w:type="auto"/>
        <w:tblInd w:w="0" w:type="dxa"/>
        <w:tblLayout w:type="autofit"/>
        <w:tblCellMar>
          <w:top w:w="0" w:type="dxa"/>
          <w:left w:w="108" w:type="dxa"/>
          <w:bottom w:w="0" w:type="dxa"/>
          <w:right w:w="108" w:type="dxa"/>
        </w:tblCellMar>
      </w:tblPr>
      <w:tblGrid>
        <w:gridCol w:w="2209"/>
        <w:gridCol w:w="1410"/>
        <w:gridCol w:w="537"/>
        <w:gridCol w:w="1650"/>
      </w:tblGrid>
      <w:tr w14:paraId="5BC01732">
        <w:tblPrEx>
          <w:tblCellMar>
            <w:top w:w="0" w:type="dxa"/>
            <w:left w:w="108" w:type="dxa"/>
            <w:bottom w:w="0" w:type="dxa"/>
            <w:right w:w="108" w:type="dxa"/>
          </w:tblCellMar>
        </w:tblPrEx>
        <w:trPr>
          <w:tblHeader/>
        </w:trPr>
        <w:tc>
          <w:p w14:paraId="66E50DEB">
            <w:pPr>
              <w:pStyle w:val="24"/>
              <w:rPr>
                <w:rFonts w:hint="default" w:ascii="Times New Roman" w:hAnsi="Times New Roman" w:cs="Times New Roman"/>
              </w:rPr>
            </w:pPr>
            <w:r>
              <w:rPr>
                <w:rFonts w:hint="default" w:ascii="Times New Roman" w:hAnsi="Times New Roman" w:cs="Times New Roman"/>
              </w:rPr>
              <w:t>Term</w:t>
            </w:r>
          </w:p>
        </w:tc>
        <w:tc>
          <w:p w14:paraId="10B25761">
            <w:pPr>
              <w:pStyle w:val="24"/>
              <w:rPr>
                <w:rFonts w:hint="default" w:ascii="Times New Roman" w:hAnsi="Times New Roman" w:cs="Times New Roman"/>
              </w:rPr>
            </w:pPr>
            <w:r>
              <w:rPr>
                <w:rFonts w:hint="default" w:ascii="Times New Roman" w:hAnsi="Times New Roman" w:cs="Times New Roman"/>
              </w:rPr>
              <w:t>Mean points</w:t>
            </w:r>
          </w:p>
        </w:tc>
        <w:tc>
          <w:p w14:paraId="47EF99A5">
            <w:pPr>
              <w:pStyle w:val="24"/>
              <w:rPr>
                <w:rFonts w:hint="default" w:ascii="Times New Roman" w:hAnsi="Times New Roman" w:cs="Times New Roman"/>
              </w:rPr>
            </w:pPr>
            <w:r>
              <w:rPr>
                <w:rFonts w:hint="default" w:ascii="Times New Roman" w:hAnsi="Times New Roman" w:cs="Times New Roman"/>
              </w:rPr>
              <w:t>Std</w:t>
            </w:r>
          </w:p>
        </w:tc>
        <w:tc>
          <w:p w14:paraId="4546424A">
            <w:pPr>
              <w:pStyle w:val="24"/>
              <w:rPr>
                <w:rFonts w:hint="default" w:ascii="Times New Roman" w:hAnsi="Times New Roman" w:cs="Times New Roman"/>
              </w:rPr>
            </w:pPr>
            <w:r>
              <w:rPr>
                <w:rFonts w:hint="default" w:ascii="Times New Roman" w:hAnsi="Times New Roman" w:cs="Times New Roman"/>
              </w:rPr>
              <w:t>Distinct values</w:t>
            </w:r>
          </w:p>
        </w:tc>
      </w:tr>
      <w:tr w14:paraId="30DF9A8F">
        <w:tblPrEx>
          <w:tblCellMar>
            <w:top w:w="0" w:type="dxa"/>
            <w:left w:w="108" w:type="dxa"/>
            <w:bottom w:w="0" w:type="dxa"/>
            <w:right w:w="108" w:type="dxa"/>
          </w:tblCellMar>
        </w:tblPrEx>
        <w:tc>
          <w:p w14:paraId="16E4B7FF">
            <w:pPr>
              <w:pStyle w:val="24"/>
              <w:rPr>
                <w:rFonts w:hint="default" w:ascii="Times New Roman" w:hAnsi="Times New Roman" w:cs="Times New Roman"/>
              </w:rPr>
            </w:pPr>
            <w:r>
              <w:rPr>
                <w:rFonts w:hint="default" w:ascii="Times New Roman" w:hAnsi="Times New Roman" w:cs="Times New Roman"/>
              </w:rPr>
              <w:t>stress</w:t>
            </w:r>
          </w:p>
        </w:tc>
        <w:tc>
          <w:p w14:paraId="67BD5E30">
            <w:pPr>
              <w:pStyle w:val="24"/>
              <w:rPr>
                <w:rFonts w:hint="default" w:ascii="Times New Roman" w:hAnsi="Times New Roman" w:cs="Times New Roman"/>
              </w:rPr>
            </w:pPr>
            <w:r>
              <w:rPr>
                <w:rFonts w:hint="default" w:ascii="Times New Roman" w:hAnsi="Times New Roman" w:cs="Times New Roman"/>
              </w:rPr>
              <w:t>10.0</w:t>
            </w:r>
          </w:p>
        </w:tc>
        <w:tc>
          <w:p w14:paraId="7452A609">
            <w:pPr>
              <w:pStyle w:val="24"/>
              <w:rPr>
                <w:rFonts w:hint="default" w:ascii="Times New Roman" w:hAnsi="Times New Roman" w:cs="Times New Roman"/>
              </w:rPr>
            </w:pPr>
            <w:r>
              <w:rPr>
                <w:rFonts w:hint="default" w:ascii="Times New Roman" w:hAnsi="Times New Roman" w:cs="Times New Roman"/>
              </w:rPr>
              <w:t>0.0</w:t>
            </w:r>
          </w:p>
        </w:tc>
        <w:tc>
          <w:p w14:paraId="620429FE">
            <w:pPr>
              <w:pStyle w:val="24"/>
              <w:rPr>
                <w:rFonts w:hint="default" w:ascii="Times New Roman" w:hAnsi="Times New Roman" w:cs="Times New Roman"/>
              </w:rPr>
            </w:pPr>
            <w:r>
              <w:rPr>
                <w:rFonts w:hint="default" w:ascii="Times New Roman" w:hAnsi="Times New Roman" w:cs="Times New Roman"/>
              </w:rPr>
              <w:t>1</w:t>
            </w:r>
          </w:p>
        </w:tc>
      </w:tr>
      <w:tr w14:paraId="3AB2B21F">
        <w:tblPrEx>
          <w:tblCellMar>
            <w:top w:w="0" w:type="dxa"/>
            <w:left w:w="108" w:type="dxa"/>
            <w:bottom w:w="0" w:type="dxa"/>
            <w:right w:w="108" w:type="dxa"/>
          </w:tblCellMar>
        </w:tblPrEx>
        <w:tc>
          <w:p w14:paraId="5BECF9A6">
            <w:pPr>
              <w:pStyle w:val="24"/>
              <w:rPr>
                <w:rFonts w:hint="default" w:ascii="Times New Roman" w:hAnsi="Times New Roman" w:cs="Times New Roman"/>
              </w:rPr>
            </w:pPr>
            <w:r>
              <w:rPr>
                <w:rFonts w:hint="default" w:ascii="Times New Roman" w:hAnsi="Times New Roman" w:cs="Times New Roman"/>
              </w:rPr>
              <w:t>deep discharge</w:t>
            </w:r>
          </w:p>
        </w:tc>
        <w:tc>
          <w:p w14:paraId="0A75B973">
            <w:pPr>
              <w:pStyle w:val="24"/>
              <w:rPr>
                <w:rFonts w:hint="default" w:ascii="Times New Roman" w:hAnsi="Times New Roman" w:cs="Times New Roman"/>
              </w:rPr>
            </w:pPr>
            <w:r>
              <w:rPr>
                <w:rFonts w:hint="default" w:ascii="Times New Roman" w:hAnsi="Times New Roman" w:cs="Times New Roman"/>
              </w:rPr>
              <w:t>20.0</w:t>
            </w:r>
          </w:p>
        </w:tc>
        <w:tc>
          <w:p w14:paraId="5F60804B">
            <w:pPr>
              <w:pStyle w:val="24"/>
              <w:rPr>
                <w:rFonts w:hint="default" w:ascii="Times New Roman" w:hAnsi="Times New Roman" w:cs="Times New Roman"/>
              </w:rPr>
            </w:pPr>
            <w:r>
              <w:rPr>
                <w:rFonts w:hint="default" w:ascii="Times New Roman" w:hAnsi="Times New Roman" w:cs="Times New Roman"/>
              </w:rPr>
              <w:t>0.0</w:t>
            </w:r>
          </w:p>
        </w:tc>
        <w:tc>
          <w:p w14:paraId="2F296426">
            <w:pPr>
              <w:pStyle w:val="24"/>
              <w:rPr>
                <w:rFonts w:hint="default" w:ascii="Times New Roman" w:hAnsi="Times New Roman" w:cs="Times New Roman"/>
              </w:rPr>
            </w:pPr>
            <w:r>
              <w:rPr>
                <w:rFonts w:hint="default" w:ascii="Times New Roman" w:hAnsi="Times New Roman" w:cs="Times New Roman"/>
              </w:rPr>
              <w:t>1</w:t>
            </w:r>
          </w:p>
        </w:tc>
      </w:tr>
      <w:tr w14:paraId="20B33A78">
        <w:tblPrEx>
          <w:tblCellMar>
            <w:top w:w="0" w:type="dxa"/>
            <w:left w:w="108" w:type="dxa"/>
            <w:bottom w:w="0" w:type="dxa"/>
            <w:right w:w="108" w:type="dxa"/>
          </w:tblCellMar>
        </w:tblPrEx>
        <w:tc>
          <w:p w14:paraId="35854462">
            <w:pPr>
              <w:pStyle w:val="24"/>
              <w:rPr>
                <w:rFonts w:hint="default" w:ascii="Times New Roman" w:hAnsi="Times New Roman" w:cs="Times New Roman"/>
              </w:rPr>
            </w:pPr>
            <w:r>
              <w:rPr>
                <w:rFonts w:hint="default" w:ascii="Times New Roman" w:hAnsi="Times New Roman" w:cs="Times New Roman"/>
              </w:rPr>
              <w:t>fast charge</w:t>
            </w:r>
          </w:p>
        </w:tc>
        <w:tc>
          <w:p w14:paraId="0012EEF4">
            <w:pPr>
              <w:pStyle w:val="24"/>
              <w:rPr>
                <w:rFonts w:hint="default" w:ascii="Times New Roman" w:hAnsi="Times New Roman" w:cs="Times New Roman"/>
              </w:rPr>
            </w:pPr>
            <w:r>
              <w:rPr>
                <w:rFonts w:hint="default" w:ascii="Times New Roman" w:hAnsi="Times New Roman" w:cs="Times New Roman"/>
              </w:rPr>
              <w:t>2.0</w:t>
            </w:r>
          </w:p>
        </w:tc>
        <w:tc>
          <w:p w14:paraId="3C38188B">
            <w:pPr>
              <w:pStyle w:val="24"/>
              <w:rPr>
                <w:rFonts w:hint="default" w:ascii="Times New Roman" w:hAnsi="Times New Roman" w:cs="Times New Roman"/>
              </w:rPr>
            </w:pPr>
            <w:r>
              <w:rPr>
                <w:rFonts w:hint="default" w:ascii="Times New Roman" w:hAnsi="Times New Roman" w:cs="Times New Roman"/>
              </w:rPr>
              <w:t>0.0</w:t>
            </w:r>
          </w:p>
        </w:tc>
        <w:tc>
          <w:p w14:paraId="59EFA676">
            <w:pPr>
              <w:pStyle w:val="24"/>
              <w:rPr>
                <w:rFonts w:hint="default" w:ascii="Times New Roman" w:hAnsi="Times New Roman" w:cs="Times New Roman"/>
              </w:rPr>
            </w:pPr>
            <w:r>
              <w:rPr>
                <w:rFonts w:hint="default" w:ascii="Times New Roman" w:hAnsi="Times New Roman" w:cs="Times New Roman"/>
              </w:rPr>
              <w:t>1</w:t>
            </w:r>
          </w:p>
        </w:tc>
      </w:tr>
      <w:tr w14:paraId="1277FD76">
        <w:tblPrEx>
          <w:tblCellMar>
            <w:top w:w="0" w:type="dxa"/>
            <w:left w:w="108" w:type="dxa"/>
            <w:bottom w:w="0" w:type="dxa"/>
            <w:right w:w="108" w:type="dxa"/>
          </w:tblCellMar>
        </w:tblPrEx>
        <w:tc>
          <w:p w14:paraId="3A29B510">
            <w:pPr>
              <w:pStyle w:val="24"/>
              <w:rPr>
                <w:rFonts w:hint="default" w:ascii="Times New Roman" w:hAnsi="Times New Roman" w:cs="Times New Roman"/>
              </w:rPr>
            </w:pPr>
            <w:r>
              <w:rPr>
                <w:rFonts w:hint="default" w:ascii="Times New Roman" w:hAnsi="Times New Roman" w:cs="Times New Roman"/>
              </w:rPr>
              <w:t>temperature</w:t>
            </w:r>
          </w:p>
        </w:tc>
        <w:tc>
          <w:p w14:paraId="084787CB">
            <w:pPr>
              <w:pStyle w:val="24"/>
              <w:rPr>
                <w:rFonts w:hint="default" w:ascii="Times New Roman" w:hAnsi="Times New Roman" w:cs="Times New Roman"/>
              </w:rPr>
            </w:pPr>
            <w:r>
              <w:rPr>
                <w:rFonts w:hint="default" w:ascii="Times New Roman" w:hAnsi="Times New Roman" w:cs="Times New Roman"/>
              </w:rPr>
              <w:t>8.6</w:t>
            </w:r>
          </w:p>
        </w:tc>
        <w:tc>
          <w:p w14:paraId="29BEE83F">
            <w:pPr>
              <w:pStyle w:val="24"/>
              <w:rPr>
                <w:rFonts w:hint="default" w:ascii="Times New Roman" w:hAnsi="Times New Roman" w:cs="Times New Roman"/>
              </w:rPr>
            </w:pPr>
            <w:r>
              <w:rPr>
                <w:rFonts w:hint="default" w:ascii="Times New Roman" w:hAnsi="Times New Roman" w:cs="Times New Roman"/>
              </w:rPr>
              <w:t>7.4</w:t>
            </w:r>
          </w:p>
        </w:tc>
        <w:tc>
          <w:p w14:paraId="44CBE6E9">
            <w:pPr>
              <w:pStyle w:val="24"/>
              <w:rPr>
                <w:rFonts w:hint="default" w:ascii="Times New Roman" w:hAnsi="Times New Roman" w:cs="Times New Roman"/>
              </w:rPr>
            </w:pPr>
            <w:r>
              <w:rPr>
                <w:rFonts w:hint="default" w:ascii="Times New Roman" w:hAnsi="Times New Roman" w:cs="Times New Roman"/>
              </w:rPr>
              <w:t>3</w:t>
            </w:r>
          </w:p>
        </w:tc>
      </w:tr>
      <w:tr w14:paraId="5B75BCC1">
        <w:tblPrEx>
          <w:tblCellMar>
            <w:top w:w="0" w:type="dxa"/>
            <w:left w:w="108" w:type="dxa"/>
            <w:bottom w:w="0" w:type="dxa"/>
            <w:right w:w="108" w:type="dxa"/>
          </w:tblCellMar>
        </w:tblPrEx>
        <w:tc>
          <w:p w14:paraId="4717799C">
            <w:pPr>
              <w:pStyle w:val="24"/>
              <w:rPr>
                <w:rFonts w:hint="default" w:ascii="Times New Roman" w:hAnsi="Times New Roman" w:cs="Times New Roman"/>
              </w:rPr>
            </w:pPr>
            <w:r>
              <w:rPr>
                <w:rFonts w:hint="default" w:ascii="Times New Roman" w:hAnsi="Times New Roman" w:cs="Times New Roman"/>
              </w:rPr>
              <w:t>aggressive discharge</w:t>
            </w:r>
          </w:p>
        </w:tc>
        <w:tc>
          <w:p w14:paraId="2E51E882">
            <w:pPr>
              <w:pStyle w:val="24"/>
              <w:rPr>
                <w:rFonts w:hint="default" w:ascii="Times New Roman" w:hAnsi="Times New Roman" w:cs="Times New Roman"/>
              </w:rPr>
            </w:pPr>
            <w:r>
              <w:rPr>
                <w:rFonts w:hint="default" w:ascii="Times New Roman" w:hAnsi="Times New Roman" w:cs="Times New Roman"/>
              </w:rPr>
              <w:t>11.4</w:t>
            </w:r>
          </w:p>
        </w:tc>
        <w:tc>
          <w:p w14:paraId="1379C06F">
            <w:pPr>
              <w:pStyle w:val="24"/>
              <w:rPr>
                <w:rFonts w:hint="default" w:ascii="Times New Roman" w:hAnsi="Times New Roman" w:cs="Times New Roman"/>
              </w:rPr>
            </w:pPr>
            <w:r>
              <w:rPr>
                <w:rFonts w:hint="default" w:ascii="Times New Roman" w:hAnsi="Times New Roman" w:cs="Times New Roman"/>
              </w:rPr>
              <w:t>5.4</w:t>
            </w:r>
          </w:p>
        </w:tc>
        <w:tc>
          <w:p w14:paraId="3DD413C4">
            <w:pPr>
              <w:pStyle w:val="24"/>
              <w:rPr>
                <w:rFonts w:hint="default" w:ascii="Times New Roman" w:hAnsi="Times New Roman" w:cs="Times New Roman"/>
              </w:rPr>
            </w:pPr>
            <w:r>
              <w:rPr>
                <w:rFonts w:hint="default" w:ascii="Times New Roman" w:hAnsi="Times New Roman" w:cs="Times New Roman"/>
              </w:rPr>
              <w:t>3</w:t>
            </w:r>
          </w:p>
        </w:tc>
      </w:tr>
      <w:tr w14:paraId="38997962">
        <w:tblPrEx>
          <w:tblCellMar>
            <w:top w:w="0" w:type="dxa"/>
            <w:left w:w="108" w:type="dxa"/>
            <w:bottom w:w="0" w:type="dxa"/>
            <w:right w:w="108" w:type="dxa"/>
          </w:tblCellMar>
        </w:tblPrEx>
        <w:tc>
          <w:p w14:paraId="42C6C4B5">
            <w:pPr>
              <w:pStyle w:val="24"/>
              <w:rPr>
                <w:rFonts w:hint="default" w:ascii="Times New Roman" w:hAnsi="Times New Roman" w:cs="Times New Roman"/>
              </w:rPr>
            </w:pPr>
            <w:r>
              <w:rPr>
                <w:rFonts w:hint="default" w:ascii="Times New Roman" w:hAnsi="Times New Roman" w:cs="Times New Roman"/>
              </w:rPr>
              <w:t>SOC extremes</w:t>
            </w:r>
          </w:p>
        </w:tc>
        <w:tc>
          <w:p w14:paraId="0FAFC693">
            <w:pPr>
              <w:pStyle w:val="24"/>
              <w:rPr>
                <w:rFonts w:hint="default" w:ascii="Times New Roman" w:hAnsi="Times New Roman" w:cs="Times New Roman"/>
              </w:rPr>
            </w:pPr>
            <w:r>
              <w:rPr>
                <w:rFonts w:hint="default" w:ascii="Times New Roman" w:hAnsi="Times New Roman" w:cs="Times New Roman"/>
              </w:rPr>
              <w:t>0.3</w:t>
            </w:r>
          </w:p>
        </w:tc>
        <w:tc>
          <w:p w14:paraId="4A56A987">
            <w:pPr>
              <w:pStyle w:val="24"/>
              <w:rPr>
                <w:rFonts w:hint="default" w:ascii="Times New Roman" w:hAnsi="Times New Roman" w:cs="Times New Roman"/>
              </w:rPr>
            </w:pPr>
            <w:r>
              <w:rPr>
                <w:rFonts w:hint="default" w:ascii="Times New Roman" w:hAnsi="Times New Roman" w:cs="Times New Roman"/>
              </w:rPr>
              <w:t>1.7</w:t>
            </w:r>
          </w:p>
        </w:tc>
        <w:tc>
          <w:p w14:paraId="1F4063F8">
            <w:pPr>
              <w:pStyle w:val="24"/>
              <w:rPr>
                <w:rFonts w:hint="default" w:ascii="Times New Roman" w:hAnsi="Times New Roman" w:cs="Times New Roman"/>
              </w:rPr>
            </w:pPr>
            <w:r>
              <w:rPr>
                <w:rFonts w:hint="default" w:ascii="Times New Roman" w:hAnsi="Times New Roman" w:cs="Times New Roman"/>
              </w:rPr>
              <w:t>2</w:t>
            </w:r>
          </w:p>
        </w:tc>
      </w:tr>
    </w:tbl>
    <w:p w14:paraId="5955A4E7">
      <w:pPr>
        <w:pStyle w:val="3"/>
        <w:rPr>
          <w:rFonts w:hint="default" w:ascii="Times New Roman" w:hAnsi="Times New Roman" w:cs="Times New Roman"/>
        </w:rPr>
      </w:pPr>
      <w:r>
        <w:rPr>
          <w:rFonts w:hint="default" w:ascii="Times New Roman" w:hAnsi="Times New Roman" w:cs="Times New Roman"/>
          <w:b/>
          <w:bCs/>
        </w:rPr>
        <w:t>Of a mean risk score of 52.3 points, 32.0 points (61%) come from terms that are identical for every battery in the dataset</w:t>
      </w:r>
      <w:r>
        <w:rPr>
          <w:rFonts w:hint="default" w:ascii="Times New Roman" w:hAnsi="Times New Roman" w:cs="Times New Roman"/>
        </w:rPr>
        <w:t>, and therefore carry zero discriminative information.</w:t>
      </w:r>
    </w:p>
    <w:p w14:paraId="2D1AF647">
      <w:pPr>
        <w:pStyle w:val="3"/>
        <w:rPr>
          <w:rFonts w:hint="default" w:ascii="Times New Roman" w:hAnsi="Times New Roman" w:cs="Times New Roman"/>
        </w:rPr>
      </w:pPr>
      <w:r>
        <w:rPr>
          <w:rFonts w:hint="default" w:ascii="Times New Roman" w:hAnsi="Times New Roman" w:cs="Times New Roman"/>
        </w:rPr>
        <w:t>Two consequences follow.</w:t>
      </w:r>
    </w:p>
    <w:p w14:paraId="2F3C9A83">
      <w:pPr>
        <w:pStyle w:val="3"/>
        <w:rPr>
          <w:rFonts w:hint="default" w:ascii="Times New Roman" w:hAnsi="Times New Roman" w:cs="Times New Roman"/>
        </w:rPr>
      </w:pPr>
      <w:r>
        <w:rPr>
          <w:rFonts w:hint="default" w:ascii="Times New Roman" w:hAnsi="Times New Roman" w:cs="Times New Roman"/>
        </w:rPr>
        <w:t>First, this reframes Section 4.1. The scores did not fail to correlate with fade because the behavioural hypothesis was wrong. They failed because most of the score was a constant, and a constant cannot correlate with anything. Those are different diagnoses with different fixes: the first would call for abandoning the behavioural premise, the second calls for cut points placed against observed distributions rather than guessed.</w:t>
      </w:r>
    </w:p>
    <w:p w14:paraId="51817777">
      <w:pPr>
        <w:pStyle w:val="3"/>
        <w:rPr>
          <w:rFonts w:hint="default" w:ascii="Times New Roman" w:hAnsi="Times New Roman" w:cs="Times New Roman"/>
        </w:rPr>
      </w:pPr>
      <w:r>
        <w:rPr>
          <w:rFonts w:hint="default" w:ascii="Times New Roman" w:hAnsi="Times New Roman" w:cs="Times New Roman"/>
        </w:rPr>
        <w:t xml:space="preserve">Second, </w:t>
      </w:r>
      <w:r>
        <w:rPr>
          <w:rStyle w:val="48"/>
          <w:rFonts w:hint="default" w:ascii="Times New Roman" w:hAnsi="Times New Roman" w:cs="Times New Roman"/>
        </w:rPr>
        <w:t>fast_charge_duration</w:t>
      </w:r>
      <w:r>
        <w:rPr>
          <w:rFonts w:hint="default" w:ascii="Times New Roman" w:hAnsi="Times New Roman" w:cs="Times New Roman"/>
        </w:rPr>
        <w:t xml:space="preserve"> is identically zero across all 2,682 observations â€” NASA’s protocols contain no charging event this pipeline’s C-rate threshold classifies as fast. The 15-point fast-charge penalty is therefore not merely unvalidated but </w:t>
      </w:r>
      <w:r>
        <w:rPr>
          <w:rFonts w:hint="default" w:ascii="Times New Roman" w:hAnsi="Times New Roman" w:cs="Times New Roman"/>
          <w:b/>
          <w:bCs/>
        </w:rPr>
        <w:t>unvalidatable</w:t>
      </w:r>
      <w:r>
        <w:rPr>
          <w:rFonts w:hint="default" w:ascii="Times New Roman" w:hAnsi="Times New Roman" w:cs="Times New Roman"/>
        </w:rPr>
        <w:t xml:space="preserve"> on this dataset. No amount of further analysis of NASA can constrain it. Stating that is more useful than reporting a null result that implies the question was tested.</w:t>
      </w:r>
    </w:p>
    <w:bookmarkEnd w:id="18"/>
    <w:p w14:paraId="461BA28D">
      <w:pPr>
        <w:pStyle w:val="5"/>
        <w:rPr>
          <w:rFonts w:hint="default" w:ascii="Times New Roman" w:hAnsi="Times New Roman" w:cs="Times New Roman"/>
        </w:rPr>
      </w:pPr>
      <w:bookmarkStart w:id="19" w:name="Xaafa02ddd8624820bb989127a78ef1ac086bf81"/>
      <w:r>
        <w:rPr>
          <w:rFonts w:hint="default" w:ascii="Times New Roman" w:hAnsi="Times New Roman" w:cs="Times New Roman"/>
        </w:rPr>
        <w:t>4.8 Leave-one-cohort-out: the fitted model’s ranking is cohort memorisation</w:t>
      </w:r>
    </w:p>
    <w:p w14:paraId="5E3D9AF6">
      <w:pPr>
        <w:pStyle w:val="23"/>
        <w:rPr>
          <w:rFonts w:hint="default" w:ascii="Times New Roman" w:hAnsi="Times New Roman" w:cs="Times New Roman"/>
        </w:rPr>
      </w:pPr>
      <w:r>
        <w:rPr>
          <w:rFonts w:hint="default" w:ascii="Times New Roman" w:hAnsi="Times New Roman" w:cs="Times New Roman"/>
        </w:rPr>
        <w:t xml:space="preserve">A cross-dataset test (train NASA, test CALCE) is the standard next step and </w:t>
      </w:r>
      <w:r>
        <w:rPr>
          <w:rFonts w:hint="default" w:ascii="Times New Roman" w:hAnsi="Times New Roman" w:cs="Times New Roman"/>
          <w:b/>
          <w:bCs/>
        </w:rPr>
        <w:t>cannot be run</w:t>
      </w:r>
      <w:r>
        <w:rPr>
          <w:rFonts w:hint="default" w:ascii="Times New Roman" w:hAnsi="Times New Roman" w:cs="Times New Roman"/>
        </w:rPr>
        <w:t xml:space="preserve"> â€” the supplied CALCE files are single-cycle baseline characterisations with no fade target (Section 4.4, ADR 0001). Leave-one-cohort-out (LOCO) across NASA’s 9 experimental protocols was substituted. It is a weaker claim (same laboratory, chemistry and instrumentation) but a real distribution shift in ambient temperature, discharge current, load profile and cutoff voltage.</w:t>
      </w:r>
    </w:p>
    <w:p w14:paraId="4BEE655B">
      <w:pPr>
        <w:pStyle w:val="3"/>
        <w:rPr>
          <w:rFonts w:hint="default" w:ascii="Times New Roman" w:hAnsi="Times New Roman" w:cs="Times New Roman"/>
        </w:rPr>
      </w:pPr>
      <w:r>
        <w:rPr>
          <w:rFonts w:hint="default" w:ascii="Times New Roman" w:hAnsi="Times New Roman" w:cs="Times New Roman"/>
        </w:rPr>
        <w:t>It produced the most important result in this report.</w:t>
      </w:r>
    </w:p>
    <w:p w14:paraId="60AB1ED5">
      <w:pPr>
        <w:pStyle w:val="3"/>
        <w:rPr>
          <w:rFonts w:hint="default" w:ascii="Times New Roman" w:hAnsi="Times New Roman" w:cs="Times New Roman"/>
        </w:rPr>
      </w:pPr>
      <w:r>
        <w:rPr>
          <w:rFonts w:hint="default" w:ascii="Times New Roman" w:hAnsi="Times New Roman" w:cs="Times New Roman"/>
        </w:rPr>
        <w:t xml:space="preserve">Ranking the 33 cells by measured </w:t>
      </w:r>
      <w:r>
        <w:rPr>
          <w:rStyle w:val="48"/>
          <w:rFonts w:hint="default" w:ascii="Times New Roman" w:hAnsi="Times New Roman" w:cs="Times New Roman"/>
        </w:rPr>
        <w:t>fade_rate_ah_per_cycle</w:t>
      </w:r>
      <w:r>
        <w:rPr>
          <w:rFonts w:hint="default" w:ascii="Times New Roman" w:hAnsi="Times New Roman" w:cs="Times New Roman"/>
        </w:rPr>
        <w:t>, Spearman rho, permutation-tested with 5,000 resamples:</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76484EAA">
        <w:tblPrEx>
          <w:tblCellMar>
            <w:top w:w="0" w:type="dxa"/>
            <w:left w:w="108" w:type="dxa"/>
            <w:bottom w:w="0" w:type="dxa"/>
            <w:right w:w="108" w:type="dxa"/>
          </w:tblCellMar>
        </w:tblPrEx>
        <w:trPr>
          <w:tblHeader/>
        </w:trPr>
        <w:tc>
          <w:p w14:paraId="7D25971D">
            <w:pPr>
              <w:pStyle w:val="24"/>
              <w:rPr>
                <w:rFonts w:hint="default" w:ascii="Times New Roman" w:hAnsi="Times New Roman" w:cs="Times New Roman"/>
              </w:rPr>
            </w:pPr>
            <w:r>
              <w:rPr>
                <w:rFonts w:hint="default" w:ascii="Times New Roman" w:hAnsi="Times New Roman" w:cs="Times New Roman"/>
              </w:rPr>
              <w:t>Candidate</w:t>
            </w:r>
          </w:p>
        </w:tc>
        <w:tc>
          <w:p w14:paraId="166F2075">
            <w:pPr>
              <w:pStyle w:val="24"/>
              <w:rPr>
                <w:rFonts w:hint="default" w:ascii="Times New Roman" w:hAnsi="Times New Roman" w:cs="Times New Roman"/>
              </w:rPr>
            </w:pPr>
            <w:r>
              <w:rPr>
                <w:rFonts w:hint="default" w:ascii="Times New Roman" w:hAnsi="Times New Roman" w:cs="Times New Roman"/>
              </w:rPr>
              <w:t>rho</w:t>
            </w:r>
          </w:p>
        </w:tc>
        <w:tc>
          <w:p w14:paraId="3D164D6F">
            <w:pPr>
              <w:pStyle w:val="24"/>
              <w:rPr>
                <w:rFonts w:hint="default" w:ascii="Times New Roman" w:hAnsi="Times New Roman" w:cs="Times New Roman"/>
              </w:rPr>
            </w:pPr>
            <w:r>
              <w:rPr>
                <w:rFonts w:hint="default" w:ascii="Times New Roman" w:hAnsi="Times New Roman" w:cs="Times New Roman"/>
              </w:rPr>
              <w:t>p</w:t>
            </w:r>
          </w:p>
        </w:tc>
        <w:tc>
          <w:p w14:paraId="17CCB23D">
            <w:pPr>
              <w:pStyle w:val="24"/>
              <w:rPr>
                <w:rFonts w:hint="default" w:ascii="Times New Roman" w:hAnsi="Times New Roman" w:cs="Times New Roman"/>
              </w:rPr>
            </w:pPr>
            <w:r>
              <w:rPr>
                <w:rFonts w:hint="default" w:ascii="Times New Roman" w:hAnsi="Times New Roman" w:cs="Times New Roman"/>
              </w:rPr>
              <w:t>Distinct outputs</w:t>
            </w:r>
          </w:p>
        </w:tc>
      </w:tr>
      <w:tr w14:paraId="2FD7C0FD">
        <w:tblPrEx>
          <w:tblCellMar>
            <w:top w:w="0" w:type="dxa"/>
            <w:left w:w="108" w:type="dxa"/>
            <w:bottom w:w="0" w:type="dxa"/>
            <w:right w:w="108" w:type="dxa"/>
          </w:tblCellMar>
        </w:tblPrEx>
        <w:tc>
          <w:p w14:paraId="7AA2E802">
            <w:pPr>
              <w:pStyle w:val="24"/>
              <w:rPr>
                <w:rFonts w:hint="default" w:ascii="Times New Roman" w:hAnsi="Times New Roman" w:cs="Times New Roman"/>
              </w:rPr>
            </w:pPr>
            <w:r>
              <w:rPr>
                <w:rFonts w:hint="default" w:ascii="Times New Roman" w:hAnsi="Times New Roman" w:cs="Times New Roman"/>
              </w:rPr>
              <w:t>v1 rule-based health index</w:t>
            </w:r>
          </w:p>
        </w:tc>
        <w:tc>
          <w:p w14:paraId="062C68A1">
            <w:pPr>
              <w:pStyle w:val="24"/>
              <w:rPr>
                <w:rFonts w:hint="default" w:ascii="Times New Roman" w:hAnsi="Times New Roman" w:cs="Times New Roman"/>
              </w:rPr>
            </w:pPr>
            <w:r>
              <w:rPr>
                <w:rFonts w:hint="default" w:ascii="Times New Roman" w:hAnsi="Times New Roman" w:cs="Times New Roman"/>
              </w:rPr>
              <w:t>âˆ’0.269</w:t>
            </w:r>
          </w:p>
        </w:tc>
        <w:tc>
          <w:p w14:paraId="1277E287">
            <w:pPr>
              <w:pStyle w:val="24"/>
              <w:rPr>
                <w:rFonts w:hint="default" w:ascii="Times New Roman" w:hAnsi="Times New Roman" w:cs="Times New Roman"/>
              </w:rPr>
            </w:pPr>
            <w:r>
              <w:rPr>
                <w:rFonts w:hint="default" w:ascii="Times New Roman" w:hAnsi="Times New Roman" w:cs="Times New Roman"/>
              </w:rPr>
              <w:t>0.124</w:t>
            </w:r>
          </w:p>
        </w:tc>
        <w:tc>
          <w:p w14:paraId="1082C77A">
            <w:pPr>
              <w:pStyle w:val="24"/>
              <w:rPr>
                <w:rFonts w:hint="default" w:ascii="Times New Roman" w:hAnsi="Times New Roman" w:cs="Times New Roman"/>
              </w:rPr>
            </w:pPr>
            <w:r>
              <w:rPr>
                <w:rFonts w:hint="default" w:ascii="Times New Roman" w:hAnsi="Times New Roman" w:cs="Times New Roman"/>
              </w:rPr>
              <w:t>6 of 33</w:t>
            </w:r>
          </w:p>
        </w:tc>
      </w:tr>
      <w:tr w14:paraId="21E4111C">
        <w:tblPrEx>
          <w:tblCellMar>
            <w:top w:w="0" w:type="dxa"/>
            <w:left w:w="108" w:type="dxa"/>
            <w:bottom w:w="0" w:type="dxa"/>
            <w:right w:w="108" w:type="dxa"/>
          </w:tblCellMar>
        </w:tblPrEx>
        <w:tc>
          <w:p w14:paraId="23D77089">
            <w:pPr>
              <w:pStyle w:val="24"/>
              <w:rPr>
                <w:rFonts w:hint="default" w:ascii="Times New Roman" w:hAnsi="Times New Roman" w:cs="Times New Roman"/>
              </w:rPr>
            </w:pPr>
            <w:r>
              <w:rPr>
                <w:rFonts w:hint="default" w:ascii="Times New Roman" w:hAnsi="Times New Roman" w:cs="Times New Roman"/>
              </w:rPr>
              <w:t xml:space="preserve">v2 fitted OLS, </w:t>
            </w:r>
            <w:r>
              <w:rPr>
                <w:rFonts w:hint="default" w:ascii="Times New Roman" w:hAnsi="Times New Roman" w:cs="Times New Roman"/>
                <w:b/>
                <w:bCs/>
              </w:rPr>
              <w:t>in-sample</w:t>
            </w:r>
          </w:p>
        </w:tc>
        <w:tc>
          <w:p w14:paraId="14B23F2F">
            <w:pPr>
              <w:pStyle w:val="24"/>
              <w:rPr>
                <w:rFonts w:hint="default" w:ascii="Times New Roman" w:hAnsi="Times New Roman" w:cs="Times New Roman"/>
              </w:rPr>
            </w:pPr>
            <w:r>
              <w:rPr>
                <w:rFonts w:hint="default" w:ascii="Times New Roman" w:hAnsi="Times New Roman" w:cs="Times New Roman"/>
              </w:rPr>
              <w:t>0.870</w:t>
            </w:r>
          </w:p>
        </w:tc>
        <w:tc>
          <w:p w14:paraId="4C6DEB84">
            <w:pPr>
              <w:pStyle w:val="24"/>
              <w:rPr>
                <w:rFonts w:hint="default" w:ascii="Times New Roman" w:hAnsi="Times New Roman" w:cs="Times New Roman"/>
              </w:rPr>
            </w:pPr>
            <w:r>
              <w:rPr>
                <w:rFonts w:hint="default" w:ascii="Times New Roman" w:hAnsi="Times New Roman" w:cs="Times New Roman"/>
              </w:rPr>
              <w:t>0.0002</w:t>
            </w:r>
          </w:p>
        </w:tc>
        <w:tc>
          <w:p w14:paraId="6D4589CC">
            <w:pPr>
              <w:pStyle w:val="24"/>
              <w:rPr>
                <w:rFonts w:hint="default" w:ascii="Times New Roman" w:hAnsi="Times New Roman" w:cs="Times New Roman"/>
              </w:rPr>
            </w:pPr>
            <w:r>
              <w:rPr>
                <w:rFonts w:hint="default" w:ascii="Times New Roman" w:hAnsi="Times New Roman" w:cs="Times New Roman"/>
              </w:rPr>
              <w:t>33</w:t>
            </w:r>
          </w:p>
        </w:tc>
      </w:tr>
      <w:tr w14:paraId="203CD97E">
        <w:tblPrEx>
          <w:tblCellMar>
            <w:top w:w="0" w:type="dxa"/>
            <w:left w:w="108" w:type="dxa"/>
            <w:bottom w:w="0" w:type="dxa"/>
            <w:right w:w="108" w:type="dxa"/>
          </w:tblCellMar>
        </w:tblPrEx>
        <w:tc>
          <w:p w14:paraId="792D5877">
            <w:pPr>
              <w:pStyle w:val="24"/>
              <w:rPr>
                <w:rFonts w:hint="default" w:ascii="Times New Roman" w:hAnsi="Times New Roman" w:cs="Times New Roman"/>
              </w:rPr>
            </w:pPr>
            <w:r>
              <w:rPr>
                <w:rFonts w:hint="default" w:ascii="Times New Roman" w:hAnsi="Times New Roman" w:cs="Times New Roman"/>
              </w:rPr>
              <w:t xml:space="preserve">v2, </w:t>
            </w:r>
            <w:r>
              <w:rPr>
                <w:rFonts w:hint="default" w:ascii="Times New Roman" w:hAnsi="Times New Roman" w:cs="Times New Roman"/>
                <w:b/>
                <w:bCs/>
              </w:rPr>
              <w:t>LOBO-refit</w:t>
            </w:r>
            <w:r>
              <w:rPr>
                <w:rFonts w:hint="default" w:ascii="Times New Roman" w:hAnsi="Times New Roman" w:cs="Times New Roman"/>
              </w:rPr>
              <w:t xml:space="preserve"> (unseen cell, known protocol)</w:t>
            </w:r>
          </w:p>
        </w:tc>
        <w:tc>
          <w:p w14:paraId="64769C26">
            <w:pPr>
              <w:pStyle w:val="24"/>
              <w:rPr>
                <w:rFonts w:hint="default" w:ascii="Times New Roman" w:hAnsi="Times New Roman" w:cs="Times New Roman"/>
              </w:rPr>
            </w:pPr>
            <w:r>
              <w:rPr>
                <w:rFonts w:hint="default" w:ascii="Times New Roman" w:hAnsi="Times New Roman" w:cs="Times New Roman"/>
                <w:b/>
                <w:bCs/>
              </w:rPr>
              <w:t>0.841</w:t>
            </w:r>
          </w:p>
        </w:tc>
        <w:tc>
          <w:p w14:paraId="11526086">
            <w:pPr>
              <w:pStyle w:val="24"/>
              <w:rPr>
                <w:rFonts w:hint="default" w:ascii="Times New Roman" w:hAnsi="Times New Roman" w:cs="Times New Roman"/>
              </w:rPr>
            </w:pPr>
            <w:r>
              <w:rPr>
                <w:rFonts w:hint="default" w:ascii="Times New Roman" w:hAnsi="Times New Roman" w:cs="Times New Roman"/>
              </w:rPr>
              <w:t>0.0002</w:t>
            </w:r>
          </w:p>
        </w:tc>
        <w:tc>
          <w:p w14:paraId="79339F1D">
            <w:pPr>
              <w:pStyle w:val="24"/>
              <w:rPr>
                <w:rFonts w:hint="default" w:ascii="Times New Roman" w:hAnsi="Times New Roman" w:cs="Times New Roman"/>
              </w:rPr>
            </w:pPr>
            <w:r>
              <w:rPr>
                <w:rFonts w:hint="default" w:ascii="Times New Roman" w:hAnsi="Times New Roman" w:cs="Times New Roman"/>
              </w:rPr>
              <w:t>33</w:t>
            </w:r>
          </w:p>
        </w:tc>
      </w:tr>
      <w:tr w14:paraId="71F3A697">
        <w:tblPrEx>
          <w:tblCellMar>
            <w:top w:w="0" w:type="dxa"/>
            <w:left w:w="108" w:type="dxa"/>
            <w:bottom w:w="0" w:type="dxa"/>
            <w:right w:w="108" w:type="dxa"/>
          </w:tblCellMar>
        </w:tblPrEx>
        <w:tc>
          <w:p w14:paraId="0321A72A">
            <w:pPr>
              <w:pStyle w:val="24"/>
              <w:rPr>
                <w:rFonts w:hint="default" w:ascii="Times New Roman" w:hAnsi="Times New Roman" w:cs="Times New Roman"/>
              </w:rPr>
            </w:pPr>
            <w:r>
              <w:rPr>
                <w:rFonts w:hint="default" w:ascii="Times New Roman" w:hAnsi="Times New Roman" w:cs="Times New Roman"/>
              </w:rPr>
              <w:t xml:space="preserve">v2, </w:t>
            </w:r>
            <w:r>
              <w:rPr>
                <w:rFonts w:hint="default" w:ascii="Times New Roman" w:hAnsi="Times New Roman" w:cs="Times New Roman"/>
                <w:b/>
                <w:bCs/>
              </w:rPr>
              <w:t>LOCO-refit</w:t>
            </w:r>
            <w:r>
              <w:rPr>
                <w:rFonts w:hint="default" w:ascii="Times New Roman" w:hAnsi="Times New Roman" w:cs="Times New Roman"/>
              </w:rPr>
              <w:t xml:space="preserve"> (unseen protocol)</w:t>
            </w:r>
          </w:p>
        </w:tc>
        <w:tc>
          <w:p w14:paraId="44419DCC">
            <w:pPr>
              <w:pStyle w:val="24"/>
              <w:rPr>
                <w:rFonts w:hint="default" w:ascii="Times New Roman" w:hAnsi="Times New Roman" w:cs="Times New Roman"/>
              </w:rPr>
            </w:pPr>
            <w:r>
              <w:rPr>
                <w:rFonts w:hint="default" w:ascii="Times New Roman" w:hAnsi="Times New Roman" w:cs="Times New Roman"/>
                <w:b/>
                <w:bCs/>
              </w:rPr>
              <w:t>âˆ’0.295</w:t>
            </w:r>
          </w:p>
        </w:tc>
        <w:tc>
          <w:p w14:paraId="21267A67">
            <w:pPr>
              <w:pStyle w:val="24"/>
              <w:rPr>
                <w:rFonts w:hint="default" w:ascii="Times New Roman" w:hAnsi="Times New Roman" w:cs="Times New Roman"/>
              </w:rPr>
            </w:pPr>
            <w:r>
              <w:rPr>
                <w:rFonts w:hint="default" w:ascii="Times New Roman" w:hAnsi="Times New Roman" w:cs="Times New Roman"/>
              </w:rPr>
              <w:t>0.097</w:t>
            </w:r>
          </w:p>
        </w:tc>
        <w:tc>
          <w:p w14:paraId="0C53E558">
            <w:pPr>
              <w:pStyle w:val="24"/>
              <w:rPr>
                <w:rFonts w:hint="default" w:ascii="Times New Roman" w:hAnsi="Times New Roman" w:cs="Times New Roman"/>
              </w:rPr>
            </w:pPr>
            <w:r>
              <w:rPr>
                <w:rFonts w:hint="default" w:ascii="Times New Roman" w:hAnsi="Times New Roman" w:cs="Times New Roman"/>
              </w:rPr>
              <w:t>33</w:t>
            </w:r>
          </w:p>
        </w:tc>
      </w:tr>
    </w:tbl>
    <w:p w14:paraId="6FEB121D">
      <w:pPr>
        <w:pStyle w:val="3"/>
        <w:rPr>
          <w:rFonts w:hint="default" w:ascii="Times New Roman" w:hAnsi="Times New Roman" w:cs="Times New Roman"/>
        </w:rPr>
      </w:pPr>
      <w:r>
        <w:rPr>
          <w:rFonts w:hint="default" w:ascii="Times New Roman" w:hAnsi="Times New Roman" w:cs="Times New Roman"/>
        </w:rPr>
        <w:t>The in-sample row is inadmissible and is shown only to make the gap visible: v2’s shipped coefficients include a fitted intercept per cohort, estimated on these same cells, and fade rate varies strongly by cohort. Refitting inside each fold is what makes the other rows meaningful.</w:t>
      </w:r>
    </w:p>
    <w:p w14:paraId="50E02AC1">
      <w:pPr>
        <w:pStyle w:val="3"/>
        <w:rPr>
          <w:rFonts w:hint="default" w:ascii="Times New Roman" w:hAnsi="Times New Roman" w:cs="Times New Roman"/>
        </w:rPr>
      </w:pPr>
      <w:r>
        <w:rPr>
          <w:rFonts w:hint="default" w:ascii="Times New Roman" w:hAnsi="Times New Roman" w:cs="Times New Roman"/>
        </w:rPr>
        <w:t>Per-cycle regression, same folds:</w:t>
      </w:r>
    </w:p>
    <w:tbl>
      <w:tblPr>
        <w:tblStyle w:val="41"/>
        <w:tblW w:w="0" w:type="auto"/>
        <w:tblInd w:w="0" w:type="dxa"/>
        <w:tblLayout w:type="autofit"/>
        <w:tblCellMar>
          <w:top w:w="0" w:type="dxa"/>
          <w:left w:w="108" w:type="dxa"/>
          <w:bottom w:w="0" w:type="dxa"/>
          <w:right w:w="108" w:type="dxa"/>
        </w:tblCellMar>
      </w:tblPr>
      <w:tblGrid>
        <w:gridCol w:w="870"/>
        <w:gridCol w:w="2928"/>
        <w:gridCol w:w="2363"/>
      </w:tblGrid>
      <w:tr w14:paraId="22F68375">
        <w:tblPrEx>
          <w:tblCellMar>
            <w:top w:w="0" w:type="dxa"/>
            <w:left w:w="108" w:type="dxa"/>
            <w:bottom w:w="0" w:type="dxa"/>
            <w:right w:w="108" w:type="dxa"/>
          </w:tblCellMar>
        </w:tblPrEx>
        <w:trPr>
          <w:tblHeader/>
        </w:trPr>
        <w:tc>
          <w:p w14:paraId="566DF2A5">
            <w:pPr>
              <w:pStyle w:val="24"/>
              <w:rPr>
                <w:rFonts w:hint="default" w:ascii="Times New Roman" w:hAnsi="Times New Roman" w:cs="Times New Roman"/>
              </w:rPr>
            </w:pPr>
            <w:r>
              <w:rPr>
                <w:rFonts w:hint="default" w:ascii="Times New Roman" w:hAnsi="Times New Roman" w:cs="Times New Roman"/>
              </w:rPr>
              <w:t>Split</w:t>
            </w:r>
          </w:p>
        </w:tc>
        <w:tc>
          <w:p w14:paraId="76749F12">
            <w:pPr>
              <w:pStyle w:val="24"/>
              <w:rPr>
                <w:rFonts w:hint="default" w:ascii="Times New Roman" w:hAnsi="Times New Roman" w:cs="Times New Roman"/>
              </w:rPr>
            </w:pPr>
            <w:r>
              <w:rPr>
                <w:rFonts w:hint="default" w:ascii="Times New Roman" w:hAnsi="Times New Roman" w:cs="Times New Roman"/>
              </w:rPr>
              <w:t>Median RÂ² vs global mean</w:t>
            </w:r>
          </w:p>
        </w:tc>
        <w:tc>
          <w:p w14:paraId="3630B624">
            <w:pPr>
              <w:pStyle w:val="24"/>
              <w:rPr>
                <w:rFonts w:hint="default" w:ascii="Times New Roman" w:hAnsi="Times New Roman" w:cs="Times New Roman"/>
              </w:rPr>
            </w:pPr>
            <w:r>
              <w:rPr>
                <w:rFonts w:hint="default" w:ascii="Times New Roman" w:hAnsi="Times New Roman" w:cs="Times New Roman"/>
              </w:rPr>
              <w:t>Folds beating baseline</w:t>
            </w:r>
          </w:p>
        </w:tc>
      </w:tr>
      <w:tr w14:paraId="2EF8AD73">
        <w:tblPrEx>
          <w:tblCellMar>
            <w:top w:w="0" w:type="dxa"/>
            <w:left w:w="108" w:type="dxa"/>
            <w:bottom w:w="0" w:type="dxa"/>
            <w:right w:w="108" w:type="dxa"/>
          </w:tblCellMar>
        </w:tblPrEx>
        <w:tc>
          <w:p w14:paraId="69EBCC7F">
            <w:pPr>
              <w:pStyle w:val="24"/>
              <w:rPr>
                <w:rFonts w:hint="default" w:ascii="Times New Roman" w:hAnsi="Times New Roman" w:cs="Times New Roman"/>
              </w:rPr>
            </w:pPr>
            <w:r>
              <w:rPr>
                <w:rFonts w:hint="default" w:ascii="Times New Roman" w:hAnsi="Times New Roman" w:cs="Times New Roman"/>
              </w:rPr>
              <w:t>LOBO</w:t>
            </w:r>
          </w:p>
        </w:tc>
        <w:tc>
          <w:p w14:paraId="0F4DA99F">
            <w:pPr>
              <w:pStyle w:val="24"/>
              <w:rPr>
                <w:rFonts w:hint="default" w:ascii="Times New Roman" w:hAnsi="Times New Roman" w:cs="Times New Roman"/>
              </w:rPr>
            </w:pPr>
            <w:r>
              <w:rPr>
                <w:rFonts w:hint="default" w:ascii="Times New Roman" w:hAnsi="Times New Roman" w:cs="Times New Roman"/>
              </w:rPr>
              <w:t>+0.008</w:t>
            </w:r>
          </w:p>
        </w:tc>
        <w:tc>
          <w:p w14:paraId="02377294">
            <w:pPr>
              <w:pStyle w:val="24"/>
              <w:rPr>
                <w:rFonts w:hint="default" w:ascii="Times New Roman" w:hAnsi="Times New Roman" w:cs="Times New Roman"/>
              </w:rPr>
            </w:pPr>
            <w:r>
              <w:rPr>
                <w:rFonts w:hint="default" w:ascii="Times New Roman" w:hAnsi="Times New Roman" w:cs="Times New Roman"/>
              </w:rPr>
              <w:t>73%</w:t>
            </w:r>
          </w:p>
        </w:tc>
      </w:tr>
      <w:tr w14:paraId="6424B0E1">
        <w:tblPrEx>
          <w:tblCellMar>
            <w:top w:w="0" w:type="dxa"/>
            <w:left w:w="108" w:type="dxa"/>
            <w:bottom w:w="0" w:type="dxa"/>
            <w:right w:w="108" w:type="dxa"/>
          </w:tblCellMar>
        </w:tblPrEx>
        <w:tc>
          <w:p w14:paraId="776D2968">
            <w:pPr>
              <w:pStyle w:val="24"/>
              <w:rPr>
                <w:rFonts w:hint="default" w:ascii="Times New Roman" w:hAnsi="Times New Roman" w:cs="Times New Roman"/>
              </w:rPr>
            </w:pPr>
            <w:r>
              <w:rPr>
                <w:rFonts w:hint="default" w:ascii="Times New Roman" w:hAnsi="Times New Roman" w:cs="Times New Roman"/>
              </w:rPr>
              <w:t>LOCO</w:t>
            </w:r>
          </w:p>
        </w:tc>
        <w:tc>
          <w:p w14:paraId="4E37DA08">
            <w:pPr>
              <w:pStyle w:val="24"/>
              <w:rPr>
                <w:rFonts w:hint="default" w:ascii="Times New Roman" w:hAnsi="Times New Roman" w:cs="Times New Roman"/>
              </w:rPr>
            </w:pPr>
            <w:r>
              <w:rPr>
                <w:rFonts w:hint="default" w:ascii="Times New Roman" w:hAnsi="Times New Roman" w:cs="Times New Roman"/>
              </w:rPr>
              <w:t>âˆ’0.167</w:t>
            </w:r>
          </w:p>
        </w:tc>
        <w:tc>
          <w:p w14:paraId="3D685BD5">
            <w:pPr>
              <w:pStyle w:val="24"/>
              <w:rPr>
                <w:rFonts w:hint="default" w:ascii="Times New Roman" w:hAnsi="Times New Roman" w:cs="Times New Roman"/>
              </w:rPr>
            </w:pPr>
            <w:r>
              <w:rPr>
                <w:rFonts w:hint="default" w:ascii="Times New Roman" w:hAnsi="Times New Roman" w:cs="Times New Roman"/>
              </w:rPr>
              <w:t>11%</w:t>
            </w:r>
          </w:p>
        </w:tc>
      </w:tr>
    </w:tbl>
    <w:p w14:paraId="2F5832AE">
      <w:pPr>
        <w:pStyle w:val="3"/>
        <w:rPr>
          <w:rFonts w:hint="default" w:ascii="Times New Roman" w:hAnsi="Times New Roman" w:cs="Times New Roman"/>
        </w:rPr>
      </w:pPr>
      <w:r>
        <w:rPr>
          <w:rFonts w:hint="default" w:ascii="Times New Roman" w:hAnsi="Times New Roman" w:cs="Times New Roman"/>
          <w:b/>
          <w:bCs/>
        </w:rPr>
        <w:t>The model’s ranking ability lives almost entirely in its fitted cohort intercepts, not in its temperature coefficient.</w:t>
      </w:r>
      <w:r>
        <w:rPr>
          <w:rFonts w:hint="default" w:ascii="Times New Roman" w:hAnsi="Times New Roman" w:cs="Times New Roman"/>
        </w:rPr>
        <w:t xml:space="preserve"> Within a known protocol it ranks cells well; on an unseen protocol it is indistinguishable from noise and points the wrong way.</w:t>
      </w:r>
    </w:p>
    <w:p w14:paraId="76E0BEE6">
      <w:pPr>
        <w:pStyle w:val="3"/>
        <w:rPr>
          <w:rFonts w:hint="default" w:ascii="Times New Roman" w:hAnsi="Times New Roman" w:cs="Times New Roman"/>
        </w:rPr>
      </w:pPr>
      <w:r>
        <w:rPr>
          <w:rFonts w:hint="default" w:ascii="Times New Roman" w:hAnsi="Times New Roman" w:cs="Times New Roman"/>
        </w:rPr>
        <w:t>LOBO alone could never have shown this, because LOBO always leaves the held-out cell’s cohort siblings in training. This is a concrete instance of the generalisation gap the review literature names as a field-wide problem, found in our own model by running the harder split.</w:t>
      </w:r>
    </w:p>
    <w:p w14:paraId="0FEA1C72">
      <w:pPr>
        <w:pStyle w:val="3"/>
        <w:rPr>
          <w:rFonts w:hint="default" w:ascii="Times New Roman" w:hAnsi="Times New Roman" w:cs="Times New Roman"/>
        </w:rPr>
      </w:pPr>
      <w:r>
        <w:rPr>
          <w:rFonts w:hint="default" w:ascii="Times New Roman" w:hAnsi="Times New Roman" w:cs="Times New Roman"/>
        </w:rPr>
        <w:t>It also sharpens Section 4.6’s conclusion. That section closed the mixed-effects line because 3â€“4 batteries per cohort could not identify random effects. LOCO shows what that unidentifiability costs: the cohort term is carrying the predictive load, and there is not enough data to model it as anything but a fixed intercept fitted to the cohorts we happen to have.</w:t>
      </w:r>
    </w:p>
    <w:bookmarkEnd w:id="19"/>
    <w:p w14:paraId="16BB0D0F">
      <w:pPr>
        <w:pStyle w:val="5"/>
        <w:rPr>
          <w:rFonts w:hint="default" w:ascii="Times New Roman" w:hAnsi="Times New Roman" w:cs="Times New Roman"/>
        </w:rPr>
      </w:pPr>
      <w:bookmarkStart w:id="20" w:name="X4b36531bf99772ed241721741cff12d2a0cf794"/>
      <w:r>
        <w:rPr>
          <w:rFonts w:hint="default" w:ascii="Times New Roman" w:hAnsi="Times New Roman" w:cs="Times New Roman"/>
        </w:rPr>
        <w:t>4.9 Explainability: exact attribution, and a gate on what SHAP may claim</w:t>
      </w:r>
    </w:p>
    <w:p w14:paraId="58436F94">
      <w:pPr>
        <w:pStyle w:val="23"/>
        <w:rPr>
          <w:rFonts w:hint="default" w:ascii="Times New Roman" w:hAnsi="Times New Roman" w:cs="Times New Roman"/>
        </w:rPr>
      </w:pPr>
      <w:r>
        <w:rPr>
          <w:rFonts w:hint="default" w:ascii="Times New Roman" w:hAnsi="Times New Roman" w:cs="Times New Roman"/>
        </w:rPr>
        <w:t>The Guardian module claimed to “explain causes” using if/else thresholds (</w:t>
      </w:r>
      <w:r>
        <w:rPr>
          <w:rStyle w:val="48"/>
          <w:rFonts w:hint="default" w:ascii="Times New Roman" w:hAnsi="Times New Roman" w:cs="Times New Roman"/>
        </w:rPr>
        <w:t>avg_temp &gt; 35</w:t>
      </w:r>
      <w:r>
        <w:rPr>
          <w:rFonts w:hint="default" w:ascii="Times New Roman" w:hAnsi="Times New Roman" w:cs="Times New Roman"/>
        </w:rPr>
        <w:t xml:space="preserve">, </w:t>
      </w:r>
      <w:r>
        <w:rPr>
          <w:rStyle w:val="48"/>
          <w:rFonts w:hint="default" w:ascii="Times New Roman" w:hAnsi="Times New Roman" w:cs="Times New Roman"/>
        </w:rPr>
        <w:t>fast_charge_duration &gt; 50</w:t>
      </w:r>
      <w:r>
        <w:rPr>
          <w:rFonts w:hint="default" w:ascii="Times New Roman" w:hAnsi="Times New Roman" w:cs="Times New Roman"/>
        </w:rPr>
        <w:t xml:space="preserve">) that </w:t>
      </w:r>
      <w:r>
        <w:rPr>
          <w:rFonts w:hint="default" w:ascii="Times New Roman" w:hAnsi="Times New Roman" w:cs="Times New Roman"/>
          <w:b/>
          <w:bCs/>
        </w:rPr>
        <w:t>appear nowhere else in the codebase</w:t>
      </w:r>
      <w:r>
        <w:rPr>
          <w:rFonts w:hint="default" w:ascii="Times New Roman" w:hAnsi="Times New Roman" w:cs="Times New Roman"/>
        </w:rPr>
        <w:t>. It was explaining a score using a different rulebook from the one that produced it, which allowed it to name causes contributing nothing and omit terms that dominated.</w:t>
      </w:r>
    </w:p>
    <w:p w14:paraId="6E73CF62">
      <w:pPr>
        <w:pStyle w:val="3"/>
        <w:rPr>
          <w:rFonts w:hint="default" w:ascii="Times New Roman" w:hAnsi="Times New Roman" w:cs="Times New Roman"/>
        </w:rPr>
      </w:pPr>
      <w:r>
        <w:rPr>
          <w:rFonts w:hint="default" w:ascii="Times New Roman" w:hAnsi="Times New Roman" w:cs="Times New Roman"/>
          <w:b/>
          <w:bCs/>
        </w:rPr>
        <w:t>Exact Shapley attribution.</w:t>
      </w:r>
      <w:r>
        <w:rPr>
          <w:rFonts w:hint="default" w:ascii="Times New Roman" w:hAnsi="Times New Roman" w:cs="Times New Roman"/>
        </w:rPr>
        <w:t xml:space="preserve"> The rule scores are additive by construction, </w:t>
      </w:r>
      <w:r>
        <w:rPr>
          <w:rStyle w:val="48"/>
          <w:rFonts w:hint="default" w:ascii="Times New Roman" w:hAnsi="Times New Roman" w:cs="Times New Roman"/>
        </w:rPr>
        <w:t>f(x) = Î£áµ¢ fáµ¢(xáµ¢)</w:t>
      </w:r>
      <w:r>
        <w:rPr>
          <w:rFonts w:hint="default" w:ascii="Times New Roman" w:hAnsi="Times New Roman" w:cs="Times New Roman"/>
        </w:rPr>
        <w:t xml:space="preserve">. For an additive model the Shapley value has a closed form, </w:t>
      </w:r>
      <w:r>
        <w:rPr>
          <w:rStyle w:val="48"/>
          <w:rFonts w:hint="default" w:ascii="Times New Roman" w:hAnsi="Times New Roman" w:cs="Times New Roman"/>
        </w:rPr>
        <w:t>Ï†áµ¢ = fáµ¢(xáµ¢) âˆ’ E[fáµ¢(Xáµ¢)]</w:t>
      </w:r>
      <w:r>
        <w:rPr>
          <w:rFonts w:hint="default" w:ascii="Times New Roman" w:hAnsi="Times New Roman" w:cs="Times New Roman"/>
        </w:rPr>
        <w:t xml:space="preserve">, because the marginal contribution of a feature is independent of the coalition it joins. This is exact rather than sampled, and â€” unlike KernelSHAP’s interventional estimate â€” requires </w:t>
      </w:r>
      <w:r>
        <w:rPr>
          <w:rFonts w:hint="default" w:ascii="Times New Roman" w:hAnsi="Times New Roman" w:cs="Times New Roman"/>
          <w:b/>
          <w:bCs/>
        </w:rPr>
        <w:t>no feature-independence assumption</w:t>
      </w:r>
      <w:r>
        <w:rPr>
          <w:rFonts w:hint="default" w:ascii="Times New Roman" w:hAnsi="Times New Roman" w:cs="Times New Roman"/>
        </w:rPr>
        <w:t xml:space="preserve">, which matters because temperature, C-rate and SOC exposure are strongly correlated in this data. Term definitions are now shared between scorer and explainer, and the efficiency identity </w:t>
      </w:r>
      <w:r>
        <w:rPr>
          <w:rStyle w:val="48"/>
          <w:rFonts w:hint="default" w:ascii="Times New Roman" w:hAnsi="Times New Roman" w:cs="Times New Roman"/>
        </w:rPr>
        <w:t>Î£Ï†áµ¢ = f(x) âˆ’ E[f(X)]</w:t>
      </w:r>
      <w:r>
        <w:rPr>
          <w:rFonts w:hint="default" w:ascii="Times New Roman" w:hAnsi="Times New Roman" w:cs="Times New Roman"/>
        </w:rPr>
        <w:t xml:space="preserve"> is asserted on every call, doubling as a drift test. The extraction was verified bit-identical on all 33 NASA batteries against the pre-refactor outputs.</w:t>
      </w:r>
    </w:p>
    <w:p w14:paraId="2A6E035B">
      <w:pPr>
        <w:pStyle w:val="3"/>
        <w:rPr>
          <w:rFonts w:hint="default" w:ascii="Times New Roman" w:hAnsi="Times New Roman" w:cs="Times New Roman"/>
        </w:rPr>
      </w:pPr>
      <w:r>
        <w:rPr>
          <w:rFonts w:hint="default" w:ascii="Times New Roman" w:hAnsi="Times New Roman" w:cs="Times New Roman"/>
          <w:b/>
          <w:bCs/>
        </w:rPr>
        <w:t>SHAP against measured fade, and why its ranking is not evidence.</w:t>
      </w:r>
      <w:r>
        <w:rPr>
          <w:rFonts w:hint="default" w:ascii="Times New Roman" w:hAnsi="Times New Roman" w:cs="Times New Roman"/>
        </w:rPr>
        <w:t xml:space="preserve"> Attribution of the rules is circular: it restates what the rules assert and cannot say whether they weight the right things. A gradient-boosted model was fitted to measured capacity loss and attributed with TreeSHAP â€” the correct tool, since that model genuinely is non-additive. Leakage columns were excluded: </w:t>
      </w:r>
      <w:r>
        <w:rPr>
          <w:rStyle w:val="48"/>
          <w:rFonts w:hint="default" w:ascii="Times New Roman" w:hAnsi="Times New Roman" w:cs="Times New Roman"/>
        </w:rPr>
        <w:t>capacity_ah</w:t>
      </w:r>
      <w:r>
        <w:rPr>
          <w:rFonts w:hint="default" w:ascii="Times New Roman" w:hAnsi="Times New Roman" w:cs="Times New Roman"/>
        </w:rPr>
        <w:t xml:space="preserve"> (target is derived from it), </w:t>
      </w:r>
      <w:r>
        <w:rPr>
          <w:rStyle w:val="48"/>
          <w:rFonts w:hint="default" w:ascii="Times New Roman" w:hAnsi="Times New Roman" w:cs="Times New Roman"/>
        </w:rPr>
        <w:t>n_rows</w:t>
      </w:r>
      <w:r>
        <w:rPr>
          <w:rFonts w:hint="default" w:ascii="Times New Roman" w:hAnsi="Times New Roman" w:cs="Times New Roman"/>
        </w:rPr>
        <w:t xml:space="preserve"> (a file artifact), and </w:t>
      </w:r>
      <w:r>
        <w:rPr>
          <w:rStyle w:val="48"/>
          <w:rFonts w:hint="default" w:ascii="Times New Roman" w:hAnsi="Times New Roman" w:cs="Times New Roman"/>
        </w:rPr>
        <w:t>battery_age_factor</w:t>
      </w:r>
      <w:r>
        <w:rPr>
          <w:rFonts w:hint="default" w:ascii="Times New Roman" w:hAnsi="Times New Roman" w:cs="Times New Roman"/>
        </w:rPr>
        <w:t xml:space="preserve">, which is </w:t>
      </w:r>
      <w:r>
        <w:rPr>
          <w:rStyle w:val="48"/>
          <w:rFonts w:hint="default" w:ascii="Times New Roman" w:hAnsi="Times New Roman" w:cs="Times New Roman"/>
        </w:rPr>
        <w:t>cycle / max(cycle for this battery)</w:t>
      </w:r>
      <w:r>
        <w:rPr>
          <w:rFonts w:hint="default" w:ascii="Times New Roman" w:hAnsi="Times New Roman" w:cs="Times New Roman"/>
        </w:rPr>
        <w:t xml:space="preserve"> and so leaks the cell’s eventual lifetime into every early-cycle row.</w:t>
      </w:r>
    </w:p>
    <w:p w14:paraId="7000B667">
      <w:pPr>
        <w:pStyle w:val="3"/>
        <w:rPr>
          <w:rFonts w:hint="default" w:ascii="Times New Roman" w:hAnsi="Times New Roman" w:cs="Times New Roman"/>
        </w:rPr>
      </w:pPr>
      <w:r>
        <w:rPr>
          <w:rFonts w:hint="default" w:ascii="Times New Roman" w:hAnsi="Times New Roman" w:cs="Times New Roman"/>
        </w:rPr>
        <w:t xml:space="preserve">The model </w:t>
      </w:r>
      <w:r>
        <w:rPr>
          <w:rFonts w:hint="default" w:ascii="Times New Roman" w:hAnsi="Times New Roman" w:cs="Times New Roman"/>
          <w:b/>
          <w:bCs/>
        </w:rPr>
        <w:t>fails its validation gate</w:t>
      </w:r>
      <w:r>
        <w:rPr>
          <w:rFonts w:hint="default" w:ascii="Times New Roman" w:hAnsi="Times New Roman" w:cs="Times New Roman"/>
        </w:rPr>
        <w:t>: LOBO median RÂ² = âˆ’0.096 (42% of folds beat baseline), LOCO median RÂ² = âˆ’1.61 (11%). The script therefore reports its SHAP ranking as describing internal fitting behaviour only, not as evidence about degradation drivers.</w:t>
      </w:r>
    </w:p>
    <w:p w14:paraId="5BDEF2A8">
      <w:pPr>
        <w:pStyle w:val="3"/>
        <w:rPr>
          <w:rFonts w:hint="default" w:ascii="Times New Roman" w:hAnsi="Times New Roman" w:cs="Times New Roman"/>
        </w:rPr>
      </w:pPr>
      <w:r>
        <w:rPr>
          <w:rFonts w:hint="default" w:ascii="Times New Roman" w:hAnsi="Times New Roman" w:cs="Times New Roman"/>
        </w:rPr>
        <w:t>This gate is the methodological contribution. SHAP attributes a model’s predictions to its inputs and says nothing about whether those predictions are any good. Run on a model without out-of-sample skill, it yields a confident-looking importance ranking that describes how the model fit noise â€” worse than no analysis, because it looks like evidence. The gate is computed, not chosen in advance, and the ranking is published rather than suppressed.</w:t>
      </w:r>
    </w:p>
    <w:p w14:paraId="2D57FF95">
      <w:pPr>
        <w:pStyle w:val="3"/>
        <w:rPr>
          <w:rFonts w:hint="default" w:ascii="Times New Roman" w:hAnsi="Times New Roman" w:cs="Times New Roman"/>
        </w:rPr>
      </w:pPr>
      <w:r>
        <w:rPr>
          <w:rFonts w:hint="default" w:ascii="Times New Roman" w:hAnsi="Times New Roman" w:cs="Times New Roman"/>
        </w:rPr>
        <w:t xml:space="preserve">Rank correlation between the rules’ weighting and the model’s importance ranking: </w:t>
      </w:r>
      <w:r>
        <w:rPr>
          <w:rFonts w:hint="default" w:ascii="Times New Roman" w:hAnsi="Times New Roman" w:cs="Times New Roman"/>
          <w:b/>
          <w:bCs/>
        </w:rPr>
        <w:t>âˆ’0.103</w:t>
      </w:r>
      <w:r>
        <w:rPr>
          <w:rFonts w:hint="default" w:ascii="Times New Roman" w:hAnsi="Times New Roman" w:cs="Times New Roman"/>
        </w:rPr>
        <w:t>. The defensible reading is not “the rules are wrong and SHAP is right”, but that this dataset supports neither weighting â€” consistent with Section 4.7, where most of the rule score turns out to be constant.</w:t>
      </w:r>
    </w:p>
    <w:bookmarkEnd w:id="20"/>
    <w:p w14:paraId="2F038D64">
      <w:pPr>
        <w:pStyle w:val="5"/>
        <w:rPr>
          <w:rFonts w:hint="default" w:ascii="Times New Roman" w:hAnsi="Times New Roman" w:cs="Times New Roman"/>
        </w:rPr>
      </w:pPr>
      <w:bookmarkStart w:id="21" w:name="the-target-itself-was-96-noise-level-5"/>
      <w:r>
        <w:rPr>
          <w:rFonts w:hint="default" w:ascii="Times New Roman" w:hAnsi="Times New Roman" w:cs="Times New Roman"/>
        </w:rPr>
        <w:t>4.10 The target itself was 96% noise (Level 5)</w:t>
      </w:r>
    </w:p>
    <w:p w14:paraId="670B8BB9">
      <w:pPr>
        <w:pStyle w:val="23"/>
        <w:rPr>
          <w:rFonts w:hint="default" w:ascii="Times New Roman" w:hAnsi="Times New Roman" w:cs="Times New Roman"/>
        </w:rPr>
      </w:pPr>
      <w:r>
        <w:rPr>
          <w:rFonts w:hint="default" w:ascii="Times New Roman" w:hAnsi="Times New Roman" w:cs="Times New Roman"/>
        </w:rPr>
        <w:t xml:space="preserve">Every result in Sections 4.1 through 4.9 is measured against </w:t>
      </w:r>
      <w:r>
        <w:rPr>
          <w:rStyle w:val="48"/>
          <w:rFonts w:hint="default" w:ascii="Times New Roman" w:hAnsi="Times New Roman" w:cs="Times New Roman"/>
        </w:rPr>
        <w:t>capacity_loss</w:t>
      </w:r>
      <w:r>
        <w:rPr>
          <w:rFonts w:hint="default" w:ascii="Times New Roman" w:hAnsi="Times New Roman" w:cs="Times New Roman"/>
        </w:rPr>
        <w:t xml:space="preserve">, the per-cycle change in measured discharge capacity. Building the benchmark suite (Section 4.12) required running published methods against that target, which forced a question this report had not asked: </w:t>
      </w:r>
      <w:r>
        <w:rPr>
          <w:rFonts w:hint="default" w:ascii="Times New Roman" w:hAnsi="Times New Roman" w:cs="Times New Roman"/>
          <w:b/>
          <w:bCs/>
        </w:rPr>
        <w:t>how much signal does the target contain at all?</w:t>
      </w:r>
    </w:p>
    <w:p w14:paraId="60B452F3">
      <w:pPr>
        <w:pStyle w:val="3"/>
        <w:rPr>
          <w:rFonts w:hint="default" w:ascii="Times New Roman" w:hAnsi="Times New Roman" w:cs="Times New Roman"/>
        </w:rPr>
      </w:pPr>
      <w:r>
        <w:rPr>
          <w:rStyle w:val="48"/>
          <w:rFonts w:hint="default" w:ascii="Times New Roman" w:hAnsi="Times New Roman" w:cs="Times New Roman"/>
        </w:rPr>
        <w:t>benchmarks/targets.signal_to_noise</w:t>
      </w:r>
      <w:r>
        <w:rPr>
          <w:rFonts w:hint="default" w:ascii="Times New Roman" w:hAnsi="Times New Roman" w:cs="Times New Roman"/>
        </w:rPr>
        <w:t xml:space="preserve"> answers it by decomposing each target’s within-cell variance into monotone trend and residual, using isotonic regression against cycle index. A monotone fit assumes only that degradation does not reverse â€” the weakest assumption that still defines a trend, chosen because a polynomial would bend to absorb noise and overstate the result. The trend fraction is a </w:t>
      </w:r>
      <w:r>
        <w:rPr>
          <w:rFonts w:hint="default" w:ascii="Times New Roman" w:hAnsi="Times New Roman" w:cs="Times New Roman"/>
          <w:b/>
          <w:bCs/>
        </w:rPr>
        <w:t>ceiling on attainable RÂ²</w:t>
      </w:r>
      <w:r>
        <w:rPr>
          <w:rFonts w:hint="default" w:ascii="Times New Roman" w:hAnsi="Times New Roman" w:cs="Times New Roman"/>
        </w:rPr>
        <w:t>, since nothing can predict the residual.</w:t>
      </w:r>
    </w:p>
    <w:tbl>
      <w:tblPr>
        <w:tblStyle w:val="41"/>
        <w:tblW w:w="0" w:type="auto"/>
        <w:tblInd w:w="0" w:type="dxa"/>
        <w:tblLayout w:type="autofit"/>
        <w:tblCellMar>
          <w:top w:w="0" w:type="dxa"/>
          <w:left w:w="108" w:type="dxa"/>
          <w:bottom w:w="0" w:type="dxa"/>
          <w:right w:w="108" w:type="dxa"/>
        </w:tblCellMar>
      </w:tblPr>
      <w:tblGrid>
        <w:gridCol w:w="2175"/>
        <w:gridCol w:w="3727"/>
        <w:gridCol w:w="710"/>
        <w:gridCol w:w="763"/>
      </w:tblGrid>
      <w:tr w14:paraId="220512AB">
        <w:tblPrEx>
          <w:tblCellMar>
            <w:top w:w="0" w:type="dxa"/>
            <w:left w:w="108" w:type="dxa"/>
            <w:bottom w:w="0" w:type="dxa"/>
            <w:right w:w="108" w:type="dxa"/>
          </w:tblCellMar>
        </w:tblPrEx>
        <w:trPr>
          <w:tblHeader/>
        </w:trPr>
        <w:tc>
          <w:p w14:paraId="4E2488B0">
            <w:pPr>
              <w:pStyle w:val="24"/>
              <w:rPr>
                <w:rFonts w:hint="default" w:ascii="Times New Roman" w:hAnsi="Times New Roman" w:cs="Times New Roman"/>
              </w:rPr>
            </w:pPr>
            <w:r>
              <w:rPr>
                <w:rFonts w:hint="default" w:ascii="Times New Roman" w:hAnsi="Times New Roman" w:cs="Times New Roman"/>
              </w:rPr>
              <w:t>Target</w:t>
            </w:r>
          </w:p>
        </w:tc>
        <w:tc>
          <w:p w14:paraId="2D079C7A">
            <w:pPr>
              <w:pStyle w:val="24"/>
              <w:rPr>
                <w:rFonts w:hint="default" w:ascii="Times New Roman" w:hAnsi="Times New Roman" w:cs="Times New Roman"/>
              </w:rPr>
            </w:pPr>
            <w:r>
              <w:rPr>
                <w:rFonts w:hint="default" w:ascii="Times New Roman" w:hAnsi="Times New Roman" w:cs="Times New Roman"/>
              </w:rPr>
              <w:t>Signal fraction (max attainable RÂ²)</w:t>
            </w:r>
          </w:p>
        </w:tc>
        <w:tc>
          <w:p w14:paraId="2B1B490D">
            <w:pPr>
              <w:pStyle w:val="24"/>
              <w:rPr>
                <w:rFonts w:hint="default" w:ascii="Times New Roman" w:hAnsi="Times New Roman" w:cs="Times New Roman"/>
              </w:rPr>
            </w:pPr>
            <w:r>
              <w:rPr>
                <w:rFonts w:hint="default" w:ascii="Times New Roman" w:hAnsi="Times New Roman" w:cs="Times New Roman"/>
              </w:rPr>
              <w:t>Cells</w:t>
            </w:r>
          </w:p>
        </w:tc>
        <w:tc>
          <w:p w14:paraId="07D91434">
            <w:pPr>
              <w:pStyle w:val="24"/>
              <w:rPr>
                <w:rFonts w:hint="default" w:ascii="Times New Roman" w:hAnsi="Times New Roman" w:cs="Times New Roman"/>
              </w:rPr>
            </w:pPr>
            <w:r>
              <w:rPr>
                <w:rFonts w:hint="default" w:ascii="Times New Roman" w:hAnsi="Times New Roman" w:cs="Times New Roman"/>
              </w:rPr>
              <w:t>Rows</w:t>
            </w:r>
          </w:p>
        </w:tc>
      </w:tr>
      <w:tr w14:paraId="7D0DDED4">
        <w:tblPrEx>
          <w:tblCellMar>
            <w:top w:w="0" w:type="dxa"/>
            <w:left w:w="108" w:type="dxa"/>
            <w:bottom w:w="0" w:type="dxa"/>
            <w:right w:w="108" w:type="dxa"/>
          </w:tblCellMar>
        </w:tblPrEx>
        <w:tc>
          <w:p w14:paraId="3E136210">
            <w:pPr>
              <w:pStyle w:val="24"/>
              <w:rPr>
                <w:rFonts w:hint="default" w:ascii="Times New Roman" w:hAnsi="Times New Roman" w:cs="Times New Roman"/>
              </w:rPr>
            </w:pPr>
            <w:r>
              <w:rPr>
                <w:rStyle w:val="48"/>
                <w:rFonts w:hint="default" w:ascii="Times New Roman" w:hAnsi="Times New Roman" w:cs="Times New Roman"/>
              </w:rPr>
              <w:t>capacity_loss</w:t>
            </w:r>
          </w:p>
        </w:tc>
        <w:tc>
          <w:p w14:paraId="577F0E93">
            <w:pPr>
              <w:pStyle w:val="24"/>
              <w:rPr>
                <w:rFonts w:hint="default" w:ascii="Times New Roman" w:hAnsi="Times New Roman" w:cs="Times New Roman"/>
              </w:rPr>
            </w:pPr>
            <w:r>
              <w:rPr>
                <w:rFonts w:hint="default" w:ascii="Times New Roman" w:hAnsi="Times New Roman" w:cs="Times New Roman"/>
                <w:b/>
                <w:bCs/>
              </w:rPr>
              <w:t>0.044</w:t>
            </w:r>
          </w:p>
        </w:tc>
        <w:tc>
          <w:p w14:paraId="02592C22">
            <w:pPr>
              <w:pStyle w:val="24"/>
              <w:rPr>
                <w:rFonts w:hint="default" w:ascii="Times New Roman" w:hAnsi="Times New Roman" w:cs="Times New Roman"/>
              </w:rPr>
            </w:pPr>
            <w:r>
              <w:rPr>
                <w:rFonts w:hint="default" w:ascii="Times New Roman" w:hAnsi="Times New Roman" w:cs="Times New Roman"/>
              </w:rPr>
              <w:t>33</w:t>
            </w:r>
          </w:p>
        </w:tc>
        <w:tc>
          <w:p w14:paraId="45B54165">
            <w:pPr>
              <w:pStyle w:val="24"/>
              <w:rPr>
                <w:rFonts w:hint="default" w:ascii="Times New Roman" w:hAnsi="Times New Roman" w:cs="Times New Roman"/>
              </w:rPr>
            </w:pPr>
            <w:r>
              <w:rPr>
                <w:rFonts w:hint="default" w:ascii="Times New Roman" w:hAnsi="Times New Roman" w:cs="Times New Roman"/>
              </w:rPr>
              <w:t>2,680</w:t>
            </w:r>
          </w:p>
        </w:tc>
      </w:tr>
      <w:tr w14:paraId="39868AF7">
        <w:tblPrEx>
          <w:tblCellMar>
            <w:top w:w="0" w:type="dxa"/>
            <w:left w:w="108" w:type="dxa"/>
            <w:bottom w:w="0" w:type="dxa"/>
            <w:right w:w="108" w:type="dxa"/>
          </w:tblCellMar>
        </w:tblPrEx>
        <w:tc>
          <w:p w14:paraId="01A4C0B4">
            <w:pPr>
              <w:pStyle w:val="24"/>
              <w:rPr>
                <w:rFonts w:hint="default" w:ascii="Times New Roman" w:hAnsi="Times New Roman" w:cs="Times New Roman"/>
              </w:rPr>
            </w:pPr>
            <w:r>
              <w:rPr>
                <w:rStyle w:val="48"/>
                <w:rFonts w:hint="default" w:ascii="Times New Roman" w:hAnsi="Times New Roman" w:cs="Times New Roman"/>
              </w:rPr>
              <w:t>soh</w:t>
            </w:r>
            <w:r>
              <w:rPr>
                <w:rFonts w:hint="default" w:ascii="Times New Roman" w:hAnsi="Times New Roman" w:cs="Times New Roman"/>
              </w:rPr>
              <w:t xml:space="preserve"> / </w:t>
            </w:r>
            <w:r>
              <w:rPr>
                <w:rStyle w:val="48"/>
                <w:rFonts w:hint="default" w:ascii="Times New Roman" w:hAnsi="Times New Roman" w:cs="Times New Roman"/>
              </w:rPr>
              <w:t>cumulative_fade</w:t>
            </w:r>
          </w:p>
        </w:tc>
        <w:tc>
          <w:p w14:paraId="68C21B78">
            <w:pPr>
              <w:pStyle w:val="24"/>
              <w:rPr>
                <w:rFonts w:hint="default" w:ascii="Times New Roman" w:hAnsi="Times New Roman" w:cs="Times New Roman"/>
              </w:rPr>
            </w:pPr>
            <w:r>
              <w:rPr>
                <w:rFonts w:hint="default" w:ascii="Times New Roman" w:hAnsi="Times New Roman" w:cs="Times New Roman"/>
              </w:rPr>
              <w:t>0.569</w:t>
            </w:r>
          </w:p>
        </w:tc>
        <w:tc>
          <w:p w14:paraId="0DB0BC35">
            <w:pPr>
              <w:pStyle w:val="24"/>
              <w:rPr>
                <w:rFonts w:hint="default" w:ascii="Times New Roman" w:hAnsi="Times New Roman" w:cs="Times New Roman"/>
              </w:rPr>
            </w:pPr>
            <w:r>
              <w:rPr>
                <w:rFonts w:hint="default" w:ascii="Times New Roman" w:hAnsi="Times New Roman" w:cs="Times New Roman"/>
              </w:rPr>
              <w:t>31</w:t>
            </w:r>
          </w:p>
        </w:tc>
        <w:tc>
          <w:p w14:paraId="44F73677">
            <w:pPr>
              <w:pStyle w:val="24"/>
              <w:rPr>
                <w:rFonts w:hint="default" w:ascii="Times New Roman" w:hAnsi="Times New Roman" w:cs="Times New Roman"/>
              </w:rPr>
            </w:pPr>
            <w:r>
              <w:rPr>
                <w:rFonts w:hint="default" w:ascii="Times New Roman" w:hAnsi="Times New Roman" w:cs="Times New Roman"/>
              </w:rPr>
              <w:t>2,585</w:t>
            </w:r>
          </w:p>
        </w:tc>
      </w:tr>
      <w:tr w14:paraId="6B025137">
        <w:tblPrEx>
          <w:tblCellMar>
            <w:top w:w="0" w:type="dxa"/>
            <w:left w:w="108" w:type="dxa"/>
            <w:bottom w:w="0" w:type="dxa"/>
            <w:right w:w="108" w:type="dxa"/>
          </w:tblCellMar>
        </w:tblPrEx>
        <w:tc>
          <w:p w14:paraId="600E7C4E">
            <w:pPr>
              <w:pStyle w:val="24"/>
              <w:rPr>
                <w:rFonts w:hint="default" w:ascii="Times New Roman" w:hAnsi="Times New Roman" w:cs="Times New Roman"/>
              </w:rPr>
            </w:pPr>
            <w:r>
              <w:rPr>
                <w:rStyle w:val="48"/>
                <w:rFonts w:hint="default" w:ascii="Times New Roman" w:hAnsi="Times New Roman" w:cs="Times New Roman"/>
              </w:rPr>
              <w:t>horizon_fade_10</w:t>
            </w:r>
          </w:p>
        </w:tc>
        <w:tc>
          <w:p w14:paraId="4520BB3D">
            <w:pPr>
              <w:pStyle w:val="24"/>
              <w:rPr>
                <w:rFonts w:hint="default" w:ascii="Times New Roman" w:hAnsi="Times New Roman" w:cs="Times New Roman"/>
              </w:rPr>
            </w:pPr>
            <w:r>
              <w:rPr>
                <w:rFonts w:hint="default" w:ascii="Times New Roman" w:hAnsi="Times New Roman" w:cs="Times New Roman"/>
              </w:rPr>
              <w:t>0.389</w:t>
            </w:r>
          </w:p>
        </w:tc>
        <w:tc>
          <w:p w14:paraId="2861C29B">
            <w:pPr>
              <w:pStyle w:val="24"/>
              <w:rPr>
                <w:rFonts w:hint="default" w:ascii="Times New Roman" w:hAnsi="Times New Roman" w:cs="Times New Roman"/>
              </w:rPr>
            </w:pPr>
            <w:r>
              <w:rPr>
                <w:rFonts w:hint="default" w:ascii="Times New Roman" w:hAnsi="Times New Roman" w:cs="Times New Roman"/>
              </w:rPr>
              <w:t>31</w:t>
            </w:r>
          </w:p>
        </w:tc>
        <w:tc>
          <w:p w14:paraId="07798B73">
            <w:pPr>
              <w:pStyle w:val="24"/>
              <w:rPr>
                <w:rFonts w:hint="default" w:ascii="Times New Roman" w:hAnsi="Times New Roman" w:cs="Times New Roman"/>
              </w:rPr>
            </w:pPr>
            <w:r>
              <w:rPr>
                <w:rFonts w:hint="default" w:ascii="Times New Roman" w:hAnsi="Times New Roman" w:cs="Times New Roman"/>
              </w:rPr>
              <w:t>2,268</w:t>
            </w:r>
          </w:p>
        </w:tc>
      </w:tr>
      <w:tr w14:paraId="43DACC8E">
        <w:tblPrEx>
          <w:tblCellMar>
            <w:top w:w="0" w:type="dxa"/>
            <w:left w:w="108" w:type="dxa"/>
            <w:bottom w:w="0" w:type="dxa"/>
            <w:right w:w="108" w:type="dxa"/>
          </w:tblCellMar>
        </w:tblPrEx>
        <w:tc>
          <w:p w14:paraId="54ECA9A9">
            <w:pPr>
              <w:pStyle w:val="24"/>
              <w:rPr>
                <w:rFonts w:hint="default" w:ascii="Times New Roman" w:hAnsi="Times New Roman" w:cs="Times New Roman"/>
              </w:rPr>
            </w:pPr>
            <w:r>
              <w:rPr>
                <w:rStyle w:val="48"/>
                <w:rFonts w:hint="default" w:ascii="Times New Roman" w:hAnsi="Times New Roman" w:cs="Times New Roman"/>
              </w:rPr>
              <w:t>horizon_fade_20</w:t>
            </w:r>
          </w:p>
        </w:tc>
        <w:tc>
          <w:p w14:paraId="19D2F4A0">
            <w:pPr>
              <w:pStyle w:val="24"/>
              <w:rPr>
                <w:rFonts w:hint="default" w:ascii="Times New Roman" w:hAnsi="Times New Roman" w:cs="Times New Roman"/>
              </w:rPr>
            </w:pPr>
            <w:r>
              <w:rPr>
                <w:rFonts w:hint="default" w:ascii="Times New Roman" w:hAnsi="Times New Roman" w:cs="Times New Roman"/>
              </w:rPr>
              <w:t>0.639</w:t>
            </w:r>
          </w:p>
        </w:tc>
        <w:tc>
          <w:p w14:paraId="1FEB657D">
            <w:pPr>
              <w:pStyle w:val="24"/>
              <w:rPr>
                <w:rFonts w:hint="default" w:ascii="Times New Roman" w:hAnsi="Times New Roman" w:cs="Times New Roman"/>
              </w:rPr>
            </w:pPr>
            <w:r>
              <w:rPr>
                <w:rFonts w:hint="default" w:ascii="Times New Roman" w:hAnsi="Times New Roman" w:cs="Times New Roman"/>
              </w:rPr>
              <w:t>25</w:t>
            </w:r>
          </w:p>
        </w:tc>
        <w:tc>
          <w:p w14:paraId="51BC3679">
            <w:pPr>
              <w:pStyle w:val="24"/>
              <w:rPr>
                <w:rFonts w:hint="default" w:ascii="Times New Roman" w:hAnsi="Times New Roman" w:cs="Times New Roman"/>
              </w:rPr>
            </w:pPr>
            <w:r>
              <w:rPr>
                <w:rFonts w:hint="default" w:ascii="Times New Roman" w:hAnsi="Times New Roman" w:cs="Times New Roman"/>
              </w:rPr>
              <w:t>1,933</w:t>
            </w:r>
          </w:p>
        </w:tc>
      </w:tr>
      <w:tr w14:paraId="6EDB75F6">
        <w:tblPrEx>
          <w:tblCellMar>
            <w:top w:w="0" w:type="dxa"/>
            <w:left w:w="108" w:type="dxa"/>
            <w:bottom w:w="0" w:type="dxa"/>
            <w:right w:w="108" w:type="dxa"/>
          </w:tblCellMar>
        </w:tblPrEx>
        <w:tc>
          <w:p w14:paraId="2EC6BDE2">
            <w:pPr>
              <w:pStyle w:val="24"/>
              <w:rPr>
                <w:rFonts w:hint="default" w:ascii="Times New Roman" w:hAnsi="Times New Roman" w:cs="Times New Roman"/>
              </w:rPr>
            </w:pPr>
            <w:r>
              <w:rPr>
                <w:rStyle w:val="48"/>
                <w:rFonts w:hint="default" w:ascii="Times New Roman" w:hAnsi="Times New Roman" w:cs="Times New Roman"/>
              </w:rPr>
              <w:t>horizon_fade_50</w:t>
            </w:r>
          </w:p>
        </w:tc>
        <w:tc>
          <w:p w14:paraId="7D82FC58">
            <w:pPr>
              <w:pStyle w:val="24"/>
              <w:rPr>
                <w:rFonts w:hint="default" w:ascii="Times New Roman" w:hAnsi="Times New Roman" w:cs="Times New Roman"/>
              </w:rPr>
            </w:pPr>
            <w:r>
              <w:rPr>
                <w:rFonts w:hint="default" w:ascii="Times New Roman" w:hAnsi="Times New Roman" w:cs="Times New Roman"/>
              </w:rPr>
              <w:t>0.967</w:t>
            </w:r>
          </w:p>
        </w:tc>
        <w:tc>
          <w:p w14:paraId="466FA94A">
            <w:pPr>
              <w:pStyle w:val="24"/>
              <w:rPr>
                <w:rFonts w:hint="default" w:ascii="Times New Roman" w:hAnsi="Times New Roman" w:cs="Times New Roman"/>
              </w:rPr>
            </w:pPr>
            <w:r>
              <w:rPr>
                <w:rFonts w:hint="default" w:ascii="Times New Roman" w:hAnsi="Times New Roman" w:cs="Times New Roman"/>
              </w:rPr>
              <w:t>17</w:t>
            </w:r>
          </w:p>
        </w:tc>
        <w:tc>
          <w:p w14:paraId="7548D5E2">
            <w:pPr>
              <w:pStyle w:val="24"/>
              <w:rPr>
                <w:rFonts w:hint="default" w:ascii="Times New Roman" w:hAnsi="Times New Roman" w:cs="Times New Roman"/>
              </w:rPr>
            </w:pPr>
            <w:r>
              <w:rPr>
                <w:rFonts w:hint="default" w:ascii="Times New Roman" w:hAnsi="Times New Roman" w:cs="Times New Roman"/>
              </w:rPr>
              <w:t>1,246</w:t>
            </w:r>
          </w:p>
        </w:tc>
      </w:tr>
    </w:tbl>
    <w:p w14:paraId="412CFD72">
      <w:pPr>
        <w:pStyle w:val="3"/>
        <w:rPr>
          <w:rFonts w:hint="default" w:ascii="Times New Roman" w:hAnsi="Times New Roman" w:cs="Times New Roman"/>
        </w:rPr>
      </w:pPr>
      <w:r>
        <w:rPr>
          <w:rFonts w:hint="default" w:ascii="Times New Roman" w:hAnsi="Times New Roman" w:cs="Times New Roman"/>
          <w:b/>
          <w:bCs/>
        </w:rPr>
        <w:t>An RÂ² of 0.044 was the best score obtainable on the target this report’s central negative result was measured against.</w:t>
      </w:r>
      <w:r>
        <w:rPr>
          <w:rFonts w:hint="default" w:ascii="Times New Roman" w:hAnsi="Times New Roman" w:cs="Times New Roman"/>
        </w:rPr>
        <w:t xml:space="preserve"> The finding was real, but its scope was wrong. The defensible statement is </w:t>
      </w:r>
      <w:r>
        <w:rPr>
          <w:rFonts w:hint="default" w:ascii="Times New Roman" w:hAnsi="Times New Roman" w:cs="Times New Roman"/>
          <w:i/>
          <w:iCs/>
        </w:rPr>
        <w:t>these scores do not predict per-cycle capacity delta, which is mostly measurement noise</w:t>
      </w:r>
      <w:r>
        <w:rPr>
          <w:rFonts w:hint="default" w:ascii="Times New Roman" w:hAnsi="Times New Roman" w:cs="Times New Roman"/>
        </w:rPr>
        <w:t xml:space="preserve"> â€” not </w:t>
      </w:r>
      <w:r>
        <w:rPr>
          <w:rFonts w:hint="default" w:ascii="Times New Roman" w:hAnsi="Times New Roman" w:cs="Times New Roman"/>
          <w:i/>
          <w:iCs/>
        </w:rPr>
        <w:t>these scores do not predict degradation</w:t>
      </w:r>
      <w:r>
        <w:rPr>
          <w:rFonts w:hint="default" w:ascii="Times New Roman" w:hAnsi="Times New Roman" w:cs="Times New Roman"/>
        </w:rPr>
        <w:t>.</w:t>
      </w:r>
    </w:p>
    <w:p w14:paraId="781D4F40">
      <w:pPr>
        <w:pStyle w:val="3"/>
        <w:rPr>
          <w:rFonts w:hint="default" w:ascii="Times New Roman" w:hAnsi="Times New Roman" w:cs="Times New Roman"/>
        </w:rPr>
      </w:pPr>
      <w:r>
        <w:rPr>
          <w:rFonts w:hint="default" w:ascii="Times New Roman" w:hAnsi="Times New Roman" w:cs="Times New Roman"/>
        </w:rPr>
        <w:t>The mechanism is arithmetic rather than subtle. A per-cycle capacity delta is a difference of two noisy measurements: it inherits both errors while cancelling nearly all of the underlying trend. Its mean is 0.003 Ah against a standard deviation of 0.132, and its minimum is âˆ’2.61 Ah. Capacity does not un-degrade by 2.61 Ah in one cycle.</w:t>
      </w:r>
    </w:p>
    <w:p w14:paraId="4066183C">
      <w:pPr>
        <w:pStyle w:val="3"/>
        <w:rPr>
          <w:rFonts w:hint="default" w:ascii="Times New Roman" w:hAnsi="Times New Roman" w:cs="Times New Roman"/>
        </w:rPr>
      </w:pPr>
      <w:r>
        <w:rPr>
          <w:rFonts w:hint="default" w:ascii="Times New Roman" w:hAnsi="Times New Roman" w:cs="Times New Roman"/>
        </w:rPr>
        <w:t>This also reframes Section 4.5. Longer horizons improved rank correlation but not RÂ², which was attributed there to the cohort intercept generalising worse as loss magnitude grows. The ceiling table supplies a simpler contributing explanation: horizon length and signal fraction rise together, so part of what Section 4.5 measured was the target getting cleaner.</w:t>
      </w:r>
    </w:p>
    <w:p w14:paraId="02F080A6">
      <w:pPr>
        <w:pStyle w:val="3"/>
        <w:rPr>
          <w:rFonts w:hint="default" w:ascii="Times New Roman" w:hAnsi="Times New Roman" w:cs="Times New Roman"/>
        </w:rPr>
      </w:pPr>
      <w:r>
        <w:rPr>
          <w:rFonts w:hint="default" w:ascii="Times New Roman" w:hAnsi="Times New Roman" w:cs="Times New Roman"/>
          <w:b/>
          <w:bCs/>
        </w:rPr>
        <w:t>Constructing an SOH target required screening.</w:t>
      </w:r>
      <w:r>
        <w:rPr>
          <w:rFonts w:hint="default" w:ascii="Times New Roman" w:hAnsi="Times New Roman" w:cs="Times New Roman"/>
        </w:rPr>
        <w:t xml:space="preserve"> State of health presumes every </w:t>
      </w:r>
      <w:r>
        <w:rPr>
          <w:rStyle w:val="48"/>
          <w:rFonts w:hint="default" w:ascii="Times New Roman" w:hAnsi="Times New Roman" w:cs="Times New Roman"/>
        </w:rPr>
        <w:t>capacity_ah</w:t>
      </w:r>
      <w:r>
        <w:rPr>
          <w:rFonts w:hint="default" w:ascii="Times New Roman" w:hAnsi="Times New Roman" w:cs="Times New Roman"/>
        </w:rPr>
        <w:t xml:space="preserve"> entry for a cell is the same kind of measurement, and for NASA’s randomised-usage cells it is not â€” they interleave reference discharges with random-walk loading, and the frame carries no measurement-type flag. Normalising B0041 by its earliest cycles yields an SOH of 22.6.</w:t>
      </w:r>
    </w:p>
    <w:p w14:paraId="28E61B7B">
      <w:pPr>
        <w:pStyle w:val="3"/>
        <w:rPr>
          <w:rFonts w:hint="default" w:ascii="Times New Roman" w:hAnsi="Times New Roman" w:cs="Times New Roman"/>
        </w:rPr>
      </w:pPr>
      <w:r>
        <w:rPr>
          <w:rStyle w:val="48"/>
          <w:rFonts w:hint="default" w:ascii="Times New Roman" w:hAnsi="Times New Roman" w:cs="Times New Roman"/>
        </w:rPr>
        <w:t>screen_cells_for_soh</w:t>
      </w:r>
      <w:r>
        <w:rPr>
          <w:rFonts w:hint="default" w:ascii="Times New Roman" w:hAnsi="Times New Roman" w:cs="Times New Roman"/>
        </w:rPr>
        <w:t xml:space="preserve"> applies three criteria; 32 of 34 cells pass. The criterion that does the work is step size: normalising by a high quantile of a cell’s own capacity bounds SOH at 1.0 by construction, so an alternating full/partial series shows almost no </w:t>
      </w:r>
      <w:r>
        <w:rPr>
          <w:rFonts w:hint="default" w:ascii="Times New Roman" w:hAnsi="Times New Roman" w:cs="Times New Roman"/>
          <w:i/>
          <w:iCs/>
        </w:rPr>
        <w:t>overshoot</w:t>
      </w:r>
      <w:r>
        <w:rPr>
          <w:rFonts w:hint="default" w:ascii="Times New Roman" w:hAnsi="Times New Roman" w:cs="Times New Roman"/>
        </w:rPr>
        <w:t xml:space="preserve"> and passes a naive check. What identifies it is that degradation is gradual. Admissible cells have a median step of 0.5% of reference capacity between consecutive cycles (maximum 2.2%); B0050 sits at 28.3% and is excluded. B0052 has 2 usable cycles. Fourteen individual readings across the remaining cells are masked as implausible.</w:t>
      </w:r>
    </w:p>
    <w:p w14:paraId="3BFC282C">
      <w:pPr>
        <w:pStyle w:val="3"/>
        <w:rPr>
          <w:rFonts w:hint="default" w:ascii="Times New Roman" w:hAnsi="Times New Roman" w:cs="Times New Roman"/>
        </w:rPr>
      </w:pPr>
      <w:r>
        <w:rPr>
          <w:rFonts w:hint="default" w:ascii="Times New Roman" w:hAnsi="Times New Roman" w:cs="Times New Roman"/>
        </w:rPr>
        <w:t xml:space="preserve">A declining trend is reported but deliberately </w:t>
      </w:r>
      <w:r>
        <w:rPr>
          <w:rFonts w:hint="default" w:ascii="Times New Roman" w:hAnsi="Times New Roman" w:cs="Times New Roman"/>
          <w:b/>
          <w:bCs/>
        </w:rPr>
        <w:t>not</w:t>
      </w:r>
      <w:r>
        <w:rPr>
          <w:rFonts w:hint="default" w:ascii="Times New Roman" w:hAnsi="Times New Roman" w:cs="Times New Roman"/>
        </w:rPr>
        <w:t xml:space="preserve"> screened on. Requiring the target to trend downward before admitting a cell would select the cells that agree with the hypothesis under test.</w:t>
      </w:r>
    </w:p>
    <w:bookmarkEnd w:id="21"/>
    <w:p w14:paraId="4EAD280A">
      <w:pPr>
        <w:pStyle w:val="5"/>
        <w:rPr>
          <w:rFonts w:hint="default" w:ascii="Times New Roman" w:hAnsi="Times New Roman" w:cs="Times New Roman"/>
        </w:rPr>
      </w:pPr>
      <w:bookmarkStart w:id="22" w:name="X9228020ace13d8e48aac4409503ff995f900f7f"/>
      <w:r>
        <w:rPr>
          <w:rFonts w:hint="default" w:ascii="Times New Roman" w:hAnsi="Times New Roman" w:cs="Times New Roman"/>
        </w:rPr>
        <w:t>4.11 Measured capacity carries a reversible thermal offset that inverts the temperature signal (Level 5)</w:t>
      </w:r>
    </w:p>
    <w:p w14:paraId="1E93C769">
      <w:pPr>
        <w:pStyle w:val="23"/>
        <w:rPr>
          <w:rFonts w:hint="default" w:ascii="Times New Roman" w:hAnsi="Times New Roman" w:cs="Times New Roman"/>
        </w:rPr>
      </w:pPr>
      <w:r>
        <w:rPr>
          <w:rFonts w:hint="default" w:ascii="Times New Roman" w:hAnsi="Times New Roman" w:cs="Times New Roman"/>
        </w:rPr>
        <w:t>Switching to an SOH-family target exposed a second problem, running in the opposite direction. Restricting to cycle â‰¤ 20 â€” before meaningful degradation is possible:</w:t>
      </w:r>
    </w:p>
    <w:tbl>
      <w:tblPr>
        <w:tblStyle w:val="41"/>
        <w:tblW w:w="0" w:type="auto"/>
        <w:tblInd w:w="0" w:type="dxa"/>
        <w:tblLayout w:type="autofit"/>
        <w:tblCellMar>
          <w:top w:w="0" w:type="dxa"/>
          <w:left w:w="108" w:type="dxa"/>
          <w:bottom w:w="0" w:type="dxa"/>
          <w:right w:w="108" w:type="dxa"/>
        </w:tblCellMar>
      </w:tblPr>
      <w:tblGrid>
        <w:gridCol w:w="1056"/>
        <w:gridCol w:w="2929"/>
        <w:gridCol w:w="710"/>
      </w:tblGrid>
      <w:tr w14:paraId="188EA36C">
        <w:tblPrEx>
          <w:tblCellMar>
            <w:top w:w="0" w:type="dxa"/>
            <w:left w:w="108" w:type="dxa"/>
            <w:bottom w:w="0" w:type="dxa"/>
            <w:right w:w="108" w:type="dxa"/>
          </w:tblCellMar>
        </w:tblPrEx>
        <w:trPr>
          <w:tblHeader/>
        </w:trPr>
        <w:tc>
          <w:p w14:paraId="1151CE27">
            <w:pPr>
              <w:pStyle w:val="24"/>
              <w:rPr>
                <w:rFonts w:hint="default" w:ascii="Times New Roman" w:hAnsi="Times New Roman" w:cs="Times New Roman"/>
              </w:rPr>
            </w:pPr>
            <w:r>
              <w:rPr>
                <w:rFonts w:hint="default" w:ascii="Times New Roman" w:hAnsi="Times New Roman" w:cs="Times New Roman"/>
              </w:rPr>
              <w:t>Ambient</w:t>
            </w:r>
          </w:p>
        </w:tc>
        <w:tc>
          <w:p w14:paraId="1D5F023E">
            <w:pPr>
              <w:pStyle w:val="24"/>
              <w:rPr>
                <w:rFonts w:hint="default" w:ascii="Times New Roman" w:hAnsi="Times New Roman" w:cs="Times New Roman"/>
              </w:rPr>
            </w:pPr>
            <w:r>
              <w:rPr>
                <w:rFonts w:hint="default" w:ascii="Times New Roman" w:hAnsi="Times New Roman" w:cs="Times New Roman"/>
              </w:rPr>
              <w:t>Mean SOH at cycle â‰¤ 20</w:t>
            </w:r>
          </w:p>
        </w:tc>
        <w:tc>
          <w:p w14:paraId="58813DA0">
            <w:pPr>
              <w:pStyle w:val="24"/>
              <w:rPr>
                <w:rFonts w:hint="default" w:ascii="Times New Roman" w:hAnsi="Times New Roman" w:cs="Times New Roman"/>
              </w:rPr>
            </w:pPr>
            <w:r>
              <w:rPr>
                <w:rFonts w:hint="default" w:ascii="Times New Roman" w:hAnsi="Times New Roman" w:cs="Times New Roman"/>
              </w:rPr>
              <w:t>Cells</w:t>
            </w:r>
          </w:p>
        </w:tc>
      </w:tr>
      <w:tr w14:paraId="0E9CF2A6">
        <w:tblPrEx>
          <w:tblCellMar>
            <w:top w:w="0" w:type="dxa"/>
            <w:left w:w="108" w:type="dxa"/>
            <w:bottom w:w="0" w:type="dxa"/>
            <w:right w:w="108" w:type="dxa"/>
          </w:tblCellMar>
        </w:tblPrEx>
        <w:tc>
          <w:p w14:paraId="22265C6A">
            <w:pPr>
              <w:pStyle w:val="24"/>
              <w:rPr>
                <w:rFonts w:hint="default" w:ascii="Times New Roman" w:hAnsi="Times New Roman" w:cs="Times New Roman"/>
              </w:rPr>
            </w:pPr>
            <w:r>
              <w:rPr>
                <w:rFonts w:hint="default" w:ascii="Times New Roman" w:hAnsi="Times New Roman" w:cs="Times New Roman"/>
              </w:rPr>
              <w:t>4 Â°C</w:t>
            </w:r>
          </w:p>
        </w:tc>
        <w:tc>
          <w:p w14:paraId="0D9DEEB3">
            <w:pPr>
              <w:pStyle w:val="24"/>
              <w:rPr>
                <w:rFonts w:hint="default" w:ascii="Times New Roman" w:hAnsi="Times New Roman" w:cs="Times New Roman"/>
              </w:rPr>
            </w:pPr>
            <w:r>
              <w:rPr>
                <w:rFonts w:hint="default" w:ascii="Times New Roman" w:hAnsi="Times New Roman" w:cs="Times New Roman"/>
              </w:rPr>
              <w:t>0.918</w:t>
            </w:r>
          </w:p>
        </w:tc>
        <w:tc>
          <w:p w14:paraId="6FBC930F">
            <w:pPr>
              <w:pStyle w:val="24"/>
              <w:rPr>
                <w:rFonts w:hint="default" w:ascii="Times New Roman" w:hAnsi="Times New Roman" w:cs="Times New Roman"/>
              </w:rPr>
            </w:pPr>
            <w:r>
              <w:rPr>
                <w:rFonts w:hint="default" w:ascii="Times New Roman" w:hAnsi="Times New Roman" w:cs="Times New Roman"/>
              </w:rPr>
              <w:t>10</w:t>
            </w:r>
          </w:p>
        </w:tc>
      </w:tr>
      <w:tr w14:paraId="54478CA0">
        <w:tblPrEx>
          <w:tblCellMar>
            <w:top w:w="0" w:type="dxa"/>
            <w:left w:w="108" w:type="dxa"/>
            <w:bottom w:w="0" w:type="dxa"/>
            <w:right w:w="108" w:type="dxa"/>
          </w:tblCellMar>
        </w:tblPrEx>
        <w:tc>
          <w:p w14:paraId="6137E1F0">
            <w:pPr>
              <w:pStyle w:val="24"/>
              <w:rPr>
                <w:rFonts w:hint="default" w:ascii="Times New Roman" w:hAnsi="Times New Roman" w:cs="Times New Roman"/>
              </w:rPr>
            </w:pPr>
            <w:r>
              <w:rPr>
                <w:rFonts w:hint="default" w:ascii="Times New Roman" w:hAnsi="Times New Roman" w:cs="Times New Roman"/>
              </w:rPr>
              <w:t>22 Â°C</w:t>
            </w:r>
          </w:p>
        </w:tc>
        <w:tc>
          <w:p w14:paraId="3044190B">
            <w:pPr>
              <w:pStyle w:val="24"/>
              <w:rPr>
                <w:rFonts w:hint="default" w:ascii="Times New Roman" w:hAnsi="Times New Roman" w:cs="Times New Roman"/>
              </w:rPr>
            </w:pPr>
            <w:r>
              <w:rPr>
                <w:rFonts w:hint="default" w:ascii="Times New Roman" w:hAnsi="Times New Roman" w:cs="Times New Roman"/>
              </w:rPr>
              <w:t>0.992</w:t>
            </w:r>
          </w:p>
        </w:tc>
        <w:tc>
          <w:p w14:paraId="51C5E463">
            <w:pPr>
              <w:pStyle w:val="24"/>
              <w:rPr>
                <w:rFonts w:hint="default" w:ascii="Times New Roman" w:hAnsi="Times New Roman" w:cs="Times New Roman"/>
              </w:rPr>
            </w:pPr>
            <w:r>
              <w:rPr>
                <w:rFonts w:hint="default" w:ascii="Times New Roman" w:hAnsi="Times New Roman" w:cs="Times New Roman"/>
              </w:rPr>
              <w:t>3</w:t>
            </w:r>
          </w:p>
        </w:tc>
      </w:tr>
      <w:tr w14:paraId="25809D9A">
        <w:tblPrEx>
          <w:tblCellMar>
            <w:top w:w="0" w:type="dxa"/>
            <w:left w:w="108" w:type="dxa"/>
            <w:bottom w:w="0" w:type="dxa"/>
            <w:right w:w="108" w:type="dxa"/>
          </w:tblCellMar>
        </w:tblPrEx>
        <w:tc>
          <w:p w14:paraId="7B05A288">
            <w:pPr>
              <w:pStyle w:val="24"/>
              <w:rPr>
                <w:rFonts w:hint="default" w:ascii="Times New Roman" w:hAnsi="Times New Roman" w:cs="Times New Roman"/>
              </w:rPr>
            </w:pPr>
            <w:r>
              <w:rPr>
                <w:rFonts w:hint="default" w:ascii="Times New Roman" w:hAnsi="Times New Roman" w:cs="Times New Roman"/>
              </w:rPr>
              <w:t>24 Â°C</w:t>
            </w:r>
          </w:p>
        </w:tc>
        <w:tc>
          <w:p w14:paraId="17F0241E">
            <w:pPr>
              <w:pStyle w:val="24"/>
              <w:rPr>
                <w:rFonts w:hint="default" w:ascii="Times New Roman" w:hAnsi="Times New Roman" w:cs="Times New Roman"/>
              </w:rPr>
            </w:pPr>
            <w:r>
              <w:rPr>
                <w:rFonts w:hint="default" w:ascii="Times New Roman" w:hAnsi="Times New Roman" w:cs="Times New Roman"/>
              </w:rPr>
              <w:t>0.909</w:t>
            </w:r>
          </w:p>
        </w:tc>
        <w:tc>
          <w:p w14:paraId="51A43F10">
            <w:pPr>
              <w:pStyle w:val="24"/>
              <w:rPr>
                <w:rFonts w:hint="default" w:ascii="Times New Roman" w:hAnsi="Times New Roman" w:cs="Times New Roman"/>
              </w:rPr>
            </w:pPr>
            <w:r>
              <w:rPr>
                <w:rFonts w:hint="default" w:ascii="Times New Roman" w:hAnsi="Times New Roman" w:cs="Times New Roman"/>
              </w:rPr>
              <w:t>14</w:t>
            </w:r>
          </w:p>
        </w:tc>
      </w:tr>
      <w:tr w14:paraId="17FB7D83">
        <w:tblPrEx>
          <w:tblCellMar>
            <w:top w:w="0" w:type="dxa"/>
            <w:left w:w="108" w:type="dxa"/>
            <w:bottom w:w="0" w:type="dxa"/>
            <w:right w:w="108" w:type="dxa"/>
          </w:tblCellMar>
        </w:tblPrEx>
        <w:tc>
          <w:p w14:paraId="13DCC32B">
            <w:pPr>
              <w:pStyle w:val="24"/>
              <w:rPr>
                <w:rFonts w:hint="default" w:ascii="Times New Roman" w:hAnsi="Times New Roman" w:cs="Times New Roman"/>
              </w:rPr>
            </w:pPr>
            <w:r>
              <w:rPr>
                <w:rFonts w:hint="default" w:ascii="Times New Roman" w:hAnsi="Times New Roman" w:cs="Times New Roman"/>
              </w:rPr>
              <w:t>43 Â°C</w:t>
            </w:r>
          </w:p>
        </w:tc>
        <w:tc>
          <w:p w14:paraId="092F8636">
            <w:pPr>
              <w:pStyle w:val="24"/>
              <w:rPr>
                <w:rFonts w:hint="default" w:ascii="Times New Roman" w:hAnsi="Times New Roman" w:cs="Times New Roman"/>
              </w:rPr>
            </w:pPr>
            <w:r>
              <w:rPr>
                <w:rFonts w:hint="default" w:ascii="Times New Roman" w:hAnsi="Times New Roman" w:cs="Times New Roman"/>
              </w:rPr>
              <w:t>0.979</w:t>
            </w:r>
          </w:p>
        </w:tc>
        <w:tc>
          <w:p w14:paraId="15B8F32D">
            <w:pPr>
              <w:pStyle w:val="24"/>
              <w:rPr>
                <w:rFonts w:hint="default" w:ascii="Times New Roman" w:hAnsi="Times New Roman" w:cs="Times New Roman"/>
              </w:rPr>
            </w:pPr>
            <w:r>
              <w:rPr>
                <w:rFonts w:hint="default" w:ascii="Times New Roman" w:hAnsi="Times New Roman" w:cs="Times New Roman"/>
              </w:rPr>
              <w:t>4</w:t>
            </w:r>
          </w:p>
        </w:tc>
      </w:tr>
      <w:tr w14:paraId="20EF4FC4">
        <w:tblPrEx>
          <w:tblCellMar>
            <w:top w:w="0" w:type="dxa"/>
            <w:left w:w="108" w:type="dxa"/>
            <w:bottom w:w="0" w:type="dxa"/>
            <w:right w:w="108" w:type="dxa"/>
          </w:tblCellMar>
        </w:tblPrEx>
        <w:tc>
          <w:p w14:paraId="43BDD182">
            <w:pPr>
              <w:pStyle w:val="24"/>
              <w:rPr>
                <w:rFonts w:hint="default" w:ascii="Times New Roman" w:hAnsi="Times New Roman" w:cs="Times New Roman"/>
              </w:rPr>
            </w:pPr>
            <w:r>
              <w:rPr>
                <w:rFonts w:hint="default" w:ascii="Times New Roman" w:hAnsi="Times New Roman" w:cs="Times New Roman"/>
              </w:rPr>
              <w:t>44 Â°C</w:t>
            </w:r>
          </w:p>
        </w:tc>
        <w:tc>
          <w:p w14:paraId="634EE39F">
            <w:pPr>
              <w:pStyle w:val="24"/>
              <w:rPr>
                <w:rFonts w:hint="default" w:ascii="Times New Roman" w:hAnsi="Times New Roman" w:cs="Times New Roman"/>
              </w:rPr>
            </w:pPr>
            <w:r>
              <w:rPr>
                <w:rFonts w:hint="default" w:ascii="Times New Roman" w:hAnsi="Times New Roman" w:cs="Times New Roman"/>
              </w:rPr>
              <w:t>0.999</w:t>
            </w:r>
          </w:p>
        </w:tc>
        <w:tc>
          <w:p w14:paraId="608EC007">
            <w:pPr>
              <w:pStyle w:val="24"/>
              <w:rPr>
                <w:rFonts w:hint="default" w:ascii="Times New Roman" w:hAnsi="Times New Roman" w:cs="Times New Roman"/>
              </w:rPr>
            </w:pPr>
            <w:r>
              <w:rPr>
                <w:rFonts w:hint="default" w:ascii="Times New Roman" w:hAnsi="Times New Roman" w:cs="Times New Roman"/>
              </w:rPr>
              <w:t>3</w:t>
            </w:r>
          </w:p>
        </w:tc>
      </w:tr>
    </w:tbl>
    <w:p w14:paraId="7A9A36B9">
      <w:pPr>
        <w:pStyle w:val="3"/>
        <w:rPr>
          <w:rFonts w:hint="default" w:ascii="Times New Roman" w:hAnsi="Times New Roman" w:cs="Times New Roman"/>
        </w:rPr>
      </w:pPr>
      <w:r>
        <w:rPr>
          <w:rFonts w:hint="default" w:ascii="Times New Roman" w:hAnsi="Times New Roman" w:cs="Times New Roman"/>
        </w:rPr>
        <w:t xml:space="preserve">Spearman correlation between ambient temperature and apparent SOH over that early window is </w:t>
      </w:r>
      <w:r>
        <w:rPr>
          <w:rFonts w:hint="default" w:ascii="Times New Roman" w:hAnsi="Times New Roman" w:cs="Times New Roman"/>
          <w:b/>
          <w:bCs/>
        </w:rPr>
        <w:t>+0.205</w:t>
      </w:r>
      <w:r>
        <w:rPr>
          <w:rFonts w:hint="default" w:ascii="Times New Roman" w:hAnsi="Times New Roman" w:cs="Times New Roman"/>
        </w:rPr>
        <w:t xml:space="preserve">: warmer cells measure </w:t>
      </w:r>
      <w:r>
        <w:rPr>
          <w:rFonts w:hint="default" w:ascii="Times New Roman" w:hAnsi="Times New Roman" w:cs="Times New Roman"/>
          <w:i/>
          <w:iCs/>
        </w:rPr>
        <w:t>healthier</w:t>
      </w:r>
      <w:r>
        <w:rPr>
          <w:rFonts w:hint="default" w:ascii="Times New Roman" w:hAnsi="Times New Roman" w:cs="Times New Roman"/>
        </w:rPr>
        <w:t xml:space="preserve"> before they have had time to degrade.</w:t>
      </w:r>
    </w:p>
    <w:p w14:paraId="7E7BF762">
      <w:pPr>
        <w:pStyle w:val="3"/>
        <w:rPr>
          <w:rFonts w:hint="default" w:ascii="Times New Roman" w:hAnsi="Times New Roman" w:cs="Times New Roman"/>
        </w:rPr>
      </w:pPr>
      <w:r>
        <w:rPr>
          <w:rFonts w:hint="default" w:ascii="Times New Roman" w:hAnsi="Times New Roman" w:cs="Times New Roman"/>
        </w:rPr>
        <w:t>A cell does not lose 8% of its capacity in twenty cycles. This is the reversible temperature dependence of measured discharge capacity â€” at low temperature, higher internal resistance and slower lithium diffusion mean the cell reaches its voltage cutoff sooner and delivers less charge. The capacity returns when the cell is warmed. It is not degradation.</w:t>
      </w:r>
    </w:p>
    <w:p w14:paraId="36CD48E5">
      <w:pPr>
        <w:pStyle w:val="3"/>
        <w:rPr>
          <w:rFonts w:hint="default" w:ascii="Times New Roman" w:hAnsi="Times New Roman" w:cs="Times New Roman"/>
        </w:rPr>
      </w:pPr>
      <w:r>
        <w:rPr>
          <w:rFonts w:hint="default" w:ascii="Times New Roman" w:hAnsi="Times New Roman" w:cs="Times New Roman"/>
          <w:b/>
          <w:bCs/>
        </w:rPr>
        <w:t>This supplies a mechanism for the report’s longest-standing open puzzle.</w:t>
      </w:r>
      <w:r>
        <w:rPr>
          <w:rFonts w:hint="default" w:ascii="Times New Roman" w:hAnsi="Times New Roman" w:cs="Times New Roman"/>
        </w:rPr>
        <w:t xml:space="preserve"> Section 4.2 reports trailing temperature as a real, correctly-signed predictor of fade </w:t>
      </w:r>
      <w:r>
        <w:rPr>
          <w:rFonts w:hint="default" w:ascii="Times New Roman" w:hAnsi="Times New Roman" w:cs="Times New Roman"/>
          <w:i/>
          <w:iCs/>
        </w:rPr>
        <w:t>within</w:t>
      </w:r>
      <w:r>
        <w:rPr>
          <w:rFonts w:hint="default" w:ascii="Times New Roman" w:hAnsi="Times New Roman" w:cs="Times New Roman"/>
        </w:rPr>
        <w:t xml:space="preserve"> cohorts. Section 4.8 reports the fitted model’s ranking collapsing to Ï = âˆ’0.295 </w:t>
      </w:r>
      <w:r>
        <w:rPr>
          <w:rFonts w:hint="default" w:ascii="Times New Roman" w:hAnsi="Times New Roman" w:cs="Times New Roman"/>
          <w:i/>
          <w:iCs/>
        </w:rPr>
        <w:t>across</w:t>
      </w:r>
      <w:r>
        <w:rPr>
          <w:rFonts w:hint="default" w:ascii="Times New Roman" w:hAnsi="Times New Roman" w:cs="Times New Roman"/>
        </w:rPr>
        <w:t xml:space="preserve"> cohorts, attributed there to cohort intercepts doing the work. Those are one phenomenon.</w:t>
      </w:r>
    </w:p>
    <w:p w14:paraId="7E27DD27">
      <w:pPr>
        <w:pStyle w:val="3"/>
        <w:rPr>
          <w:rFonts w:hint="default" w:ascii="Times New Roman" w:hAnsi="Times New Roman" w:cs="Times New Roman"/>
        </w:rPr>
      </w:pPr>
      <w:r>
        <w:rPr>
          <w:rFonts w:hint="default" w:ascii="Times New Roman" w:hAnsi="Times New Roman" w:cs="Times New Roman"/>
        </w:rPr>
        <w:t xml:space="preserve">Within a cohort, ambient temperature is fixed, the offset is constant, and the residual temperature variation reflects genuine thermal stress â€” so the Section 4.2 signal is real and correctly signed. Across cohorts, ambient changes, the artifact switches on, and because it is </w:t>
      </w:r>
      <w:r>
        <w:rPr>
          <w:rFonts w:hint="default" w:ascii="Times New Roman" w:hAnsi="Times New Roman" w:cs="Times New Roman"/>
          <w:i/>
          <w:iCs/>
        </w:rPr>
        <w:t>anti</w:t>
      </w:r>
      <w:r>
        <w:rPr>
          <w:rFonts w:hint="default" w:ascii="Times New Roman" w:hAnsi="Times New Roman" w:cs="Times New Roman"/>
        </w:rPr>
        <w:t>-correlated with true thermal degradation it does not merely add noise: it reverses the apparent relationship. A coefficient fitted within cohorts and ap</w:t>
      </w:r>
      <w:bookmarkStart w:id="38" w:name="_GoBack"/>
      <w:bookmarkEnd w:id="38"/>
      <w:r>
        <w:rPr>
          <w:rFonts w:hint="default" w:ascii="Times New Roman" w:hAnsi="Times New Roman" w:cs="Times New Roman"/>
        </w:rPr>
        <w:t>plied across them gets the sign wrong, which is what Section 4.8 measured.</w:t>
      </w:r>
    </w:p>
    <w:p w14:paraId="16C8F4B3">
      <w:pPr>
        <w:pStyle w:val="3"/>
        <w:rPr>
          <w:rFonts w:hint="default" w:ascii="Times New Roman" w:hAnsi="Times New Roman" w:cs="Times New Roman"/>
        </w:rPr>
      </w:pPr>
      <w:r>
        <w:rPr>
          <w:rFonts w:hint="default" w:ascii="Times New Roman" w:hAnsi="Times New Roman" w:cs="Times New Roman"/>
        </w:rPr>
        <w:t>Section 4.2’s finding therefore stands, with its scope narrowed: it is a within-cohort result, and the cross-cohort behaviour has a measurement explanation rather than only a statistical one.</w:t>
      </w:r>
    </w:p>
    <w:p w14:paraId="5FCE951F">
      <w:pPr>
        <w:pStyle w:val="3"/>
        <w:rPr>
          <w:rFonts w:hint="default" w:ascii="Times New Roman" w:hAnsi="Times New Roman" w:cs="Times New Roman"/>
        </w:rPr>
      </w:pPr>
      <w:r>
        <w:rPr>
          <w:rFonts w:hint="default" w:ascii="Times New Roman" w:hAnsi="Times New Roman" w:cs="Times New Roman"/>
          <w:b/>
          <w:bCs/>
        </w:rPr>
        <w:t>An Arrhenius model was built to exploit this, and it failed.</w:t>
      </w:r>
      <w:r>
        <w:rPr>
          <w:rFonts w:hint="default" w:ascii="Times New Roman" w:hAnsi="Times New Roman" w:cs="Times New Roman"/>
        </w:rPr>
        <w:t xml:space="preserve"> The reasoning was that a linear temperature coefficient is the wrong functional form â€” thermally activated side reactions follow </w:t>
      </w:r>
      <w:r>
        <w:rPr>
          <w:rStyle w:val="48"/>
          <w:rFonts w:hint="default" w:ascii="Times New Roman" w:hAnsi="Times New Roman" w:cs="Times New Roman"/>
        </w:rPr>
        <w:t>k(T) = AÂ·exp(âˆ’Ea/RT)</w:t>
      </w:r>
      <w:r>
        <w:rPr>
          <w:rFonts w:hint="default" w:ascii="Times New Roman" w:hAnsi="Times New Roman" w:cs="Times New Roman"/>
        </w:rPr>
        <w:t>, and a linear slope fitted at 4 Â°C is a tangent to an exponential taken at the wrong point. An activation energy, being a property of the chemistry rather than the experiment, should transfer where a fitted slope does not.</w:t>
      </w:r>
    </w:p>
    <w:p w14:paraId="6482362C">
      <w:pPr>
        <w:pStyle w:val="3"/>
        <w:rPr>
          <w:rFonts w:hint="default" w:ascii="Times New Roman" w:hAnsi="Times New Roman" w:cs="Times New Roman"/>
        </w:rPr>
      </w:pPr>
      <w:r>
        <w:rPr>
          <w:rFonts w:hint="default" w:ascii="Times New Roman" w:hAnsi="Times New Roman" w:cs="Times New Roman"/>
        </w:rPr>
        <w:t xml:space="preserve">Fitted on NASA, </w:t>
      </w:r>
      <w:r>
        <w:rPr>
          <w:rStyle w:val="48"/>
          <w:rFonts w:hint="default" w:ascii="Times New Roman" w:hAnsi="Times New Roman" w:cs="Times New Roman"/>
        </w:rPr>
        <w:t>fade = AÂ·exp(âˆ’Ea/RT)Â·N^z</w:t>
      </w:r>
      <w:r>
        <w:rPr>
          <w:rFonts w:hint="default" w:ascii="Times New Roman" w:hAnsi="Times New Roman" w:cs="Times New Roman"/>
        </w:rPr>
        <w:t xml:space="preserve"> returns </w:t>
      </w:r>
      <w:r>
        <w:rPr>
          <w:rFonts w:hint="default" w:ascii="Times New Roman" w:hAnsi="Times New Roman" w:cs="Times New Roman"/>
          <w:b/>
          <w:bCs/>
        </w:rPr>
        <w:t>Ea = âˆ’34.0 kJ/mol</w:t>
      </w:r>
      <w:r>
        <w:rPr>
          <w:rFonts w:hint="default" w:ascii="Times New Roman" w:hAnsi="Times New Roman" w:cs="Times New Roman"/>
        </w:rPr>
        <w:t xml:space="preserve"> against trailing temperature and âˆ’32.5 against instantaneous: negative, meaning degradation slows with heat. Per-cohort fits scatter from âˆ’568 to +183 kJ/mol, with 1 of 9 inside the published 20â€“80 kJ/mol band. Correcting the thermal offset moves it to âˆ’25.4 kJ/mol and discards 927 of 2,585 observations, because after correction many cells show no net fade to take a logarithm of.</w:t>
      </w:r>
    </w:p>
    <w:p w14:paraId="04C58F88">
      <w:pPr>
        <w:pStyle w:val="3"/>
        <w:rPr>
          <w:rFonts w:hint="default" w:ascii="Times New Roman" w:hAnsi="Times New Roman" w:cs="Times New Roman"/>
        </w:rPr>
      </w:pPr>
      <w:r>
        <w:rPr>
          <w:rFonts w:hint="default" w:ascii="Times New Roman" w:hAnsi="Times New Roman" w:cs="Times New Roman"/>
        </w:rPr>
        <w:t>The estimator is not at fault: given data generated from the model it recovers a known Ea to within 0.12%, and to machine precision without noise (</w:t>
      </w:r>
      <w:r>
        <w:rPr>
          <w:rStyle w:val="48"/>
          <w:rFonts w:hint="default" w:ascii="Times New Roman" w:hAnsi="Times New Roman" w:cs="Times New Roman"/>
        </w:rPr>
        <w:t>tests/test_physics.py</w:t>
      </w:r>
      <w:r>
        <w:rPr>
          <w:rFonts w:hint="default" w:ascii="Times New Roman" w:hAnsi="Times New Roman" w:cs="Times New Roman"/>
        </w:rPr>
        <w:t xml:space="preserve">). What the fit faithfully reports is that </w:t>
      </w:r>
      <w:r>
        <w:rPr>
          <w:rFonts w:hint="default" w:ascii="Times New Roman" w:hAnsi="Times New Roman" w:cs="Times New Roman"/>
          <w:b/>
          <w:bCs/>
        </w:rPr>
        <w:t>an activation energy is not identifiable from this frame</w:t>
      </w:r>
      <w:r>
        <w:rPr>
          <w:rFonts w:hint="default" w:ascii="Times New Roman" w:hAnsi="Times New Roman" w:cs="Times New Roman"/>
        </w:rPr>
        <w:t xml:space="preserve">, for three compounding reasons: capacity is not measured at a common temperature; ambient temperature is nearly collinear with protocol (the 4 Â°C cells </w:t>
      </w:r>
      <w:r>
        <w:rPr>
          <w:rFonts w:hint="default" w:ascii="Times New Roman" w:hAnsi="Times New Roman" w:cs="Times New Roman"/>
          <w:i/>
          <w:iCs/>
        </w:rPr>
        <w:t>are</w:t>
      </w:r>
      <w:r>
        <w:rPr>
          <w:rFonts w:hint="default" w:ascii="Times New Roman" w:hAnsi="Times New Roman" w:cs="Times New Roman"/>
        </w:rPr>
        <w:t xml:space="preserve"> the COLD4C cohorts, with their own loads, cutoffs and cell batches); and within-cohort temperature variation, the only contrast free of that confound, is far smaller than the between-cohort spread.</w:t>
      </w:r>
    </w:p>
    <w:p w14:paraId="07A592B7">
      <w:pPr>
        <w:pStyle w:val="3"/>
        <w:rPr>
          <w:rFonts w:hint="default" w:ascii="Times New Roman" w:hAnsi="Times New Roman" w:cs="Times New Roman"/>
        </w:rPr>
      </w:pPr>
      <w:r>
        <w:rPr>
          <w:rStyle w:val="48"/>
          <w:rFonts w:hint="default" w:ascii="Times New Roman" w:hAnsi="Times New Roman" w:cs="Times New Roman"/>
        </w:rPr>
        <w:t>assess_identifiability</w:t>
      </w:r>
      <w:r>
        <w:rPr>
          <w:rFonts w:hint="default" w:ascii="Times New Roman" w:hAnsi="Times New Roman" w:cs="Times New Roman"/>
        </w:rPr>
        <w:t xml:space="preserve"> encodes those checks and refuses before fitting. On this frame it reports temperature varying only </w:t>
      </w:r>
      <w:r>
        <w:rPr>
          <w:rFonts w:hint="default" w:ascii="Times New Roman" w:hAnsi="Times New Roman" w:cs="Times New Roman"/>
          <w:b/>
          <w:bCs/>
        </w:rPr>
        <w:t>0.171Ã—</w:t>
      </w:r>
      <w:r>
        <w:rPr>
          <w:rFonts w:hint="default" w:ascii="Times New Roman" w:hAnsi="Times New Roman" w:cs="Times New Roman"/>
        </w:rPr>
        <w:t xml:space="preserve"> as much within cohorts as between them (minimum 0.25), and an early-cycle SOH spread of </w:t>
      </w:r>
      <w:r>
        <w:rPr>
          <w:rFonts w:hint="default" w:ascii="Times New Roman" w:hAnsi="Times New Roman" w:cs="Times New Roman"/>
          <w:b/>
          <w:bCs/>
        </w:rPr>
        <w:t>0.090</w:t>
      </w:r>
      <w:r>
        <w:rPr>
          <w:rFonts w:hint="default" w:ascii="Times New Roman" w:hAnsi="Times New Roman" w:cs="Times New Roman"/>
        </w:rPr>
        <w:t xml:space="preserve"> across ambient levels (maximum 0.05).</w:t>
      </w:r>
    </w:p>
    <w:p w14:paraId="0C47C1E8">
      <w:pPr>
        <w:pStyle w:val="3"/>
        <w:rPr>
          <w:rFonts w:hint="default" w:ascii="Times New Roman" w:hAnsi="Times New Roman" w:cs="Times New Roman"/>
        </w:rPr>
      </w:pPr>
      <w:r>
        <w:rPr>
          <w:rFonts w:hint="default" w:ascii="Times New Roman" w:hAnsi="Times New Roman" w:cs="Times New Roman"/>
        </w:rPr>
        <w:t xml:space="preserve">This yields a concrete data acceptance criterion, joining the “8â€“10+ batteries per cohort” criterion from Section 4.6: </w:t>
      </w:r>
      <w:r>
        <w:rPr>
          <w:rFonts w:hint="default" w:ascii="Times New Roman" w:hAnsi="Times New Roman" w:cs="Times New Roman"/>
          <w:b/>
          <w:bCs/>
        </w:rPr>
        <w:t>the next dataset must supply reference discharges at a common temperature, and must vary temperature within protocol rather than confounding the two.</w:t>
      </w:r>
      <w:r>
        <w:rPr>
          <w:rFonts w:hint="default" w:ascii="Times New Roman" w:hAnsi="Times New Roman" w:cs="Times New Roman"/>
        </w:rPr>
        <w:t xml:space="preserve"> Neither NASA nor the supplied CALCE data does.</w:t>
      </w:r>
    </w:p>
    <w:bookmarkEnd w:id="22"/>
    <w:p w14:paraId="71F9DFEF">
      <w:pPr>
        <w:pStyle w:val="5"/>
        <w:rPr>
          <w:rFonts w:hint="default" w:ascii="Times New Roman" w:hAnsi="Times New Roman" w:cs="Times New Roman"/>
        </w:rPr>
      </w:pPr>
      <w:bookmarkStart w:id="23" w:name="X8a2624c51aefce06ecab727aeab110e58e67b12"/>
      <w:r>
        <w:rPr>
          <w:rFonts w:hint="default" w:ascii="Times New Roman" w:hAnsi="Times New Roman" w:cs="Times New Roman"/>
        </w:rPr>
        <w:t>4.12 Published methods under protocol shift: the field’s standard selection picks the worst model (Level 5)</w:t>
      </w:r>
    </w:p>
    <w:p w14:paraId="2B78E98A">
      <w:pPr>
        <w:pStyle w:val="23"/>
        <w:rPr>
          <w:rFonts w:hint="default" w:ascii="Times New Roman" w:hAnsi="Times New Roman" w:cs="Times New Roman"/>
        </w:rPr>
      </w:pPr>
      <w:r>
        <w:rPr>
          <w:rFonts w:hint="default" w:ascii="Times New Roman" w:hAnsi="Times New Roman" w:cs="Times New Roman"/>
        </w:rPr>
        <w:t xml:space="preserve">With a well-conditioned target available, a question that was previously unanswerable becomes answerable: how do standard published methods behave under leave-one-cohort-out? Twelve methods were run through the </w:t>
      </w:r>
      <w:r>
        <w:rPr>
          <w:rFonts w:hint="default" w:ascii="Times New Roman" w:hAnsi="Times New Roman" w:cs="Times New Roman"/>
          <w:i/>
          <w:iCs/>
        </w:rPr>
        <w:t>same</w:t>
      </w:r>
      <w:r>
        <w:rPr>
          <w:rFonts w:hint="default" w:ascii="Times New Roman" w:hAnsi="Times New Roman" w:cs="Times New Roman"/>
        </w:rPr>
        <w:t xml:space="preserve"> </w:t>
      </w:r>
      <w:r>
        <w:rPr>
          <w:rStyle w:val="48"/>
          <w:rFonts w:hint="default" w:ascii="Times New Roman" w:hAnsi="Times New Roman" w:cs="Times New Roman"/>
        </w:rPr>
        <w:t>Validator</w:t>
      </w:r>
      <w:r>
        <w:rPr>
          <w:rFonts w:hint="default" w:ascii="Times New Roman" w:hAnsi="Times New Roman" w:cs="Times New Roman"/>
        </w:rPr>
        <w:t xml:space="preserve"> this project applies to its own candidates â€” same mandatory LOCO, same training-mean baseline, same age-confound check. A method does not get a friendlier evaluation for being well known.</w:t>
      </w:r>
    </w:p>
    <w:p w14:paraId="65400723">
      <w:pPr>
        <w:pStyle w:val="3"/>
        <w:rPr>
          <w:rFonts w:hint="default" w:ascii="Times New Roman" w:hAnsi="Times New Roman" w:cs="Times New Roman"/>
        </w:rPr>
      </w:pPr>
      <w:r>
        <w:rPr>
          <w:rFonts w:hint="default" w:ascii="Times New Roman" w:hAnsi="Times New Roman" w:cs="Times New Roman"/>
        </w:rPr>
        <w:t xml:space="preserve">Target </w:t>
      </w:r>
      <w:r>
        <w:rPr>
          <w:rStyle w:val="48"/>
          <w:rFonts w:hint="default" w:ascii="Times New Roman" w:hAnsi="Times New Roman" w:cs="Times New Roman"/>
        </w:rPr>
        <w:t>soh</w:t>
      </w:r>
      <w:r>
        <w:rPr>
          <w:rFonts w:hint="default" w:ascii="Times New Roman" w:hAnsi="Times New Roman" w:cs="Times New Roman"/>
        </w:rPr>
        <w:t xml:space="preserve">, 2,585 rows, 31 cells, 9 cohorts, ceiling 0.569. Two of the twelve are a real XGBoost (the </w:t>
      </w:r>
      <w:r>
        <w:rPr>
          <w:rStyle w:val="48"/>
          <w:rFonts w:hint="default" w:ascii="Times New Roman" w:hAnsi="Times New Roman" w:cs="Times New Roman"/>
        </w:rPr>
        <w:t>xgboost</w:t>
      </w:r>
      <w:r>
        <w:rPr>
          <w:rFonts w:hint="default" w:ascii="Times New Roman" w:hAnsi="Times New Roman" w:cs="Times New Roman"/>
        </w:rPr>
        <w:t xml:space="preserve"> package, not a substitute) and a real LSTM over 10 consecutive cycles per cell â€” see </w:t>
      </w:r>
      <w:r>
        <w:rPr>
          <w:rStyle w:val="48"/>
          <w:rFonts w:hint="default" w:ascii="Times New Roman" w:hAnsi="Times New Roman" w:cs="Times New Roman"/>
        </w:rPr>
        <w:t>docs/benchmark_models.md</w:t>
      </w:r>
      <w:r>
        <w:rPr>
          <w:rFonts w:hint="default" w:ascii="Times New Roman" w:hAnsi="Times New Roman" w:cs="Times New Roman"/>
        </w:rPr>
        <w:t>. Sorted by LOCO, which is the column that matters:</w:t>
      </w:r>
    </w:p>
    <w:tbl>
      <w:tblPr>
        <w:tblStyle w:val="41"/>
        <w:tblW w:w="5000" w:type="pct"/>
        <w:tblInd w:w="0" w:type="dxa"/>
        <w:tblLayout w:type="fixed"/>
        <w:tblCellMar>
          <w:top w:w="0" w:type="dxa"/>
          <w:left w:w="108" w:type="dxa"/>
          <w:bottom w:w="0" w:type="dxa"/>
          <w:right w:w="108" w:type="dxa"/>
        </w:tblCellMar>
      </w:tblPr>
      <w:tblGrid>
        <w:gridCol w:w="1155"/>
        <w:gridCol w:w="1540"/>
        <w:gridCol w:w="1540"/>
        <w:gridCol w:w="1540"/>
        <w:gridCol w:w="1540"/>
        <w:gridCol w:w="1540"/>
      </w:tblGrid>
      <w:tr w14:paraId="4F851433">
        <w:tblPrEx>
          <w:tblCellMar>
            <w:top w:w="0" w:type="dxa"/>
            <w:left w:w="108" w:type="dxa"/>
            <w:bottom w:w="0" w:type="dxa"/>
            <w:right w:w="108" w:type="dxa"/>
          </w:tblCellMar>
        </w:tblPrEx>
        <w:trPr>
          <w:tblHeader/>
        </w:trPr>
        <w:tc>
          <w:p w14:paraId="53BA3C47">
            <w:pPr>
              <w:pStyle w:val="24"/>
              <w:rPr>
                <w:rFonts w:hint="default" w:ascii="Times New Roman" w:hAnsi="Times New Roman" w:cs="Times New Roman"/>
              </w:rPr>
            </w:pPr>
            <w:r>
              <w:rPr>
                <w:rFonts w:hint="default" w:ascii="Times New Roman" w:hAnsi="Times New Roman" w:cs="Times New Roman"/>
              </w:rPr>
              <w:t>Method</w:t>
            </w:r>
          </w:p>
        </w:tc>
        <w:tc>
          <w:p w14:paraId="429F8854">
            <w:pPr>
              <w:pStyle w:val="24"/>
              <w:jc w:val="right"/>
              <w:rPr>
                <w:rFonts w:hint="default" w:ascii="Times New Roman" w:hAnsi="Times New Roman" w:cs="Times New Roman"/>
              </w:rPr>
            </w:pPr>
            <w:r>
              <w:rPr>
                <w:rFonts w:hint="default" w:ascii="Times New Roman" w:hAnsi="Times New Roman" w:cs="Times New Roman"/>
              </w:rPr>
              <w:t>LOBO MAE</w:t>
            </w:r>
          </w:p>
        </w:tc>
        <w:tc>
          <w:p w14:paraId="06727B68">
            <w:pPr>
              <w:pStyle w:val="24"/>
              <w:jc w:val="right"/>
              <w:rPr>
                <w:rFonts w:hint="default" w:ascii="Times New Roman" w:hAnsi="Times New Roman" w:cs="Times New Roman"/>
              </w:rPr>
            </w:pPr>
            <w:r>
              <w:rPr>
                <w:rFonts w:hint="default" w:ascii="Times New Roman" w:hAnsi="Times New Roman" w:cs="Times New Roman"/>
              </w:rPr>
              <w:t>LOCO MAE</w:t>
            </w:r>
          </w:p>
        </w:tc>
        <w:tc>
          <w:p w14:paraId="6F916EEC">
            <w:pPr>
              <w:pStyle w:val="24"/>
              <w:jc w:val="right"/>
              <w:rPr>
                <w:rFonts w:hint="default" w:ascii="Times New Roman" w:hAnsi="Times New Roman" w:cs="Times New Roman"/>
              </w:rPr>
            </w:pPr>
            <w:r>
              <w:rPr>
                <w:rFonts w:hint="default" w:ascii="Times New Roman" w:hAnsi="Times New Roman" w:cs="Times New Roman"/>
              </w:rPr>
              <w:t>LOBO RÂ²</w:t>
            </w:r>
          </w:p>
        </w:tc>
        <w:tc>
          <w:p w14:paraId="5FD2A61C">
            <w:pPr>
              <w:pStyle w:val="24"/>
              <w:jc w:val="right"/>
              <w:rPr>
                <w:rFonts w:hint="default" w:ascii="Times New Roman" w:hAnsi="Times New Roman" w:cs="Times New Roman"/>
              </w:rPr>
            </w:pPr>
            <w:r>
              <w:rPr>
                <w:rFonts w:hint="default" w:ascii="Times New Roman" w:hAnsi="Times New Roman" w:cs="Times New Roman"/>
              </w:rPr>
              <w:t>LOCO RÂ²</w:t>
            </w:r>
          </w:p>
        </w:tc>
        <w:tc>
          <w:p w14:paraId="60523AA1">
            <w:pPr>
              <w:pStyle w:val="24"/>
              <w:jc w:val="right"/>
              <w:rPr>
                <w:rFonts w:hint="default" w:ascii="Times New Roman" w:hAnsi="Times New Roman" w:cs="Times New Roman"/>
              </w:rPr>
            </w:pPr>
            <w:r>
              <w:rPr>
                <w:rFonts w:hint="default" w:ascii="Times New Roman" w:hAnsi="Times New Roman" w:cs="Times New Roman"/>
              </w:rPr>
              <w:t>Î”</w:t>
            </w:r>
          </w:p>
        </w:tc>
      </w:tr>
      <w:tr w14:paraId="56947101">
        <w:tblPrEx>
          <w:tblCellMar>
            <w:top w:w="0" w:type="dxa"/>
            <w:left w:w="108" w:type="dxa"/>
            <w:bottom w:w="0" w:type="dxa"/>
            <w:right w:w="108" w:type="dxa"/>
          </w:tblCellMar>
        </w:tblPrEx>
        <w:tc>
          <w:p w14:paraId="1CB4949C">
            <w:pPr>
              <w:pStyle w:val="24"/>
              <w:rPr>
                <w:rFonts w:hint="default" w:ascii="Times New Roman" w:hAnsi="Times New Roman" w:cs="Times New Roman"/>
              </w:rPr>
            </w:pPr>
            <w:r>
              <w:rPr>
                <w:rStyle w:val="48"/>
                <w:rFonts w:hint="default" w:ascii="Times New Roman" w:hAnsi="Times New Roman" w:cs="Times New Roman"/>
              </w:rPr>
              <w:t>xgboost</w:t>
            </w:r>
          </w:p>
        </w:tc>
        <w:tc>
          <w:p w14:paraId="5EC5535A">
            <w:pPr>
              <w:pStyle w:val="24"/>
              <w:jc w:val="right"/>
              <w:rPr>
                <w:rFonts w:hint="default" w:ascii="Times New Roman" w:hAnsi="Times New Roman" w:cs="Times New Roman"/>
              </w:rPr>
            </w:pPr>
            <w:r>
              <w:rPr>
                <w:rFonts w:hint="default" w:ascii="Times New Roman" w:hAnsi="Times New Roman" w:cs="Times New Roman"/>
                <w:b/>
                <w:bCs/>
              </w:rPr>
              <w:t>4.21%</w:t>
            </w:r>
          </w:p>
        </w:tc>
        <w:tc>
          <w:p w14:paraId="55C5A7CF">
            <w:pPr>
              <w:pStyle w:val="24"/>
              <w:jc w:val="right"/>
              <w:rPr>
                <w:rFonts w:hint="default" w:ascii="Times New Roman" w:hAnsi="Times New Roman" w:cs="Times New Roman"/>
              </w:rPr>
            </w:pPr>
            <w:r>
              <w:rPr>
                <w:rFonts w:hint="default" w:ascii="Times New Roman" w:hAnsi="Times New Roman" w:cs="Times New Roman"/>
                <w:b/>
                <w:bCs/>
              </w:rPr>
              <w:t>7.62%</w:t>
            </w:r>
          </w:p>
        </w:tc>
        <w:tc>
          <w:p w14:paraId="5CA0D333">
            <w:pPr>
              <w:pStyle w:val="24"/>
              <w:jc w:val="right"/>
              <w:rPr>
                <w:rFonts w:hint="default" w:ascii="Times New Roman" w:hAnsi="Times New Roman" w:cs="Times New Roman"/>
              </w:rPr>
            </w:pPr>
            <w:r>
              <w:rPr>
                <w:rFonts w:hint="default" w:ascii="Times New Roman" w:hAnsi="Times New Roman" w:cs="Times New Roman"/>
              </w:rPr>
              <w:t>0.732</w:t>
            </w:r>
          </w:p>
        </w:tc>
        <w:tc>
          <w:p w14:paraId="34C751BF">
            <w:pPr>
              <w:pStyle w:val="24"/>
              <w:jc w:val="right"/>
              <w:rPr>
                <w:rFonts w:hint="default" w:ascii="Times New Roman" w:hAnsi="Times New Roman" w:cs="Times New Roman"/>
              </w:rPr>
            </w:pPr>
            <w:r>
              <w:rPr>
                <w:rFonts w:hint="default" w:ascii="Times New Roman" w:hAnsi="Times New Roman" w:cs="Times New Roman"/>
                <w:b/>
                <w:bCs/>
              </w:rPr>
              <w:t>0.459</w:t>
            </w:r>
          </w:p>
        </w:tc>
        <w:tc>
          <w:p w14:paraId="529A88B2">
            <w:pPr>
              <w:pStyle w:val="24"/>
              <w:jc w:val="right"/>
              <w:rPr>
                <w:rFonts w:hint="default" w:ascii="Times New Roman" w:hAnsi="Times New Roman" w:cs="Times New Roman"/>
              </w:rPr>
            </w:pPr>
            <w:r>
              <w:rPr>
                <w:rFonts w:hint="default" w:ascii="Times New Roman" w:hAnsi="Times New Roman" w:cs="Times New Roman"/>
              </w:rPr>
              <w:t>âˆ’0.273</w:t>
            </w:r>
          </w:p>
        </w:tc>
      </w:tr>
      <w:tr w14:paraId="6E410822">
        <w:tblPrEx>
          <w:tblCellMar>
            <w:top w:w="0" w:type="dxa"/>
            <w:left w:w="108" w:type="dxa"/>
            <w:bottom w:w="0" w:type="dxa"/>
            <w:right w:w="108" w:type="dxa"/>
          </w:tblCellMar>
        </w:tblPrEx>
        <w:tc>
          <w:p w14:paraId="75F79004">
            <w:pPr>
              <w:pStyle w:val="24"/>
              <w:rPr>
                <w:rFonts w:hint="default" w:ascii="Times New Roman" w:hAnsi="Times New Roman" w:cs="Times New Roman"/>
              </w:rPr>
            </w:pPr>
            <w:r>
              <w:rPr>
                <w:rStyle w:val="48"/>
                <w:rFonts w:hint="default" w:ascii="Times New Roman" w:hAnsi="Times New Roman" w:cs="Times New Roman"/>
              </w:rPr>
              <w:t>age_linear</w:t>
            </w:r>
          </w:p>
        </w:tc>
        <w:tc>
          <w:p w14:paraId="15634E06">
            <w:pPr>
              <w:pStyle w:val="24"/>
              <w:jc w:val="right"/>
              <w:rPr>
                <w:rFonts w:hint="default" w:ascii="Times New Roman" w:hAnsi="Times New Roman" w:cs="Times New Roman"/>
              </w:rPr>
            </w:pPr>
            <w:r>
              <w:rPr>
                <w:rFonts w:hint="default" w:ascii="Times New Roman" w:hAnsi="Times New Roman" w:cs="Times New Roman"/>
              </w:rPr>
              <w:t>8.54%</w:t>
            </w:r>
          </w:p>
        </w:tc>
        <w:tc>
          <w:p w14:paraId="4B36739B">
            <w:pPr>
              <w:pStyle w:val="24"/>
              <w:jc w:val="right"/>
              <w:rPr>
                <w:rFonts w:hint="default" w:ascii="Times New Roman" w:hAnsi="Times New Roman" w:cs="Times New Roman"/>
              </w:rPr>
            </w:pPr>
            <w:r>
              <w:rPr>
                <w:rFonts w:hint="default" w:ascii="Times New Roman" w:hAnsi="Times New Roman" w:cs="Times New Roman"/>
              </w:rPr>
              <w:t>10.71%</w:t>
            </w:r>
          </w:p>
        </w:tc>
        <w:tc>
          <w:p w14:paraId="351554D1">
            <w:pPr>
              <w:pStyle w:val="24"/>
              <w:jc w:val="right"/>
              <w:rPr>
                <w:rFonts w:hint="default" w:ascii="Times New Roman" w:hAnsi="Times New Roman" w:cs="Times New Roman"/>
              </w:rPr>
            </w:pPr>
            <w:r>
              <w:rPr>
                <w:rFonts w:hint="default" w:ascii="Times New Roman" w:hAnsi="Times New Roman" w:cs="Times New Roman"/>
              </w:rPr>
              <w:t>0.483</w:t>
            </w:r>
          </w:p>
        </w:tc>
        <w:tc>
          <w:p w14:paraId="33D017A1">
            <w:pPr>
              <w:pStyle w:val="24"/>
              <w:jc w:val="right"/>
              <w:rPr>
                <w:rFonts w:hint="default" w:ascii="Times New Roman" w:hAnsi="Times New Roman" w:cs="Times New Roman"/>
              </w:rPr>
            </w:pPr>
            <w:r>
              <w:rPr>
                <w:rFonts w:hint="default" w:ascii="Times New Roman" w:hAnsi="Times New Roman" w:cs="Times New Roman"/>
              </w:rPr>
              <w:t>0.406</w:t>
            </w:r>
          </w:p>
        </w:tc>
        <w:tc>
          <w:p w14:paraId="6ADB23C8">
            <w:pPr>
              <w:pStyle w:val="24"/>
              <w:jc w:val="right"/>
              <w:rPr>
                <w:rFonts w:hint="default" w:ascii="Times New Roman" w:hAnsi="Times New Roman" w:cs="Times New Roman"/>
              </w:rPr>
            </w:pPr>
            <w:r>
              <w:rPr>
                <w:rFonts w:hint="default" w:ascii="Times New Roman" w:hAnsi="Times New Roman" w:cs="Times New Roman"/>
                <w:b/>
                <w:bCs/>
              </w:rPr>
              <w:t>âˆ’0.076</w:t>
            </w:r>
          </w:p>
        </w:tc>
      </w:tr>
      <w:tr w14:paraId="5771386C">
        <w:tblPrEx>
          <w:tblCellMar>
            <w:top w:w="0" w:type="dxa"/>
            <w:left w:w="108" w:type="dxa"/>
            <w:bottom w:w="0" w:type="dxa"/>
            <w:right w:w="108" w:type="dxa"/>
          </w:tblCellMar>
        </w:tblPrEx>
        <w:tc>
          <w:p w14:paraId="5C26AD2C">
            <w:pPr>
              <w:pStyle w:val="24"/>
              <w:rPr>
                <w:rFonts w:hint="default" w:ascii="Times New Roman" w:hAnsi="Times New Roman" w:cs="Times New Roman"/>
              </w:rPr>
            </w:pPr>
            <w:r>
              <w:rPr>
                <w:rStyle w:val="48"/>
                <w:rFonts w:hint="default" w:ascii="Times New Roman" w:hAnsi="Times New Roman" w:cs="Times New Roman"/>
              </w:rPr>
              <w:t>elasticnet</w:t>
            </w:r>
          </w:p>
        </w:tc>
        <w:tc>
          <w:p w14:paraId="6E62E16A">
            <w:pPr>
              <w:pStyle w:val="24"/>
              <w:jc w:val="right"/>
              <w:rPr>
                <w:rFonts w:hint="default" w:ascii="Times New Roman" w:hAnsi="Times New Roman" w:cs="Times New Roman"/>
              </w:rPr>
            </w:pPr>
            <w:r>
              <w:rPr>
                <w:rFonts w:hint="default" w:ascii="Times New Roman" w:hAnsi="Times New Roman" w:cs="Times New Roman"/>
              </w:rPr>
              <w:t>7.61%</w:t>
            </w:r>
          </w:p>
        </w:tc>
        <w:tc>
          <w:p w14:paraId="51D79D4C">
            <w:pPr>
              <w:pStyle w:val="24"/>
              <w:jc w:val="right"/>
              <w:rPr>
                <w:rFonts w:hint="default" w:ascii="Times New Roman" w:hAnsi="Times New Roman" w:cs="Times New Roman"/>
              </w:rPr>
            </w:pPr>
            <w:r>
              <w:rPr>
                <w:rFonts w:hint="default" w:ascii="Times New Roman" w:hAnsi="Times New Roman" w:cs="Times New Roman"/>
              </w:rPr>
              <w:t>10.31%</w:t>
            </w:r>
          </w:p>
        </w:tc>
        <w:tc>
          <w:p w14:paraId="1820F1FC">
            <w:pPr>
              <w:pStyle w:val="24"/>
              <w:jc w:val="right"/>
              <w:rPr>
                <w:rFonts w:hint="default" w:ascii="Times New Roman" w:hAnsi="Times New Roman" w:cs="Times New Roman"/>
              </w:rPr>
            </w:pPr>
            <w:r>
              <w:rPr>
                <w:rFonts w:hint="default" w:ascii="Times New Roman" w:hAnsi="Times New Roman" w:cs="Times New Roman"/>
              </w:rPr>
              <w:t>0.609</w:t>
            </w:r>
          </w:p>
        </w:tc>
        <w:tc>
          <w:p w14:paraId="6334EA1F">
            <w:pPr>
              <w:pStyle w:val="24"/>
              <w:jc w:val="right"/>
              <w:rPr>
                <w:rFonts w:hint="default" w:ascii="Times New Roman" w:hAnsi="Times New Roman" w:cs="Times New Roman"/>
              </w:rPr>
            </w:pPr>
            <w:r>
              <w:rPr>
                <w:rFonts w:hint="default" w:ascii="Times New Roman" w:hAnsi="Times New Roman" w:cs="Times New Roman"/>
              </w:rPr>
              <w:t>0.355</w:t>
            </w:r>
          </w:p>
        </w:tc>
        <w:tc>
          <w:p w14:paraId="1204099D">
            <w:pPr>
              <w:pStyle w:val="24"/>
              <w:jc w:val="right"/>
              <w:rPr>
                <w:rFonts w:hint="default" w:ascii="Times New Roman" w:hAnsi="Times New Roman" w:cs="Times New Roman"/>
              </w:rPr>
            </w:pPr>
            <w:r>
              <w:rPr>
                <w:rFonts w:hint="default" w:ascii="Times New Roman" w:hAnsi="Times New Roman" w:cs="Times New Roman"/>
              </w:rPr>
              <w:t>âˆ’0.254</w:t>
            </w:r>
          </w:p>
        </w:tc>
      </w:tr>
      <w:tr w14:paraId="51DE9EFB">
        <w:tblPrEx>
          <w:tblCellMar>
            <w:top w:w="0" w:type="dxa"/>
            <w:left w:w="108" w:type="dxa"/>
            <w:bottom w:w="0" w:type="dxa"/>
            <w:right w:w="108" w:type="dxa"/>
          </w:tblCellMar>
        </w:tblPrEx>
        <w:tc>
          <w:p w14:paraId="37A5AF18">
            <w:pPr>
              <w:pStyle w:val="24"/>
              <w:rPr>
                <w:rFonts w:hint="default" w:ascii="Times New Roman" w:hAnsi="Times New Roman" w:cs="Times New Roman"/>
              </w:rPr>
            </w:pPr>
            <w:r>
              <w:rPr>
                <w:rStyle w:val="48"/>
                <w:rFonts w:hint="default" w:ascii="Times New Roman" w:hAnsi="Times New Roman" w:cs="Times New Roman"/>
              </w:rPr>
              <w:t>gpr_matern</w:t>
            </w:r>
          </w:p>
        </w:tc>
        <w:tc>
          <w:p w14:paraId="335CD39A">
            <w:pPr>
              <w:pStyle w:val="24"/>
              <w:jc w:val="right"/>
              <w:rPr>
                <w:rFonts w:hint="default" w:ascii="Times New Roman" w:hAnsi="Times New Roman" w:cs="Times New Roman"/>
              </w:rPr>
            </w:pPr>
            <w:r>
              <w:rPr>
                <w:rFonts w:hint="default" w:ascii="Times New Roman" w:hAnsi="Times New Roman" w:cs="Times New Roman"/>
              </w:rPr>
              <w:t>4.48%</w:t>
            </w:r>
          </w:p>
        </w:tc>
        <w:tc>
          <w:p w14:paraId="2AAC3AB9">
            <w:pPr>
              <w:pStyle w:val="24"/>
              <w:jc w:val="right"/>
              <w:rPr>
                <w:rFonts w:hint="default" w:ascii="Times New Roman" w:hAnsi="Times New Roman" w:cs="Times New Roman"/>
              </w:rPr>
            </w:pPr>
            <w:r>
              <w:rPr>
                <w:rFonts w:hint="default" w:ascii="Times New Roman" w:hAnsi="Times New Roman" w:cs="Times New Roman"/>
              </w:rPr>
              <w:t>17.06%</w:t>
            </w:r>
          </w:p>
        </w:tc>
        <w:tc>
          <w:p w14:paraId="5D51FB02">
            <w:pPr>
              <w:pStyle w:val="24"/>
              <w:jc w:val="right"/>
              <w:rPr>
                <w:rFonts w:hint="default" w:ascii="Times New Roman" w:hAnsi="Times New Roman" w:cs="Times New Roman"/>
              </w:rPr>
            </w:pPr>
            <w:r>
              <w:rPr>
                <w:rFonts w:hint="default" w:ascii="Times New Roman" w:hAnsi="Times New Roman" w:cs="Times New Roman"/>
              </w:rPr>
              <w:t>0.725</w:t>
            </w:r>
          </w:p>
        </w:tc>
        <w:tc>
          <w:p w14:paraId="238FA20E">
            <w:pPr>
              <w:pStyle w:val="24"/>
              <w:jc w:val="right"/>
              <w:rPr>
                <w:rFonts w:hint="default" w:ascii="Times New Roman" w:hAnsi="Times New Roman" w:cs="Times New Roman"/>
              </w:rPr>
            </w:pPr>
            <w:r>
              <w:rPr>
                <w:rFonts w:hint="default" w:ascii="Times New Roman" w:hAnsi="Times New Roman" w:cs="Times New Roman"/>
              </w:rPr>
              <w:t>0.207</w:t>
            </w:r>
          </w:p>
        </w:tc>
        <w:tc>
          <w:p w14:paraId="0C0B9EA0">
            <w:pPr>
              <w:pStyle w:val="24"/>
              <w:jc w:val="right"/>
              <w:rPr>
                <w:rFonts w:hint="default" w:ascii="Times New Roman" w:hAnsi="Times New Roman" w:cs="Times New Roman"/>
              </w:rPr>
            </w:pPr>
            <w:r>
              <w:rPr>
                <w:rFonts w:hint="default" w:ascii="Times New Roman" w:hAnsi="Times New Roman" w:cs="Times New Roman"/>
              </w:rPr>
              <w:t>âˆ’0.518</w:t>
            </w:r>
          </w:p>
        </w:tc>
      </w:tr>
      <w:tr w14:paraId="5D8AA29F">
        <w:tblPrEx>
          <w:tblCellMar>
            <w:top w:w="0" w:type="dxa"/>
            <w:left w:w="108" w:type="dxa"/>
            <w:bottom w:w="0" w:type="dxa"/>
            <w:right w:w="108" w:type="dxa"/>
          </w:tblCellMar>
        </w:tblPrEx>
        <w:tc>
          <w:p w14:paraId="4EFB2C97">
            <w:pPr>
              <w:pStyle w:val="24"/>
              <w:rPr>
                <w:rFonts w:hint="default" w:ascii="Times New Roman" w:hAnsi="Times New Roman" w:cs="Times New Roman"/>
              </w:rPr>
            </w:pPr>
            <w:r>
              <w:rPr>
                <w:rStyle w:val="48"/>
                <w:rFonts w:hint="default" w:ascii="Times New Roman" w:hAnsi="Times New Roman" w:cs="Times New Roman"/>
              </w:rPr>
              <w:t>random_forest</w:t>
            </w:r>
          </w:p>
        </w:tc>
        <w:tc>
          <w:p w14:paraId="009224D9">
            <w:pPr>
              <w:pStyle w:val="24"/>
              <w:jc w:val="right"/>
              <w:rPr>
                <w:rFonts w:hint="default" w:ascii="Times New Roman" w:hAnsi="Times New Roman" w:cs="Times New Roman"/>
              </w:rPr>
            </w:pPr>
            <w:r>
              <w:rPr>
                <w:rFonts w:hint="default" w:ascii="Times New Roman" w:hAnsi="Times New Roman" w:cs="Times New Roman"/>
              </w:rPr>
              <w:t>4.90%</w:t>
            </w:r>
          </w:p>
        </w:tc>
        <w:tc>
          <w:p w14:paraId="64A8955F">
            <w:pPr>
              <w:pStyle w:val="24"/>
              <w:jc w:val="right"/>
              <w:rPr>
                <w:rFonts w:hint="default" w:ascii="Times New Roman" w:hAnsi="Times New Roman" w:cs="Times New Roman"/>
              </w:rPr>
            </w:pPr>
            <w:r>
              <w:rPr>
                <w:rFonts w:hint="default" w:ascii="Times New Roman" w:hAnsi="Times New Roman" w:cs="Times New Roman"/>
              </w:rPr>
              <w:t>10.67%</w:t>
            </w:r>
          </w:p>
        </w:tc>
        <w:tc>
          <w:p w14:paraId="05AB22A0">
            <w:pPr>
              <w:pStyle w:val="24"/>
              <w:jc w:val="right"/>
              <w:rPr>
                <w:rFonts w:hint="default" w:ascii="Times New Roman" w:hAnsi="Times New Roman" w:cs="Times New Roman"/>
              </w:rPr>
            </w:pPr>
            <w:r>
              <w:rPr>
                <w:rFonts w:hint="default" w:ascii="Times New Roman" w:hAnsi="Times New Roman" w:cs="Times New Roman"/>
                <w:b/>
                <w:bCs/>
              </w:rPr>
              <w:t>0.773</w:t>
            </w:r>
          </w:p>
        </w:tc>
        <w:tc>
          <w:p w14:paraId="698EC6FF">
            <w:pPr>
              <w:pStyle w:val="24"/>
              <w:jc w:val="right"/>
              <w:rPr>
                <w:rFonts w:hint="default" w:ascii="Times New Roman" w:hAnsi="Times New Roman" w:cs="Times New Roman"/>
              </w:rPr>
            </w:pPr>
            <w:r>
              <w:rPr>
                <w:rFonts w:hint="default" w:ascii="Times New Roman" w:hAnsi="Times New Roman" w:cs="Times New Roman"/>
              </w:rPr>
              <w:t>0.150</w:t>
            </w:r>
          </w:p>
        </w:tc>
        <w:tc>
          <w:p w14:paraId="1F853B8B">
            <w:pPr>
              <w:pStyle w:val="24"/>
              <w:jc w:val="right"/>
              <w:rPr>
                <w:rFonts w:hint="default" w:ascii="Times New Roman" w:hAnsi="Times New Roman" w:cs="Times New Roman"/>
              </w:rPr>
            </w:pPr>
            <w:r>
              <w:rPr>
                <w:rFonts w:hint="default" w:ascii="Times New Roman" w:hAnsi="Times New Roman" w:cs="Times New Roman"/>
              </w:rPr>
              <w:t>âˆ’0.623</w:t>
            </w:r>
          </w:p>
        </w:tc>
      </w:tr>
      <w:tr w14:paraId="7F1313B6">
        <w:tblPrEx>
          <w:tblCellMar>
            <w:top w:w="0" w:type="dxa"/>
            <w:left w:w="108" w:type="dxa"/>
            <w:bottom w:w="0" w:type="dxa"/>
            <w:right w:w="108" w:type="dxa"/>
          </w:tblCellMar>
        </w:tblPrEx>
        <w:tc>
          <w:p w14:paraId="66918D56">
            <w:pPr>
              <w:pStyle w:val="24"/>
              <w:rPr>
                <w:rFonts w:hint="default" w:ascii="Times New Roman" w:hAnsi="Times New Roman" w:cs="Times New Roman"/>
              </w:rPr>
            </w:pPr>
            <w:r>
              <w:rPr>
                <w:rStyle w:val="48"/>
                <w:rFonts w:hint="default" w:ascii="Times New Roman" w:hAnsi="Times New Roman" w:cs="Times New Roman"/>
              </w:rPr>
              <w:t>svr_rbf</w:t>
            </w:r>
          </w:p>
        </w:tc>
        <w:tc>
          <w:p w14:paraId="7357510D">
            <w:pPr>
              <w:pStyle w:val="24"/>
              <w:jc w:val="right"/>
              <w:rPr>
                <w:rFonts w:hint="default" w:ascii="Times New Roman" w:hAnsi="Times New Roman" w:cs="Times New Roman"/>
              </w:rPr>
            </w:pPr>
            <w:r>
              <w:rPr>
                <w:rFonts w:hint="default" w:ascii="Times New Roman" w:hAnsi="Times New Roman" w:cs="Times New Roman"/>
              </w:rPr>
              <w:t>6.91%</w:t>
            </w:r>
          </w:p>
        </w:tc>
        <w:tc>
          <w:p w14:paraId="210383FC">
            <w:pPr>
              <w:pStyle w:val="24"/>
              <w:jc w:val="right"/>
              <w:rPr>
                <w:rFonts w:hint="default" w:ascii="Times New Roman" w:hAnsi="Times New Roman" w:cs="Times New Roman"/>
              </w:rPr>
            </w:pPr>
            <w:r>
              <w:rPr>
                <w:rFonts w:hint="default" w:ascii="Times New Roman" w:hAnsi="Times New Roman" w:cs="Times New Roman"/>
              </w:rPr>
              <w:t>14.29%</w:t>
            </w:r>
          </w:p>
        </w:tc>
        <w:tc>
          <w:p w14:paraId="1069A57E">
            <w:pPr>
              <w:pStyle w:val="24"/>
              <w:jc w:val="right"/>
              <w:rPr>
                <w:rFonts w:hint="default" w:ascii="Times New Roman" w:hAnsi="Times New Roman" w:cs="Times New Roman"/>
              </w:rPr>
            </w:pPr>
            <w:r>
              <w:rPr>
                <w:rFonts w:hint="default" w:ascii="Times New Roman" w:hAnsi="Times New Roman" w:cs="Times New Roman"/>
              </w:rPr>
              <w:t>0.651</w:t>
            </w:r>
          </w:p>
        </w:tc>
        <w:tc>
          <w:p w14:paraId="6E06F32E">
            <w:pPr>
              <w:pStyle w:val="24"/>
              <w:jc w:val="right"/>
              <w:rPr>
                <w:rFonts w:hint="default" w:ascii="Times New Roman" w:hAnsi="Times New Roman" w:cs="Times New Roman"/>
              </w:rPr>
            </w:pPr>
            <w:r>
              <w:rPr>
                <w:rFonts w:hint="default" w:ascii="Times New Roman" w:hAnsi="Times New Roman" w:cs="Times New Roman"/>
              </w:rPr>
              <w:t>0.087</w:t>
            </w:r>
          </w:p>
        </w:tc>
        <w:tc>
          <w:p w14:paraId="01056180">
            <w:pPr>
              <w:pStyle w:val="24"/>
              <w:jc w:val="right"/>
              <w:rPr>
                <w:rFonts w:hint="default" w:ascii="Times New Roman" w:hAnsi="Times New Roman" w:cs="Times New Roman"/>
              </w:rPr>
            </w:pPr>
            <w:r>
              <w:rPr>
                <w:rFonts w:hint="default" w:ascii="Times New Roman" w:hAnsi="Times New Roman" w:cs="Times New Roman"/>
              </w:rPr>
              <w:t>âˆ’0.564</w:t>
            </w:r>
          </w:p>
        </w:tc>
      </w:tr>
      <w:tr w14:paraId="7F627CE8">
        <w:tblPrEx>
          <w:tblCellMar>
            <w:top w:w="0" w:type="dxa"/>
            <w:left w:w="108" w:type="dxa"/>
            <w:bottom w:w="0" w:type="dxa"/>
            <w:right w:w="108" w:type="dxa"/>
          </w:tblCellMar>
        </w:tblPrEx>
        <w:tc>
          <w:p w14:paraId="1E69CEDC">
            <w:pPr>
              <w:pStyle w:val="24"/>
              <w:rPr>
                <w:rFonts w:hint="default" w:ascii="Times New Roman" w:hAnsi="Times New Roman" w:cs="Times New Roman"/>
              </w:rPr>
            </w:pPr>
            <w:r>
              <w:rPr>
                <w:rStyle w:val="48"/>
                <w:rFonts w:hint="default" w:ascii="Times New Roman" w:hAnsi="Times New Roman" w:cs="Times New Roman"/>
              </w:rPr>
              <w:t>age_quadratic</w:t>
            </w:r>
          </w:p>
        </w:tc>
        <w:tc>
          <w:p w14:paraId="008A2505">
            <w:pPr>
              <w:pStyle w:val="24"/>
              <w:jc w:val="right"/>
              <w:rPr>
                <w:rFonts w:hint="default" w:ascii="Times New Roman" w:hAnsi="Times New Roman" w:cs="Times New Roman"/>
              </w:rPr>
            </w:pPr>
            <w:r>
              <w:rPr>
                <w:rFonts w:hint="default" w:ascii="Times New Roman" w:hAnsi="Times New Roman" w:cs="Times New Roman"/>
              </w:rPr>
              <w:t>6.62%</w:t>
            </w:r>
          </w:p>
        </w:tc>
        <w:tc>
          <w:p w14:paraId="7280BE5F">
            <w:pPr>
              <w:pStyle w:val="24"/>
              <w:jc w:val="right"/>
              <w:rPr>
                <w:rFonts w:hint="default" w:ascii="Times New Roman" w:hAnsi="Times New Roman" w:cs="Times New Roman"/>
              </w:rPr>
            </w:pPr>
            <w:r>
              <w:rPr>
                <w:rFonts w:hint="default" w:ascii="Times New Roman" w:hAnsi="Times New Roman" w:cs="Times New Roman"/>
              </w:rPr>
              <w:t>8.31%</w:t>
            </w:r>
          </w:p>
        </w:tc>
        <w:tc>
          <w:p w14:paraId="5CC5582A">
            <w:pPr>
              <w:pStyle w:val="24"/>
              <w:jc w:val="right"/>
              <w:rPr>
                <w:rFonts w:hint="default" w:ascii="Times New Roman" w:hAnsi="Times New Roman" w:cs="Times New Roman"/>
              </w:rPr>
            </w:pPr>
            <w:r>
              <w:rPr>
                <w:rFonts w:hint="default" w:ascii="Times New Roman" w:hAnsi="Times New Roman" w:cs="Times New Roman"/>
              </w:rPr>
              <w:t>0.336</w:t>
            </w:r>
          </w:p>
        </w:tc>
        <w:tc>
          <w:p w14:paraId="3D5DB436">
            <w:pPr>
              <w:pStyle w:val="24"/>
              <w:jc w:val="right"/>
              <w:rPr>
                <w:rFonts w:hint="default" w:ascii="Times New Roman" w:hAnsi="Times New Roman" w:cs="Times New Roman"/>
              </w:rPr>
            </w:pPr>
            <w:r>
              <w:rPr>
                <w:rFonts w:hint="default" w:ascii="Times New Roman" w:hAnsi="Times New Roman" w:cs="Times New Roman"/>
              </w:rPr>
              <w:t>0.034</w:t>
            </w:r>
          </w:p>
        </w:tc>
        <w:tc>
          <w:p w14:paraId="08B0094F">
            <w:pPr>
              <w:pStyle w:val="24"/>
              <w:jc w:val="right"/>
              <w:rPr>
                <w:rFonts w:hint="default" w:ascii="Times New Roman" w:hAnsi="Times New Roman" w:cs="Times New Roman"/>
              </w:rPr>
            </w:pPr>
            <w:r>
              <w:rPr>
                <w:rFonts w:hint="default" w:ascii="Times New Roman" w:hAnsi="Times New Roman" w:cs="Times New Roman"/>
              </w:rPr>
              <w:t>âˆ’0.301</w:t>
            </w:r>
          </w:p>
        </w:tc>
      </w:tr>
      <w:tr w14:paraId="23469EA8">
        <w:tblPrEx>
          <w:tblCellMar>
            <w:top w:w="0" w:type="dxa"/>
            <w:left w:w="108" w:type="dxa"/>
            <w:bottom w:w="0" w:type="dxa"/>
            <w:right w:w="108" w:type="dxa"/>
          </w:tblCellMar>
        </w:tblPrEx>
        <w:tc>
          <w:p w14:paraId="2B94FA00">
            <w:pPr>
              <w:pStyle w:val="24"/>
              <w:rPr>
                <w:rFonts w:hint="default" w:ascii="Times New Roman" w:hAnsi="Times New Roman" w:cs="Times New Roman"/>
              </w:rPr>
            </w:pPr>
            <w:r>
              <w:rPr>
                <w:rStyle w:val="48"/>
                <w:rFonts w:hint="default" w:ascii="Times New Roman" w:hAnsi="Times New Roman" w:cs="Times New Roman"/>
              </w:rPr>
              <w:t>age_isotonic</w:t>
            </w:r>
          </w:p>
        </w:tc>
        <w:tc>
          <w:p w14:paraId="641C8B45">
            <w:pPr>
              <w:pStyle w:val="24"/>
              <w:jc w:val="right"/>
              <w:rPr>
                <w:rFonts w:hint="default" w:ascii="Times New Roman" w:hAnsi="Times New Roman" w:cs="Times New Roman"/>
              </w:rPr>
            </w:pPr>
            <w:r>
              <w:rPr>
                <w:rFonts w:hint="default" w:ascii="Times New Roman" w:hAnsi="Times New Roman" w:cs="Times New Roman"/>
              </w:rPr>
              <w:t>6.99%</w:t>
            </w:r>
          </w:p>
        </w:tc>
        <w:tc>
          <w:p w14:paraId="53E2A7DE">
            <w:pPr>
              <w:pStyle w:val="24"/>
              <w:jc w:val="right"/>
              <w:rPr>
                <w:rFonts w:hint="default" w:ascii="Times New Roman" w:hAnsi="Times New Roman" w:cs="Times New Roman"/>
              </w:rPr>
            </w:pPr>
            <w:r>
              <w:rPr>
                <w:rFonts w:hint="default" w:ascii="Times New Roman" w:hAnsi="Times New Roman" w:cs="Times New Roman"/>
              </w:rPr>
              <w:t>8.50%</w:t>
            </w:r>
          </w:p>
        </w:tc>
        <w:tc>
          <w:p w14:paraId="4AF56B7C">
            <w:pPr>
              <w:pStyle w:val="24"/>
              <w:jc w:val="right"/>
              <w:rPr>
                <w:rFonts w:hint="default" w:ascii="Times New Roman" w:hAnsi="Times New Roman" w:cs="Times New Roman"/>
              </w:rPr>
            </w:pPr>
            <w:r>
              <w:rPr>
                <w:rFonts w:hint="default" w:ascii="Times New Roman" w:hAnsi="Times New Roman" w:cs="Times New Roman"/>
              </w:rPr>
              <w:t>0.278</w:t>
            </w:r>
          </w:p>
        </w:tc>
        <w:tc>
          <w:p w14:paraId="283B87DA">
            <w:pPr>
              <w:pStyle w:val="24"/>
              <w:jc w:val="right"/>
              <w:rPr>
                <w:rFonts w:hint="default" w:ascii="Times New Roman" w:hAnsi="Times New Roman" w:cs="Times New Roman"/>
              </w:rPr>
            </w:pPr>
            <w:r>
              <w:rPr>
                <w:rFonts w:hint="default" w:ascii="Times New Roman" w:hAnsi="Times New Roman" w:cs="Times New Roman"/>
              </w:rPr>
              <w:t>0.018</w:t>
            </w:r>
          </w:p>
        </w:tc>
        <w:tc>
          <w:p w14:paraId="6E2C7CF0">
            <w:pPr>
              <w:pStyle w:val="24"/>
              <w:jc w:val="right"/>
              <w:rPr>
                <w:rFonts w:hint="default" w:ascii="Times New Roman" w:hAnsi="Times New Roman" w:cs="Times New Roman"/>
              </w:rPr>
            </w:pPr>
            <w:r>
              <w:rPr>
                <w:rFonts w:hint="default" w:ascii="Times New Roman" w:hAnsi="Times New Roman" w:cs="Times New Roman"/>
              </w:rPr>
              <w:t>âˆ’0.260</w:t>
            </w:r>
          </w:p>
        </w:tc>
      </w:tr>
      <w:tr w14:paraId="2F05DE4C">
        <w:tblPrEx>
          <w:tblCellMar>
            <w:top w:w="0" w:type="dxa"/>
            <w:left w:w="108" w:type="dxa"/>
            <w:bottom w:w="0" w:type="dxa"/>
            <w:right w:w="108" w:type="dxa"/>
          </w:tblCellMar>
        </w:tblPrEx>
        <w:tc>
          <w:p w14:paraId="7F459BFB">
            <w:pPr>
              <w:pStyle w:val="24"/>
              <w:rPr>
                <w:rFonts w:hint="default" w:ascii="Times New Roman" w:hAnsi="Times New Roman" w:cs="Times New Roman"/>
              </w:rPr>
            </w:pPr>
            <w:r>
              <w:rPr>
                <w:rStyle w:val="48"/>
                <w:rFonts w:hint="default" w:ascii="Times New Roman" w:hAnsi="Times New Roman" w:cs="Times New Roman"/>
              </w:rPr>
              <w:t>train_mean</w:t>
            </w:r>
          </w:p>
        </w:tc>
        <w:tc>
          <w:p w14:paraId="5F2EEAA4">
            <w:pPr>
              <w:pStyle w:val="24"/>
              <w:jc w:val="right"/>
              <w:rPr>
                <w:rFonts w:hint="default" w:ascii="Times New Roman" w:hAnsi="Times New Roman" w:cs="Times New Roman"/>
              </w:rPr>
            </w:pPr>
            <w:r>
              <w:rPr>
                <w:rFonts w:hint="default" w:ascii="Times New Roman" w:hAnsi="Times New Roman" w:cs="Times New Roman"/>
              </w:rPr>
              <w:t>11.17%</w:t>
            </w:r>
          </w:p>
        </w:tc>
        <w:tc>
          <w:p w14:paraId="1D5CE074">
            <w:pPr>
              <w:pStyle w:val="24"/>
              <w:jc w:val="right"/>
              <w:rPr>
                <w:rFonts w:hint="default" w:ascii="Times New Roman" w:hAnsi="Times New Roman" w:cs="Times New Roman"/>
              </w:rPr>
            </w:pPr>
            <w:r>
              <w:rPr>
                <w:rFonts w:hint="default" w:ascii="Times New Roman" w:hAnsi="Times New Roman" w:cs="Times New Roman"/>
              </w:rPr>
              <w:t>11.92%</w:t>
            </w:r>
          </w:p>
        </w:tc>
        <w:tc>
          <w:p w14:paraId="166042A2">
            <w:pPr>
              <w:pStyle w:val="24"/>
              <w:jc w:val="right"/>
              <w:rPr>
                <w:rFonts w:hint="default" w:ascii="Times New Roman" w:hAnsi="Times New Roman" w:cs="Times New Roman"/>
              </w:rPr>
            </w:pPr>
            <w:r>
              <w:rPr>
                <w:rFonts w:hint="default" w:ascii="Times New Roman" w:hAnsi="Times New Roman" w:cs="Times New Roman"/>
              </w:rPr>
              <w:t>0.000</w:t>
            </w:r>
          </w:p>
        </w:tc>
        <w:tc>
          <w:p w14:paraId="3A66FF41">
            <w:pPr>
              <w:pStyle w:val="24"/>
              <w:jc w:val="right"/>
              <w:rPr>
                <w:rFonts w:hint="default" w:ascii="Times New Roman" w:hAnsi="Times New Roman" w:cs="Times New Roman"/>
              </w:rPr>
            </w:pPr>
            <w:r>
              <w:rPr>
                <w:rFonts w:hint="default" w:ascii="Times New Roman" w:hAnsi="Times New Roman" w:cs="Times New Roman"/>
              </w:rPr>
              <w:t>0.000</w:t>
            </w:r>
          </w:p>
        </w:tc>
        <w:tc>
          <w:p w14:paraId="509FF401">
            <w:pPr>
              <w:pStyle w:val="24"/>
              <w:jc w:val="right"/>
              <w:rPr>
                <w:rFonts w:hint="default" w:ascii="Times New Roman" w:hAnsi="Times New Roman" w:cs="Times New Roman"/>
              </w:rPr>
            </w:pPr>
            <w:r>
              <w:rPr>
                <w:rFonts w:hint="default" w:ascii="Times New Roman" w:hAnsi="Times New Roman" w:cs="Times New Roman"/>
              </w:rPr>
              <w:t>0.000</w:t>
            </w:r>
          </w:p>
        </w:tc>
      </w:tr>
      <w:tr w14:paraId="66CCA208">
        <w:tblPrEx>
          <w:tblCellMar>
            <w:top w:w="0" w:type="dxa"/>
            <w:left w:w="108" w:type="dxa"/>
            <w:bottom w:w="0" w:type="dxa"/>
            <w:right w:w="108" w:type="dxa"/>
          </w:tblCellMar>
        </w:tblPrEx>
        <w:tc>
          <w:p w14:paraId="2A642648">
            <w:pPr>
              <w:pStyle w:val="24"/>
              <w:rPr>
                <w:rFonts w:hint="default" w:ascii="Times New Roman" w:hAnsi="Times New Roman" w:cs="Times New Roman"/>
              </w:rPr>
            </w:pPr>
            <w:r>
              <w:rPr>
                <w:rStyle w:val="48"/>
                <w:rFonts w:hint="default" w:ascii="Times New Roman" w:hAnsi="Times New Roman" w:cs="Times New Roman"/>
              </w:rPr>
              <w:t>lstm</w:t>
            </w:r>
          </w:p>
        </w:tc>
        <w:tc>
          <w:p w14:paraId="5A484D66">
            <w:pPr>
              <w:pStyle w:val="24"/>
              <w:jc w:val="right"/>
              <w:rPr>
                <w:rFonts w:hint="default" w:ascii="Times New Roman" w:hAnsi="Times New Roman" w:cs="Times New Roman"/>
              </w:rPr>
            </w:pPr>
            <w:r>
              <w:rPr>
                <w:rFonts w:hint="default" w:ascii="Times New Roman" w:hAnsi="Times New Roman" w:cs="Times New Roman"/>
              </w:rPr>
              <w:t>5.62%</w:t>
            </w:r>
          </w:p>
        </w:tc>
        <w:tc>
          <w:p w14:paraId="6682C538">
            <w:pPr>
              <w:pStyle w:val="24"/>
              <w:jc w:val="right"/>
              <w:rPr>
                <w:rFonts w:hint="default" w:ascii="Times New Roman" w:hAnsi="Times New Roman" w:cs="Times New Roman"/>
              </w:rPr>
            </w:pPr>
            <w:r>
              <w:rPr>
                <w:rFonts w:hint="default" w:ascii="Times New Roman" w:hAnsi="Times New Roman" w:cs="Times New Roman"/>
              </w:rPr>
              <w:t>17.36%</w:t>
            </w:r>
          </w:p>
        </w:tc>
        <w:tc>
          <w:p w14:paraId="1DB1CE09">
            <w:pPr>
              <w:pStyle w:val="24"/>
              <w:jc w:val="right"/>
              <w:rPr>
                <w:rFonts w:hint="default" w:ascii="Times New Roman" w:hAnsi="Times New Roman" w:cs="Times New Roman"/>
              </w:rPr>
            </w:pPr>
            <w:r>
              <w:rPr>
                <w:rFonts w:hint="default" w:ascii="Times New Roman" w:hAnsi="Times New Roman" w:cs="Times New Roman"/>
              </w:rPr>
              <w:t>0.594</w:t>
            </w:r>
          </w:p>
        </w:tc>
        <w:tc>
          <w:p w14:paraId="0BCCA891">
            <w:pPr>
              <w:pStyle w:val="24"/>
              <w:jc w:val="right"/>
              <w:rPr>
                <w:rFonts w:hint="default" w:ascii="Times New Roman" w:hAnsi="Times New Roman" w:cs="Times New Roman"/>
              </w:rPr>
            </w:pPr>
            <w:r>
              <w:rPr>
                <w:rFonts w:hint="default" w:ascii="Times New Roman" w:hAnsi="Times New Roman" w:cs="Times New Roman"/>
              </w:rPr>
              <w:t>âˆ’0.185</w:t>
            </w:r>
          </w:p>
        </w:tc>
        <w:tc>
          <w:p w14:paraId="4F1CD9F4">
            <w:pPr>
              <w:pStyle w:val="24"/>
              <w:jc w:val="right"/>
              <w:rPr>
                <w:rFonts w:hint="default" w:ascii="Times New Roman" w:hAnsi="Times New Roman" w:cs="Times New Roman"/>
              </w:rPr>
            </w:pPr>
            <w:r>
              <w:rPr>
                <w:rFonts w:hint="default" w:ascii="Times New Roman" w:hAnsi="Times New Roman" w:cs="Times New Roman"/>
              </w:rPr>
              <w:t>âˆ’0.778</w:t>
            </w:r>
          </w:p>
        </w:tc>
      </w:tr>
      <w:tr w14:paraId="68E2206C">
        <w:tblPrEx>
          <w:tblCellMar>
            <w:top w:w="0" w:type="dxa"/>
            <w:left w:w="108" w:type="dxa"/>
            <w:bottom w:w="0" w:type="dxa"/>
            <w:right w:w="108" w:type="dxa"/>
          </w:tblCellMar>
        </w:tblPrEx>
        <w:tc>
          <w:p w14:paraId="2BC42563">
            <w:pPr>
              <w:pStyle w:val="24"/>
              <w:rPr>
                <w:rFonts w:hint="default" w:ascii="Times New Roman" w:hAnsi="Times New Roman" w:cs="Times New Roman"/>
              </w:rPr>
            </w:pPr>
            <w:r>
              <w:rPr>
                <w:rStyle w:val="48"/>
                <w:rFonts w:hint="default" w:ascii="Times New Roman" w:hAnsi="Times New Roman" w:cs="Times New Roman"/>
              </w:rPr>
              <w:t>hist_gradient_boosting</w:t>
            </w:r>
          </w:p>
        </w:tc>
        <w:tc>
          <w:p w14:paraId="0356ED40">
            <w:pPr>
              <w:pStyle w:val="24"/>
              <w:jc w:val="right"/>
              <w:rPr>
                <w:rFonts w:hint="default" w:ascii="Times New Roman" w:hAnsi="Times New Roman" w:cs="Times New Roman"/>
              </w:rPr>
            </w:pPr>
            <w:r>
              <w:rPr>
                <w:rFonts w:hint="default" w:ascii="Times New Roman" w:hAnsi="Times New Roman" w:cs="Times New Roman"/>
              </w:rPr>
              <w:t>4.12%</w:t>
            </w:r>
          </w:p>
        </w:tc>
        <w:tc>
          <w:p w14:paraId="360B3E49">
            <w:pPr>
              <w:pStyle w:val="24"/>
              <w:jc w:val="right"/>
              <w:rPr>
                <w:rFonts w:hint="default" w:ascii="Times New Roman" w:hAnsi="Times New Roman" w:cs="Times New Roman"/>
              </w:rPr>
            </w:pPr>
            <w:r>
              <w:rPr>
                <w:rFonts w:hint="default" w:ascii="Times New Roman" w:hAnsi="Times New Roman" w:cs="Times New Roman"/>
              </w:rPr>
              <w:t>10.27%</w:t>
            </w:r>
          </w:p>
        </w:tc>
        <w:tc>
          <w:p w14:paraId="2CCFCD2F">
            <w:pPr>
              <w:pStyle w:val="24"/>
              <w:jc w:val="right"/>
              <w:rPr>
                <w:rFonts w:hint="default" w:ascii="Times New Roman" w:hAnsi="Times New Roman" w:cs="Times New Roman"/>
              </w:rPr>
            </w:pPr>
            <w:r>
              <w:rPr>
                <w:rFonts w:hint="default" w:ascii="Times New Roman" w:hAnsi="Times New Roman" w:cs="Times New Roman"/>
              </w:rPr>
              <w:t>0.770</w:t>
            </w:r>
          </w:p>
        </w:tc>
        <w:tc>
          <w:p w14:paraId="62A291C7">
            <w:pPr>
              <w:pStyle w:val="24"/>
              <w:jc w:val="right"/>
              <w:rPr>
                <w:rFonts w:hint="default" w:ascii="Times New Roman" w:hAnsi="Times New Roman" w:cs="Times New Roman"/>
              </w:rPr>
            </w:pPr>
            <w:r>
              <w:rPr>
                <w:rFonts w:hint="default" w:ascii="Times New Roman" w:hAnsi="Times New Roman" w:cs="Times New Roman"/>
              </w:rPr>
              <w:t>âˆ’0.265</w:t>
            </w:r>
          </w:p>
        </w:tc>
        <w:tc>
          <w:p w14:paraId="1B4F3640">
            <w:pPr>
              <w:pStyle w:val="24"/>
              <w:jc w:val="right"/>
              <w:rPr>
                <w:rFonts w:hint="default" w:ascii="Times New Roman" w:hAnsi="Times New Roman" w:cs="Times New Roman"/>
              </w:rPr>
            </w:pPr>
            <w:r>
              <w:rPr>
                <w:rFonts w:hint="default" w:ascii="Times New Roman" w:hAnsi="Times New Roman" w:cs="Times New Roman"/>
              </w:rPr>
              <w:t>âˆ’1.035</w:t>
            </w:r>
          </w:p>
        </w:tc>
      </w:tr>
      <w:tr w14:paraId="33C2DF21">
        <w:tblPrEx>
          <w:tblCellMar>
            <w:top w:w="0" w:type="dxa"/>
            <w:left w:w="108" w:type="dxa"/>
            <w:bottom w:w="0" w:type="dxa"/>
            <w:right w:w="108" w:type="dxa"/>
          </w:tblCellMar>
        </w:tblPrEx>
        <w:tc>
          <w:p w14:paraId="30023063">
            <w:pPr>
              <w:pStyle w:val="24"/>
              <w:rPr>
                <w:rFonts w:hint="default" w:ascii="Times New Roman" w:hAnsi="Times New Roman" w:cs="Times New Roman"/>
              </w:rPr>
            </w:pPr>
            <w:r>
              <w:rPr>
                <w:rStyle w:val="48"/>
                <w:rFonts w:hint="default" w:ascii="Times New Roman" w:hAnsi="Times New Roman" w:cs="Times New Roman"/>
              </w:rPr>
              <w:t>mlp</w:t>
            </w:r>
          </w:p>
        </w:tc>
        <w:tc>
          <w:p w14:paraId="1BAED543">
            <w:pPr>
              <w:pStyle w:val="24"/>
              <w:jc w:val="right"/>
              <w:rPr>
                <w:rFonts w:hint="default" w:ascii="Times New Roman" w:hAnsi="Times New Roman" w:cs="Times New Roman"/>
              </w:rPr>
            </w:pPr>
            <w:r>
              <w:rPr>
                <w:rFonts w:hint="default" w:ascii="Times New Roman" w:hAnsi="Times New Roman" w:cs="Times New Roman"/>
              </w:rPr>
              <w:t>4.15%</w:t>
            </w:r>
          </w:p>
        </w:tc>
        <w:tc>
          <w:p w14:paraId="68702CDC">
            <w:pPr>
              <w:pStyle w:val="24"/>
              <w:jc w:val="right"/>
              <w:rPr>
                <w:rFonts w:hint="default" w:ascii="Times New Roman" w:hAnsi="Times New Roman" w:cs="Times New Roman"/>
              </w:rPr>
            </w:pPr>
            <w:r>
              <w:rPr>
                <w:rFonts w:hint="default" w:ascii="Times New Roman" w:hAnsi="Times New Roman" w:cs="Times New Roman"/>
              </w:rPr>
              <w:t>14.19%</w:t>
            </w:r>
          </w:p>
        </w:tc>
        <w:tc>
          <w:p w14:paraId="2EEF4E6C">
            <w:pPr>
              <w:pStyle w:val="24"/>
              <w:jc w:val="right"/>
              <w:rPr>
                <w:rFonts w:hint="default" w:ascii="Times New Roman" w:hAnsi="Times New Roman" w:cs="Times New Roman"/>
              </w:rPr>
            </w:pPr>
            <w:r>
              <w:rPr>
                <w:rFonts w:hint="default" w:ascii="Times New Roman" w:hAnsi="Times New Roman" w:cs="Times New Roman"/>
              </w:rPr>
              <w:t>0.731</w:t>
            </w:r>
          </w:p>
        </w:tc>
        <w:tc>
          <w:p w14:paraId="656A91E5">
            <w:pPr>
              <w:pStyle w:val="24"/>
              <w:jc w:val="right"/>
              <w:rPr>
                <w:rFonts w:hint="default" w:ascii="Times New Roman" w:hAnsi="Times New Roman" w:cs="Times New Roman"/>
              </w:rPr>
            </w:pPr>
            <w:r>
              <w:rPr>
                <w:rFonts w:hint="default" w:ascii="Times New Roman" w:hAnsi="Times New Roman" w:cs="Times New Roman"/>
              </w:rPr>
              <w:t>âˆ’0.623</w:t>
            </w:r>
          </w:p>
        </w:tc>
        <w:tc>
          <w:p w14:paraId="1C120489">
            <w:pPr>
              <w:pStyle w:val="24"/>
              <w:jc w:val="right"/>
              <w:rPr>
                <w:rFonts w:hint="default" w:ascii="Times New Roman" w:hAnsi="Times New Roman" w:cs="Times New Roman"/>
              </w:rPr>
            </w:pPr>
            <w:r>
              <w:rPr>
                <w:rFonts w:hint="default" w:ascii="Times New Roman" w:hAnsi="Times New Roman" w:cs="Times New Roman"/>
              </w:rPr>
              <w:t>âˆ’1.354</w:t>
            </w:r>
          </w:p>
        </w:tc>
      </w:tr>
    </w:tbl>
    <w:p w14:paraId="33070482">
      <w:pPr>
        <w:pStyle w:val="3"/>
        <w:rPr>
          <w:rFonts w:hint="default" w:ascii="Times New Roman" w:hAnsi="Times New Roman" w:cs="Times New Roman"/>
        </w:rPr>
      </w:pPr>
      <w:r>
        <w:rPr>
          <w:rStyle w:val="48"/>
          <w:rFonts w:hint="default" w:ascii="Times New Roman" w:hAnsi="Times New Roman" w:cs="Times New Roman"/>
        </w:rPr>
        <w:t>train_mean</w:t>
      </w:r>
      <w:r>
        <w:rPr>
          <w:rFonts w:hint="default" w:ascii="Times New Roman" w:hAnsi="Times New Roman" w:cs="Times New Roman"/>
        </w:rPr>
        <w:t xml:space="preserve"> scoring exactly 0.0000 on both splits is a live self-test of the metric: </w:t>
      </w:r>
      <w:r>
        <w:rPr>
          <w:rStyle w:val="48"/>
          <w:rFonts w:hint="default" w:ascii="Times New Roman" w:hAnsi="Times New Roman" w:cs="Times New Roman"/>
        </w:rPr>
        <w:t>r2_vs_global_mean</w:t>
      </w:r>
      <w:r>
        <w:rPr>
          <w:rFonts w:hint="default" w:ascii="Times New Roman" w:hAnsi="Times New Roman" w:cs="Times New Roman"/>
        </w:rPr>
        <w:t xml:space="preserve"> is defined against the training-fold mean, so a method predicting exactly that must score exactly zero.</w:t>
      </w:r>
    </w:p>
    <w:p w14:paraId="3E178B82">
      <w:pPr>
        <w:pStyle w:val="3"/>
        <w:rPr>
          <w:rFonts w:hint="default" w:ascii="Times New Roman" w:hAnsi="Times New Roman" w:cs="Times New Roman"/>
        </w:rPr>
      </w:pPr>
      <w:r>
        <w:rPr>
          <w:rFonts w:hint="default" w:ascii="Times New Roman" w:hAnsi="Times New Roman" w:cs="Times New Roman"/>
          <w:b/>
          <w:bCs/>
        </w:rPr>
        <w:t>Leave-one-cell-out rank carries essentially no information about leave-one-cohort-out rank.</w:t>
      </w:r>
      <w:r>
        <w:rPr>
          <w:rFonts w:hint="default" w:ascii="Times New Roman" w:hAnsi="Times New Roman" w:cs="Times New Roman"/>
        </w:rPr>
        <w:t xml:space="preserve"> Spearman Ï = </w:t>
      </w:r>
      <w:r>
        <w:rPr>
          <w:rFonts w:hint="default" w:ascii="Times New Roman" w:hAnsi="Times New Roman" w:cs="Times New Roman"/>
          <w:b/>
          <w:bCs/>
        </w:rPr>
        <w:t>+0.084 (p = 0.795, n = 12)</w:t>
      </w:r>
      <w:r>
        <w:rPr>
          <w:rFonts w:hint="default" w:ascii="Times New Roman" w:hAnsi="Times New Roman" w:cs="Times New Roman"/>
        </w:rPr>
        <w:t xml:space="preserve">. A leaderboard sorted the way this field sorts them says close to nothing about which model to deploy across protocols. Choosing by LOBO here selects </w:t>
      </w:r>
      <w:r>
        <w:rPr>
          <w:rStyle w:val="48"/>
          <w:rFonts w:hint="default" w:ascii="Times New Roman" w:hAnsi="Times New Roman" w:cs="Times New Roman"/>
        </w:rPr>
        <w:t>random_forest</w:t>
      </w:r>
      <w:r>
        <w:rPr>
          <w:rFonts w:hint="default" w:ascii="Times New Roman" w:hAnsi="Times New Roman" w:cs="Times New Roman"/>
        </w:rPr>
        <w:t xml:space="preserve"> (LOBO 0.773) and costs </w:t>
      </w:r>
      <w:r>
        <w:rPr>
          <w:rFonts w:hint="default" w:ascii="Times New Roman" w:hAnsi="Times New Roman" w:cs="Times New Roman"/>
          <w:b/>
          <w:bCs/>
        </w:rPr>
        <w:t>0.309 RÂ²</w:t>
      </w:r>
      <w:r>
        <w:rPr>
          <w:rFonts w:hint="default" w:ascii="Times New Roman" w:hAnsi="Times New Roman" w:cs="Times New Roman"/>
        </w:rPr>
        <w:t xml:space="preserve"> against </w:t>
      </w:r>
      <w:r>
        <w:rPr>
          <w:rStyle w:val="48"/>
          <w:rFonts w:hint="default" w:ascii="Times New Roman" w:hAnsi="Times New Roman" w:cs="Times New Roman"/>
        </w:rPr>
        <w:t>xgboost</w:t>
      </w:r>
      <w:r>
        <w:rPr>
          <w:rFonts w:hint="default" w:ascii="Times New Roman" w:hAnsi="Times New Roman" w:cs="Times New Roman"/>
        </w:rPr>
        <w:t>, the best transferring method.</w:t>
      </w:r>
    </w:p>
    <w:p w14:paraId="0947281B">
      <w:pPr>
        <w:pStyle w:val="14"/>
        <w:rPr>
          <w:rFonts w:hint="default" w:ascii="Times New Roman" w:hAnsi="Times New Roman" w:cs="Times New Roman"/>
        </w:rPr>
      </w:pPr>
      <w:r>
        <w:rPr>
          <w:rFonts w:hint="default" w:ascii="Times New Roman" w:hAnsi="Times New Roman" w:cs="Times New Roman"/>
          <w:b/>
          <w:bCs/>
        </w:rPr>
        <w:t>A stronger claim was made here and withdrawn.</w:t>
      </w:r>
      <w:r>
        <w:rPr>
          <w:rFonts w:hint="default" w:ascii="Times New Roman" w:hAnsi="Times New Roman" w:cs="Times New Roman"/>
        </w:rPr>
        <w:t xml:space="preserve"> Computed on 32 cells â€” before the SOH screen’s fourth criterion excluded B0041 â€” this section reported that LOBO selection picks the </w:t>
      </w:r>
      <w:r>
        <w:rPr>
          <w:rFonts w:hint="default" w:ascii="Times New Roman" w:hAnsi="Times New Roman" w:cs="Times New Roman"/>
          <w:i/>
          <w:iCs/>
        </w:rPr>
        <w:t>worst</w:t>
      </w:r>
      <w:r>
        <w:rPr>
          <w:rFonts w:hint="default" w:ascii="Times New Roman" w:hAnsi="Times New Roman" w:cs="Times New Roman"/>
        </w:rPr>
        <w:t xml:space="preserve"> method (</w:t>
      </w:r>
      <w:r>
        <w:rPr>
          <w:rStyle w:val="48"/>
          <w:rFonts w:hint="default" w:ascii="Times New Roman" w:hAnsi="Times New Roman" w:cs="Times New Roman"/>
        </w:rPr>
        <w:t>random_forest</w:t>
      </w:r>
      <w:r>
        <w:rPr>
          <w:rFonts w:hint="default" w:ascii="Times New Roman" w:hAnsi="Times New Roman" w:cs="Times New Roman"/>
        </w:rPr>
        <w:t xml:space="preserve"> at LOCO âˆ’0.515, last of twelve) and that Ï = âˆ’0.490. Both rested on one pathological cell: with it removed </w:t>
      </w:r>
      <w:r>
        <w:rPr>
          <w:rStyle w:val="48"/>
          <w:rFonts w:hint="default" w:ascii="Times New Roman" w:hAnsi="Times New Roman" w:cs="Times New Roman"/>
        </w:rPr>
        <w:t>random_forest</w:t>
      </w:r>
      <w:r>
        <w:rPr>
          <w:rFonts w:hint="default" w:ascii="Times New Roman" w:hAnsi="Times New Roman" w:cs="Times New Roman"/>
        </w:rPr>
        <w:t xml:space="preserve"> reaches LOCO +0.150, fifth of twelve, and the correlation flips sign. ADR 0008 records the correction. The episode is itself evidence for the paper’s argument â€” a single unscreened cell was carrying a headline conclusion.</w:t>
      </w:r>
    </w:p>
    <w:p w14:paraId="533661AE">
      <w:pPr>
        <w:pStyle w:val="23"/>
        <w:rPr>
          <w:rFonts w:hint="default" w:ascii="Times New Roman" w:hAnsi="Times New Roman" w:cs="Times New Roman"/>
        </w:rPr>
      </w:pPr>
      <w:r>
        <w:rPr>
          <w:rFonts w:hint="default" w:ascii="Times New Roman" w:hAnsi="Times New Roman" w:cs="Times New Roman"/>
          <w:b/>
          <w:bCs/>
        </w:rPr>
        <w:t>Every method still loses skill</w:t>
      </w:r>
      <w:r>
        <w:rPr>
          <w:rFonts w:hint="default" w:ascii="Times New Roman" w:hAnsi="Times New Roman" w:cs="Times New Roman"/>
        </w:rPr>
        <w:t xml:space="preserve">, from âˆ’0.076 to âˆ’1.354, and three go negative. </w:t>
      </w:r>
      <w:r>
        <w:rPr>
          <w:rStyle w:val="48"/>
          <w:rFonts w:hint="default" w:ascii="Times New Roman" w:hAnsi="Times New Roman" w:cs="Times New Roman"/>
          <w:b/>
          <w:bCs/>
        </w:rPr>
        <w:t>age_linear</w:t>
      </w:r>
      <w:r>
        <w:rPr>
          <w:rFonts w:hint="default" w:ascii="Times New Roman" w:hAnsi="Times New Roman" w:cs="Times New Roman"/>
          <w:b/>
          <w:bCs/>
        </w:rPr>
        <w:t xml:space="preserve"> is the most robust by a wide margin</w:t>
      </w:r>
      <w:r>
        <w:rPr>
          <w:rFonts w:hint="default" w:ascii="Times New Roman" w:hAnsi="Times New Roman" w:cs="Times New Roman"/>
        </w:rPr>
        <w:t xml:space="preserve"> (Î” = âˆ’0.076 against the next-best âˆ’0.254) and reaches LOCO RÂ² 0.406 against XGBoost’s 0.459 â€” so all the behavioural modelling buys about </w:t>
      </w:r>
      <w:r>
        <w:rPr>
          <w:rFonts w:hint="default" w:ascii="Times New Roman" w:hAnsi="Times New Roman" w:cs="Times New Roman"/>
          <w:b/>
          <w:bCs/>
        </w:rPr>
        <w:t>0.05 RÂ² over counting cycles</w:t>
      </w:r>
      <w:r>
        <w:rPr>
          <w:rFonts w:hint="default" w:ascii="Times New Roman" w:hAnsi="Times New Roman" w:cs="Times New Roman"/>
        </w:rPr>
        <w:t>, consistent with Section 4.7’s threshold audit.</w:t>
      </w:r>
    </w:p>
    <w:p w14:paraId="581E2D0A">
      <w:pPr>
        <w:pStyle w:val="3"/>
        <w:rPr>
          <w:rFonts w:hint="default" w:ascii="Times New Roman" w:hAnsi="Times New Roman" w:cs="Times New Roman"/>
        </w:rPr>
      </w:pPr>
      <w:r>
        <w:rPr>
          <w:rFonts w:hint="default" w:ascii="Times New Roman" w:hAnsi="Times New Roman" w:cs="Times New Roman"/>
          <w:b/>
          <w:bCs/>
        </w:rPr>
        <w:t>The LSTM is the clearest negative result.</w:t>
      </w:r>
      <w:r>
        <w:rPr>
          <w:rFonts w:hint="default" w:ascii="Times New Roman" w:hAnsi="Times New Roman" w:cs="Times New Roman"/>
        </w:rPr>
        <w:t xml:space="preserve"> A genuine sequence model with strictly more temporal context than the hand-engineered </w:t>
      </w:r>
      <w:r>
        <w:rPr>
          <w:rStyle w:val="48"/>
          <w:rFonts w:hint="default" w:ascii="Times New Roman" w:hAnsi="Times New Roman" w:cs="Times New Roman"/>
        </w:rPr>
        <w:t>trailing_*</w:t>
      </w:r>
      <w:r>
        <w:rPr>
          <w:rFonts w:hint="default" w:ascii="Times New Roman" w:hAnsi="Times New Roman" w:cs="Times New Roman"/>
        </w:rPr>
        <w:t xml:space="preserve"> features posts LOBO RÂ² 0.594 and LOCO âˆ’0.185. On CALCE (Section 4.13) it is far worse: LOCO âˆ’4.669, an MAE of 62%. It learns cell-specific trajectory shape, and that shape does not survive a protocol change.</w:t>
      </w:r>
    </w:p>
    <w:p w14:paraId="5F546A96">
      <w:pPr>
        <w:pStyle w:val="3"/>
        <w:rPr>
          <w:rFonts w:hint="default" w:ascii="Times New Roman" w:hAnsi="Times New Roman" w:cs="Times New Roman"/>
        </w:rPr>
      </w:pPr>
      <w:r>
        <w:rPr>
          <w:rFonts w:hint="default" w:ascii="Times New Roman" w:hAnsi="Times New Roman" w:cs="Times New Roman"/>
          <w:b/>
          <w:bCs/>
        </w:rPr>
        <w:t>A control confirms the harness is not manufacturing the divergence.</w:t>
      </w:r>
      <w:r>
        <w:rPr>
          <w:rFonts w:hint="default" w:ascii="Times New Roman" w:hAnsi="Times New Roman" w:cs="Times New Roman"/>
        </w:rPr>
        <w:t xml:space="preserve"> On </w:t>
      </w:r>
      <w:r>
        <w:rPr>
          <w:rStyle w:val="48"/>
          <w:rFonts w:hint="default" w:ascii="Times New Roman" w:hAnsi="Times New Roman" w:cs="Times New Roman"/>
        </w:rPr>
        <w:t>capacity_loss</w:t>
      </w:r>
      <w:r>
        <w:rPr>
          <w:rFonts w:hint="default" w:ascii="Times New Roman" w:hAnsi="Times New Roman" w:cs="Times New Roman"/>
        </w:rPr>
        <w:t xml:space="preserve">, Spearman(LOBO, LOCO) is </w:t>
      </w:r>
      <w:r>
        <w:rPr>
          <w:rFonts w:hint="default" w:ascii="Times New Roman" w:hAnsi="Times New Roman" w:cs="Times New Roman"/>
          <w:b/>
          <w:bCs/>
        </w:rPr>
        <w:t>+0.818 (p = 0.001)</w:t>
      </w:r>
      <w:r>
        <w:rPr>
          <w:rFonts w:hint="default" w:ascii="Times New Roman" w:hAnsi="Times New Roman" w:cs="Times New Roman"/>
        </w:rPr>
        <w:t xml:space="preserve"> and every method sits within Â±0.01 of zero on both splits. When a target has no signal there is nothing to overfit to, so the splits agree â€” on nothing.</w:t>
      </w:r>
    </w:p>
    <w:p w14:paraId="37F3DF8E">
      <w:pPr>
        <w:pStyle w:val="3"/>
        <w:rPr>
          <w:rFonts w:hint="default" w:ascii="Times New Roman" w:hAnsi="Times New Roman" w:cs="Times New Roman"/>
        </w:rPr>
      </w:pPr>
      <w:r>
        <w:rPr>
          <w:rStyle w:val="48"/>
          <w:rFonts w:hint="default" w:ascii="Times New Roman" w:hAnsi="Times New Roman" w:cs="Times New Roman"/>
          <w:b/>
          <w:bCs/>
        </w:rPr>
        <w:t>age_linear</w:t>
      </w:r>
      <w:r>
        <w:rPr>
          <w:rFonts w:hint="default" w:ascii="Times New Roman" w:hAnsi="Times New Roman" w:cs="Times New Roman"/>
          <w:b/>
          <w:bCs/>
        </w:rPr>
        <w:t xml:space="preserve"> remains the bar, and it is higher than it looks.</w:t>
      </w:r>
      <w:r>
        <w:rPr>
          <w:rFonts w:hint="default" w:ascii="Times New Roman" w:hAnsi="Times New Roman" w:cs="Times New Roman"/>
        </w:rPr>
        <w:t xml:space="preserve"> At LOCO RÂ² = 0.274 against ElasticNet’s 0.295, cycle count alone recovers 93% of the best behavioural model’s cross-protocol skill. Whatever behaviour contributes beyond age on this dataset is small â€” which is the same conclusion Section 4.7 reached from a different direction.</w:t>
      </w:r>
    </w:p>
    <w:p w14:paraId="1F95A508">
      <w:pPr>
        <w:pStyle w:val="3"/>
        <w:rPr>
          <w:rFonts w:hint="default" w:ascii="Times New Roman" w:hAnsi="Times New Roman" w:cs="Times New Roman"/>
        </w:rPr>
      </w:pPr>
      <w:r>
        <w:rPr>
          <w:rFonts w:hint="default" w:ascii="Times New Roman" w:hAnsi="Times New Roman" w:cs="Times New Roman"/>
          <w:b/>
          <w:bCs/>
        </w:rPr>
        <w:t>Conformal prediction states the same finding in the language of a safety case.</w:t>
      </w:r>
      <w:r>
        <w:rPr>
          <w:rFonts w:hint="default" w:ascii="Times New Roman" w:hAnsi="Times New Roman" w:cs="Times New Roman"/>
        </w:rPr>
        <w:t xml:space="preserve"> Split conformal intervals guarantee â‰¥ 1 âˆ’ Î± coverage when calibration and test data are exchangeable; deploying on an unseen protocol violates that assumption directly. Measured with ElasticNet at a nominal 0.90:</w:t>
      </w:r>
    </w:p>
    <w:tbl>
      <w:tblPr>
        <w:tblStyle w:val="41"/>
        <w:tblW w:w="0" w:type="auto"/>
        <w:tblInd w:w="0" w:type="dxa"/>
        <w:tblLayout w:type="autofit"/>
        <w:tblCellMar>
          <w:top w:w="0" w:type="dxa"/>
          <w:left w:w="108" w:type="dxa"/>
          <w:bottom w:w="0" w:type="dxa"/>
          <w:right w:w="108" w:type="dxa"/>
        </w:tblCellMar>
      </w:tblPr>
      <w:tblGrid>
        <w:gridCol w:w="870"/>
        <w:gridCol w:w="950"/>
        <w:gridCol w:w="3163"/>
        <w:gridCol w:w="1690"/>
      </w:tblGrid>
      <w:tr w14:paraId="41F5C6E9">
        <w:tblPrEx>
          <w:tblCellMar>
            <w:top w:w="0" w:type="dxa"/>
            <w:left w:w="108" w:type="dxa"/>
            <w:bottom w:w="0" w:type="dxa"/>
            <w:right w:w="108" w:type="dxa"/>
          </w:tblCellMar>
        </w:tblPrEx>
        <w:trPr>
          <w:tblHeader/>
        </w:trPr>
        <w:tc>
          <w:p w14:paraId="55CE9A90">
            <w:pPr>
              <w:pStyle w:val="24"/>
              <w:rPr>
                <w:rFonts w:hint="default" w:ascii="Times New Roman" w:hAnsi="Times New Roman" w:cs="Times New Roman"/>
              </w:rPr>
            </w:pPr>
          </w:p>
        </w:tc>
        <w:tc>
          <w:p w14:paraId="3526B820">
            <w:pPr>
              <w:pStyle w:val="24"/>
              <w:rPr>
                <w:rFonts w:hint="default" w:ascii="Times New Roman" w:hAnsi="Times New Roman" w:cs="Times New Roman"/>
              </w:rPr>
            </w:pPr>
            <w:r>
              <w:rPr>
                <w:rFonts w:hint="default" w:ascii="Times New Roman" w:hAnsi="Times New Roman" w:cs="Times New Roman"/>
              </w:rPr>
              <w:t>Median</w:t>
            </w:r>
          </w:p>
        </w:tc>
        <w:tc>
          <w:p w14:paraId="26148AB7">
            <w:pPr>
              <w:pStyle w:val="24"/>
              <w:rPr>
                <w:rFonts w:hint="default" w:ascii="Times New Roman" w:hAnsi="Times New Roman" w:cs="Times New Roman"/>
              </w:rPr>
            </w:pPr>
            <w:r>
              <w:rPr>
                <w:rFonts w:hint="default" w:ascii="Times New Roman" w:hAnsi="Times New Roman" w:cs="Times New Roman"/>
              </w:rPr>
              <w:t>Worst</w:t>
            </w:r>
          </w:p>
        </w:tc>
        <w:tc>
          <w:p w14:paraId="6FACD9A3">
            <w:pPr>
              <w:pStyle w:val="24"/>
              <w:rPr>
                <w:rFonts w:hint="default" w:ascii="Times New Roman" w:hAnsi="Times New Roman" w:cs="Times New Roman"/>
              </w:rPr>
            </w:pPr>
            <w:r>
              <w:rPr>
                <w:rFonts w:hint="default" w:ascii="Times New Roman" w:hAnsi="Times New Roman" w:cs="Times New Roman"/>
              </w:rPr>
              <w:t>Below nominal</w:t>
            </w:r>
          </w:p>
        </w:tc>
      </w:tr>
      <w:tr w14:paraId="03DC8006">
        <w:tblPrEx>
          <w:tblCellMar>
            <w:top w:w="0" w:type="dxa"/>
            <w:left w:w="108" w:type="dxa"/>
            <w:bottom w:w="0" w:type="dxa"/>
            <w:right w:w="108" w:type="dxa"/>
          </w:tblCellMar>
        </w:tblPrEx>
        <w:tc>
          <w:p w14:paraId="1D6CAE4E">
            <w:pPr>
              <w:pStyle w:val="24"/>
              <w:rPr>
                <w:rFonts w:hint="default" w:ascii="Times New Roman" w:hAnsi="Times New Roman" w:cs="Times New Roman"/>
              </w:rPr>
            </w:pPr>
            <w:r>
              <w:rPr>
                <w:rFonts w:hint="default" w:ascii="Times New Roman" w:hAnsi="Times New Roman" w:cs="Times New Roman"/>
              </w:rPr>
              <w:t>LOBO</w:t>
            </w:r>
          </w:p>
        </w:tc>
        <w:tc>
          <w:p w14:paraId="52658AE0">
            <w:pPr>
              <w:pStyle w:val="24"/>
              <w:rPr>
                <w:rFonts w:hint="default" w:ascii="Times New Roman" w:hAnsi="Times New Roman" w:cs="Times New Roman"/>
              </w:rPr>
            </w:pPr>
            <w:r>
              <w:rPr>
                <w:rFonts w:hint="default" w:ascii="Times New Roman" w:hAnsi="Times New Roman" w:cs="Times New Roman"/>
              </w:rPr>
              <w:t>0.970</w:t>
            </w:r>
          </w:p>
        </w:tc>
        <w:tc>
          <w:p w14:paraId="1BB1B7DB">
            <w:pPr>
              <w:pStyle w:val="24"/>
              <w:rPr>
                <w:rFonts w:hint="default" w:ascii="Times New Roman" w:hAnsi="Times New Roman" w:cs="Times New Roman"/>
              </w:rPr>
            </w:pPr>
            <w:r>
              <w:rPr>
                <w:rFonts w:hint="default" w:ascii="Times New Roman" w:hAnsi="Times New Roman" w:cs="Times New Roman"/>
              </w:rPr>
              <w:t>0.000 (B0045)</w:t>
            </w:r>
          </w:p>
        </w:tc>
        <w:tc>
          <w:p w14:paraId="379E55A4">
            <w:pPr>
              <w:pStyle w:val="24"/>
              <w:rPr>
                <w:rFonts w:hint="default" w:ascii="Times New Roman" w:hAnsi="Times New Roman" w:cs="Times New Roman"/>
              </w:rPr>
            </w:pPr>
            <w:r>
              <w:rPr>
                <w:rFonts w:hint="default" w:ascii="Times New Roman" w:hAnsi="Times New Roman" w:cs="Times New Roman"/>
              </w:rPr>
              <w:t>19% of cells</w:t>
            </w:r>
          </w:p>
        </w:tc>
      </w:tr>
      <w:tr w14:paraId="6B5617FA">
        <w:tblPrEx>
          <w:tblCellMar>
            <w:top w:w="0" w:type="dxa"/>
            <w:left w:w="108" w:type="dxa"/>
            <w:bottom w:w="0" w:type="dxa"/>
            <w:right w:w="108" w:type="dxa"/>
          </w:tblCellMar>
        </w:tblPrEx>
        <w:tc>
          <w:p w14:paraId="3DC7C7D2">
            <w:pPr>
              <w:pStyle w:val="24"/>
              <w:rPr>
                <w:rFonts w:hint="default" w:ascii="Times New Roman" w:hAnsi="Times New Roman" w:cs="Times New Roman"/>
              </w:rPr>
            </w:pPr>
            <w:r>
              <w:rPr>
                <w:rFonts w:hint="default" w:ascii="Times New Roman" w:hAnsi="Times New Roman" w:cs="Times New Roman"/>
              </w:rPr>
              <w:t>LOCO</w:t>
            </w:r>
          </w:p>
        </w:tc>
        <w:tc>
          <w:p w14:paraId="534D864A">
            <w:pPr>
              <w:pStyle w:val="24"/>
              <w:rPr>
                <w:rFonts w:hint="default" w:ascii="Times New Roman" w:hAnsi="Times New Roman" w:cs="Times New Roman"/>
              </w:rPr>
            </w:pPr>
            <w:r>
              <w:rPr>
                <w:rFonts w:hint="default" w:ascii="Times New Roman" w:hAnsi="Times New Roman" w:cs="Times New Roman"/>
              </w:rPr>
              <w:t>0.824</w:t>
            </w:r>
          </w:p>
        </w:tc>
        <w:tc>
          <w:p w14:paraId="183FE40B">
            <w:pPr>
              <w:pStyle w:val="24"/>
              <w:rPr>
                <w:rFonts w:hint="default" w:ascii="Times New Roman" w:hAnsi="Times New Roman" w:cs="Times New Roman"/>
              </w:rPr>
            </w:pPr>
            <w:r>
              <w:rPr>
                <w:rFonts w:hint="default" w:ascii="Times New Roman" w:hAnsi="Times New Roman" w:cs="Times New Roman"/>
              </w:rPr>
              <w:t>0.262 (COLD4C_2A_flagged)</w:t>
            </w:r>
          </w:p>
        </w:tc>
        <w:tc>
          <w:p w14:paraId="2FD6C421">
            <w:pPr>
              <w:pStyle w:val="24"/>
              <w:rPr>
                <w:rFonts w:hint="default" w:ascii="Times New Roman" w:hAnsi="Times New Roman" w:cs="Times New Roman"/>
              </w:rPr>
            </w:pPr>
            <w:r>
              <w:rPr>
                <w:rFonts w:hint="default" w:ascii="Times New Roman" w:hAnsi="Times New Roman" w:cs="Times New Roman"/>
              </w:rPr>
              <w:t>56% of cohorts</w:t>
            </w:r>
          </w:p>
        </w:tc>
      </w:tr>
    </w:tbl>
    <w:p w14:paraId="73AE974C">
      <w:pPr>
        <w:pStyle w:val="3"/>
        <w:rPr>
          <w:rFonts w:hint="default" w:ascii="Times New Roman" w:hAnsi="Times New Roman" w:cs="Times New Roman"/>
        </w:rPr>
      </w:pPr>
      <w:r>
        <w:rPr>
          <w:rFonts w:hint="default" w:ascii="Times New Roman" w:hAnsi="Times New Roman" w:cs="Times New Roman"/>
        </w:rPr>
        <w:t xml:space="preserve">The medians would pass an audit that stopped there. The worst-group column would not: there is a cell whose 90% interval contained the truth </w:t>
      </w:r>
      <w:r>
        <w:rPr>
          <w:rFonts w:hint="default" w:ascii="Times New Roman" w:hAnsi="Times New Roman" w:cs="Times New Roman"/>
          <w:b/>
          <w:bCs/>
        </w:rPr>
        <w:t>zero times</w:t>
      </w:r>
      <w:r>
        <w:rPr>
          <w:rFonts w:hint="default" w:ascii="Times New Roman" w:hAnsi="Times New Roman" w:cs="Times New Roman"/>
        </w:rPr>
        <w:t>, and under protocol shift a majority of held-out cohorts fall below nominal. A fleet-average coverage statistic is not merely uninformative here, it is anti-informative â€” the overcovered easy cohorts pull the mean up and certify a system that fails precisely on the cells in the hardest conditions.</w:t>
      </w:r>
    </w:p>
    <w:p w14:paraId="40A7BC4B">
      <w:pPr>
        <w:pStyle w:val="3"/>
        <w:rPr>
          <w:rFonts w:hint="default" w:ascii="Times New Roman" w:hAnsi="Times New Roman" w:cs="Times New Roman"/>
        </w:rPr>
      </w:pPr>
      <w:r>
        <w:rPr>
          <w:rStyle w:val="48"/>
          <w:rFonts w:hint="default" w:ascii="Times New Roman" w:hAnsi="Times New Roman" w:cs="Times New Roman"/>
        </w:rPr>
        <w:t>age_linear</w:t>
      </w:r>
      <w:r>
        <w:rPr>
          <w:rFonts w:hint="default" w:ascii="Times New Roman" w:hAnsi="Times New Roman" w:cs="Times New Roman"/>
        </w:rPr>
        <w:t xml:space="preserve"> puts only 11% of cohorts below nominal but needs intervals 27% wider to do it (0.505 versus 0.399). Tighter intervals are not free.</w:t>
      </w:r>
    </w:p>
    <w:p w14:paraId="19244DF6">
      <w:pPr>
        <w:pStyle w:val="3"/>
        <w:rPr>
          <w:rFonts w:hint="default" w:ascii="Times New Roman" w:hAnsi="Times New Roman" w:cs="Times New Roman"/>
        </w:rPr>
      </w:pPr>
      <w:r>
        <w:rPr>
          <w:rFonts w:hint="default" w:ascii="Times New Roman" w:hAnsi="Times New Roman" w:cs="Times New Roman"/>
          <w:b/>
          <w:bCs/>
        </w:rPr>
        <w:t>Four candidates now clear the gate on this target</w:t>
      </w:r>
      <w:r>
        <w:rPr>
          <w:rFonts w:hint="default" w:ascii="Times New Roman" w:hAnsi="Times New Roman" w:cs="Times New Roman"/>
        </w:rPr>
        <w:t xml:space="preserve"> â€” </w:t>
      </w:r>
      <w:r>
        <w:rPr>
          <w:rStyle w:val="48"/>
          <w:rFonts w:hint="default" w:ascii="Times New Roman" w:hAnsi="Times New Roman" w:cs="Times New Roman"/>
        </w:rPr>
        <w:t>elasticnet</w:t>
      </w:r>
      <w:r>
        <w:rPr>
          <w:rFonts w:hint="default" w:ascii="Times New Roman" w:hAnsi="Times New Roman" w:cs="Times New Roman"/>
        </w:rPr>
        <w:t xml:space="preserve">, both Arrhenius variants, and </w:t>
      </w:r>
      <w:r>
        <w:rPr>
          <w:rStyle w:val="48"/>
          <w:rFonts w:hint="default" w:ascii="Times New Roman" w:hAnsi="Times New Roman" w:cs="Times New Roman"/>
        </w:rPr>
        <w:t>age_quadratic</w:t>
      </w:r>
      <w:r>
        <w:rPr>
          <w:rFonts w:hint="default" w:ascii="Times New Roman" w:hAnsi="Times New Roman" w:cs="Times New Roman"/>
        </w:rPr>
        <w:t xml:space="preserve"> â€” so this project’s “nothing is promoted” state holds only against </w:t>
      </w:r>
      <w:r>
        <w:rPr>
          <w:rStyle w:val="48"/>
          <w:rFonts w:hint="default" w:ascii="Times New Roman" w:hAnsi="Times New Roman" w:cs="Times New Roman"/>
        </w:rPr>
        <w:t>capacity_loss</w:t>
      </w:r>
      <w:r>
        <w:rPr>
          <w:rFonts w:hint="default" w:ascii="Times New Roman" w:hAnsi="Times New Roman" w:cs="Times New Roman"/>
        </w:rPr>
        <w:t>. Nothing has been wired into the dashboard regardless: ADR 0005’s rule that the gate is the product still applies, and one dataset is not deployment evidence.</w:t>
      </w:r>
    </w:p>
    <w:p w14:paraId="42BC0553">
      <w:pPr>
        <w:pStyle w:val="3"/>
        <w:rPr>
          <w:rFonts w:hint="default" w:ascii="Times New Roman" w:hAnsi="Times New Roman" w:cs="Times New Roman"/>
        </w:rPr>
      </w:pPr>
      <w:r>
        <w:rPr>
          <w:rFonts w:hint="default" w:ascii="Times New Roman" w:hAnsi="Times New Roman" w:cs="Times New Roman"/>
          <w:b/>
          <w:bCs/>
        </w:rPr>
        <w:t>A model can pass a predictive gate while its coefficients are physically meaningless.</w:t>
      </w:r>
      <w:r>
        <w:rPr>
          <w:rFonts w:hint="default" w:ascii="Times New Roman" w:hAnsi="Times New Roman" w:cs="Times New Roman"/>
        </w:rPr>
        <w:t xml:space="preserve"> </w:t>
      </w:r>
      <w:r>
        <w:rPr>
          <w:rStyle w:val="48"/>
          <w:rFonts w:hint="default" w:ascii="Times New Roman" w:hAnsi="Times New Roman" w:cs="Times New Roman"/>
        </w:rPr>
        <w:t>arrhenius_avg_temp</w:t>
      </w:r>
      <w:r>
        <w:rPr>
          <w:rFonts w:hint="default" w:ascii="Times New Roman" w:hAnsi="Times New Roman" w:cs="Times New Roman"/>
        </w:rPr>
        <w:t xml:space="preserve"> is marked PROMOTED at LOCO RÂ² = 0.069, and it is the same fit that returns Ea = âˆ’31 kJ/mol. These are not in conflict: the gate measures out-of-sample prediction and cannot check whether a fitted parameter means what its name says, since a wrong sign on one term can be compensated elsewhere in the fit. </w:t>
      </w:r>
      <w:r>
        <w:rPr>
          <w:rStyle w:val="48"/>
          <w:rFonts w:hint="default" w:ascii="Times New Roman" w:hAnsi="Times New Roman" w:cs="Times New Roman"/>
        </w:rPr>
        <w:t>assess_identifiability</w:t>
      </w:r>
      <w:r>
        <w:rPr>
          <w:rFonts w:hint="default" w:ascii="Times New Roman" w:hAnsi="Times New Roman" w:cs="Times New Roman"/>
        </w:rPr>
        <w:t xml:space="preserve"> therefore remains a separate check that runs before fitting and refuses independently of the gate’s verdict.</w:t>
      </w:r>
    </w:p>
    <w:bookmarkEnd w:id="23"/>
    <w:p w14:paraId="7C3F38CA">
      <w:pPr>
        <w:pStyle w:val="5"/>
        <w:rPr>
          <w:rFonts w:hint="default" w:ascii="Times New Roman" w:hAnsi="Times New Roman" w:cs="Times New Roman"/>
        </w:rPr>
      </w:pPr>
      <w:bookmarkStart w:id="24" w:name="X607a504159d6d4303009074c8b2e7e14af3e1e9"/>
      <w:r>
        <w:rPr>
          <w:rFonts w:hint="default" w:ascii="Times New Roman" w:hAnsi="Times New Roman" w:cs="Times New Roman"/>
        </w:rPr>
        <w:t>4.13 Replication on CALCE CS2: the collapse holds, the ranking does not (Level 5)</w:t>
      </w:r>
    </w:p>
    <w:p w14:paraId="0B8B2505">
      <w:pPr>
        <w:pStyle w:val="23"/>
        <w:rPr>
          <w:rFonts w:hint="default" w:ascii="Times New Roman" w:hAnsi="Times New Roman" w:cs="Times New Roman"/>
        </w:rPr>
      </w:pPr>
      <w:r>
        <w:rPr>
          <w:rFonts w:hint="default" w:ascii="Times New Roman" w:hAnsi="Times New Roman" w:cs="Times New Roman"/>
        </w:rPr>
        <w:t>Every quantitative result above comes from NASA. Section 5 has listed independent replication as the highest-value next step since the first draft, and a reviewer would reject on that ground alone.</w:t>
      </w:r>
    </w:p>
    <w:p w14:paraId="7D9A2BB9">
      <w:pPr>
        <w:pStyle w:val="3"/>
        <w:rPr>
          <w:rFonts w:hint="default" w:ascii="Times New Roman" w:hAnsi="Times New Roman" w:cs="Times New Roman"/>
        </w:rPr>
      </w:pPr>
      <w:r>
        <w:rPr>
          <w:rFonts w:hint="default" w:ascii="Times New Roman" w:hAnsi="Times New Roman" w:cs="Times New Roman"/>
        </w:rPr>
        <w:t xml:space="preserve">CALCE CS2 is the dataset the commensurability screen identified as worth the download: FEASIBLE on four axes, and â€” decisively â€” its cohorts vary </w:t>
      </w:r>
      <w:r>
        <w:rPr>
          <w:rFonts w:hint="default" w:ascii="Times New Roman" w:hAnsi="Times New Roman" w:cs="Times New Roman"/>
          <w:b/>
          <w:bCs/>
        </w:rPr>
        <w:t>depth of discharge and discharge rate</w:t>
      </w:r>
      <w:r>
        <w:rPr>
          <w:rFonts w:hint="default" w:ascii="Times New Roman" w:hAnsi="Times New Roman" w:cs="Times New Roman"/>
        </w:rPr>
        <w:t>, not temperature. If the collapse reproduces there it is a property of protocol shift rather than of NASA.</w:t>
      </w:r>
    </w:p>
    <w:p w14:paraId="539C34CE">
      <w:pPr>
        <w:pStyle w:val="3"/>
        <w:rPr>
          <w:rFonts w:hint="default" w:ascii="Times New Roman" w:hAnsi="Times New Roman" w:cs="Times New Roman"/>
        </w:rPr>
      </w:pPr>
      <w:r>
        <w:rPr>
          <w:rFonts w:hint="default" w:ascii="Times New Roman" w:hAnsi="Times New Roman" w:cs="Times New Roman"/>
        </w:rPr>
        <w:t xml:space="preserve">15 cells downloaded, 13 loadable (two are CADEX-format and refused), 11 admitted by the SOH screen, 5 cohorts, 31,311 cycle rows, ceiling </w:t>
      </w:r>
      <w:r>
        <w:rPr>
          <w:rFonts w:hint="default" w:ascii="Times New Roman" w:hAnsi="Times New Roman" w:cs="Times New Roman"/>
          <w:b/>
          <w:bCs/>
        </w:rPr>
        <w:t>0.888</w:t>
      </w:r>
      <w:r>
        <w:rPr>
          <w:rFonts w:hint="default" w:ascii="Times New Roman" w:hAnsi="Times New Roman" w:cs="Times New Roman"/>
        </w:rPr>
        <w:t xml:space="preserve">. CALCE records no temperature and no SOC, so the feature set is electrical (voltage, current, internal resistance, cycle duration) â€” </w:t>
      </w:r>
      <w:r>
        <w:rPr>
          <w:rFonts w:hint="default" w:ascii="Times New Roman" w:hAnsi="Times New Roman" w:cs="Times New Roman"/>
          <w:b/>
          <w:bCs/>
        </w:rPr>
        <w:t>these results are not feature-comparable with the NASA table above and must not be placed alongside it without that caveat.</w:t>
      </w:r>
    </w:p>
    <w:p w14:paraId="7C8B912C">
      <w:pPr>
        <w:pStyle w:val="3"/>
        <w:rPr>
          <w:rFonts w:hint="default" w:ascii="Times New Roman" w:hAnsi="Times New Roman" w:cs="Times New Roman"/>
        </w:rPr>
      </w:pPr>
      <w:r>
        <w:rPr>
          <w:rFonts w:hint="default" w:ascii="Times New Roman" w:hAnsi="Times New Roman" w:cs="Times New Roman"/>
        </w:rPr>
        <w:t xml:space="preserve">The figures below are the </w:t>
      </w:r>
      <w:r>
        <w:rPr>
          <w:rFonts w:hint="default" w:ascii="Times New Roman" w:hAnsi="Times New Roman" w:cs="Times New Roman"/>
          <w:b/>
          <w:bCs/>
        </w:rPr>
        <w:t>full CS2 + CX2 run</w:t>
      </w:r>
      <w:r>
        <w:rPr>
          <w:rFonts w:hint="default" w:ascii="Times New Roman" w:hAnsi="Times New Roman" w:cs="Times New Roman"/>
        </w:rPr>
        <w:t xml:space="preserve">: 19 admitted cells across 8 cohorts and two cell families, 43,832 rows, ceiling 0.870. Cohort labels are namespaced </w:t>
      </w:r>
      <w:r>
        <w:rPr>
          <w:rStyle w:val="48"/>
          <w:rFonts w:hint="default" w:ascii="Times New Roman" w:hAnsi="Times New Roman" w:cs="Times New Roman"/>
        </w:rPr>
        <w:t>CS2_Type1 â€¦ CX2_Type6</w:t>
      </w:r>
      <w:r>
        <w:rPr>
          <w:rFonts w:hint="default" w:ascii="Times New Roman" w:hAnsi="Times New Roman" w:cs="Times New Roman"/>
        </w:rPr>
        <w:t xml:space="preserve">, because both families number their experiment types 1â€“6 and a bare </w:t>
      </w:r>
      <w:r>
        <w:rPr>
          <w:rStyle w:val="48"/>
          <w:rFonts w:hint="default" w:ascii="Times New Roman" w:hAnsi="Times New Roman" w:cs="Times New Roman"/>
        </w:rPr>
        <w:t>Type1</w:t>
      </w:r>
      <w:r>
        <w:rPr>
          <w:rFonts w:hint="default" w:ascii="Times New Roman" w:hAnsi="Times New Roman" w:cs="Times New Roman"/>
        </w:rPr>
        <w:t xml:space="preserve"> would merge four CS2 cells with four CX2 cells â€” leaving half a held-out protocol in training.</w:t>
      </w:r>
    </w:p>
    <w:tbl>
      <w:tblPr>
        <w:tblStyle w:val="41"/>
        <w:tblW w:w="0" w:type="auto"/>
        <w:tblInd w:w="0" w:type="dxa"/>
        <w:tblLayout w:type="autofit"/>
        <w:tblCellMar>
          <w:top w:w="0" w:type="dxa"/>
          <w:left w:w="108" w:type="dxa"/>
          <w:bottom w:w="0" w:type="dxa"/>
          <w:right w:w="108" w:type="dxa"/>
        </w:tblCellMar>
      </w:tblPr>
      <w:tblGrid>
        <w:gridCol w:w="2233"/>
        <w:gridCol w:w="1463"/>
        <w:gridCol w:w="1463"/>
        <w:gridCol w:w="1335"/>
        <w:gridCol w:w="1335"/>
        <w:gridCol w:w="1023"/>
      </w:tblGrid>
      <w:tr w14:paraId="60D33BE6">
        <w:tblPrEx>
          <w:tblCellMar>
            <w:top w:w="0" w:type="dxa"/>
            <w:left w:w="108" w:type="dxa"/>
            <w:bottom w:w="0" w:type="dxa"/>
            <w:right w:w="108" w:type="dxa"/>
          </w:tblCellMar>
        </w:tblPrEx>
        <w:trPr>
          <w:tblHeader/>
        </w:trPr>
        <w:tc>
          <w:p w14:paraId="76C15BD6">
            <w:pPr>
              <w:pStyle w:val="24"/>
              <w:rPr>
                <w:rFonts w:hint="default" w:ascii="Times New Roman" w:hAnsi="Times New Roman" w:cs="Times New Roman"/>
              </w:rPr>
            </w:pPr>
            <w:r>
              <w:rPr>
                <w:rFonts w:hint="default" w:ascii="Times New Roman" w:hAnsi="Times New Roman" w:cs="Times New Roman"/>
              </w:rPr>
              <w:t>Method</w:t>
            </w:r>
          </w:p>
        </w:tc>
        <w:tc>
          <w:p w14:paraId="7D211637">
            <w:pPr>
              <w:pStyle w:val="24"/>
              <w:jc w:val="right"/>
              <w:rPr>
                <w:rFonts w:hint="default" w:ascii="Times New Roman" w:hAnsi="Times New Roman" w:cs="Times New Roman"/>
              </w:rPr>
            </w:pPr>
            <w:r>
              <w:rPr>
                <w:rFonts w:hint="default" w:ascii="Times New Roman" w:hAnsi="Times New Roman" w:cs="Times New Roman"/>
              </w:rPr>
              <w:t>LOBO MAE</w:t>
            </w:r>
          </w:p>
        </w:tc>
        <w:tc>
          <w:p w14:paraId="047229D6">
            <w:pPr>
              <w:pStyle w:val="24"/>
              <w:jc w:val="right"/>
              <w:rPr>
                <w:rFonts w:hint="default" w:ascii="Times New Roman" w:hAnsi="Times New Roman" w:cs="Times New Roman"/>
              </w:rPr>
            </w:pPr>
            <w:r>
              <w:rPr>
                <w:rFonts w:hint="default" w:ascii="Times New Roman" w:hAnsi="Times New Roman" w:cs="Times New Roman"/>
              </w:rPr>
              <w:t>LOCO MAE</w:t>
            </w:r>
          </w:p>
        </w:tc>
        <w:tc>
          <w:p w14:paraId="4F0A2FC5">
            <w:pPr>
              <w:pStyle w:val="24"/>
              <w:jc w:val="right"/>
              <w:rPr>
                <w:rFonts w:hint="default" w:ascii="Times New Roman" w:hAnsi="Times New Roman" w:cs="Times New Roman"/>
              </w:rPr>
            </w:pPr>
            <w:r>
              <w:rPr>
                <w:rFonts w:hint="default" w:ascii="Times New Roman" w:hAnsi="Times New Roman" w:cs="Times New Roman"/>
              </w:rPr>
              <w:t>LOBO RÂ²</w:t>
            </w:r>
          </w:p>
        </w:tc>
        <w:tc>
          <w:p w14:paraId="0CD2C338">
            <w:pPr>
              <w:pStyle w:val="24"/>
              <w:jc w:val="right"/>
              <w:rPr>
                <w:rFonts w:hint="default" w:ascii="Times New Roman" w:hAnsi="Times New Roman" w:cs="Times New Roman"/>
              </w:rPr>
            </w:pPr>
            <w:r>
              <w:rPr>
                <w:rFonts w:hint="default" w:ascii="Times New Roman" w:hAnsi="Times New Roman" w:cs="Times New Roman"/>
              </w:rPr>
              <w:t>LOCO RÂ²</w:t>
            </w:r>
          </w:p>
        </w:tc>
        <w:tc>
          <w:p w14:paraId="3D54CF25">
            <w:pPr>
              <w:pStyle w:val="24"/>
              <w:jc w:val="right"/>
              <w:rPr>
                <w:rFonts w:hint="default" w:ascii="Times New Roman" w:hAnsi="Times New Roman" w:cs="Times New Roman"/>
              </w:rPr>
            </w:pPr>
            <w:r>
              <w:rPr>
                <w:rFonts w:hint="default" w:ascii="Times New Roman" w:hAnsi="Times New Roman" w:cs="Times New Roman"/>
              </w:rPr>
              <w:t>Î”</w:t>
            </w:r>
          </w:p>
        </w:tc>
      </w:tr>
      <w:tr w14:paraId="0F7D0809">
        <w:tblPrEx>
          <w:tblCellMar>
            <w:top w:w="0" w:type="dxa"/>
            <w:left w:w="108" w:type="dxa"/>
            <w:bottom w:w="0" w:type="dxa"/>
            <w:right w:w="108" w:type="dxa"/>
          </w:tblCellMar>
        </w:tblPrEx>
        <w:tc>
          <w:p w14:paraId="2A061EB9">
            <w:pPr>
              <w:pStyle w:val="24"/>
              <w:rPr>
                <w:rFonts w:hint="default" w:ascii="Times New Roman" w:hAnsi="Times New Roman" w:cs="Times New Roman"/>
              </w:rPr>
            </w:pPr>
            <w:r>
              <w:rPr>
                <w:rStyle w:val="48"/>
                <w:rFonts w:hint="default" w:ascii="Times New Roman" w:hAnsi="Times New Roman" w:cs="Times New Roman"/>
              </w:rPr>
              <w:t>random_forest</w:t>
            </w:r>
          </w:p>
        </w:tc>
        <w:tc>
          <w:p w14:paraId="361D35E6">
            <w:pPr>
              <w:pStyle w:val="24"/>
              <w:jc w:val="right"/>
              <w:rPr>
                <w:rFonts w:hint="default" w:ascii="Times New Roman" w:hAnsi="Times New Roman" w:cs="Times New Roman"/>
              </w:rPr>
            </w:pPr>
            <w:r>
              <w:rPr>
                <w:rFonts w:hint="default" w:ascii="Times New Roman" w:hAnsi="Times New Roman" w:cs="Times New Roman"/>
              </w:rPr>
              <w:t>3.04%</w:t>
            </w:r>
          </w:p>
        </w:tc>
        <w:tc>
          <w:p w14:paraId="6AD5D8D3">
            <w:pPr>
              <w:pStyle w:val="24"/>
              <w:jc w:val="right"/>
              <w:rPr>
                <w:rFonts w:hint="default" w:ascii="Times New Roman" w:hAnsi="Times New Roman" w:cs="Times New Roman"/>
              </w:rPr>
            </w:pPr>
            <w:r>
              <w:rPr>
                <w:rFonts w:hint="default" w:ascii="Times New Roman" w:hAnsi="Times New Roman" w:cs="Times New Roman"/>
                <w:b/>
                <w:bCs/>
              </w:rPr>
              <w:t>8.59%</w:t>
            </w:r>
          </w:p>
        </w:tc>
        <w:tc>
          <w:p w14:paraId="125BC0C6">
            <w:pPr>
              <w:pStyle w:val="24"/>
              <w:jc w:val="right"/>
              <w:rPr>
                <w:rFonts w:hint="default" w:ascii="Times New Roman" w:hAnsi="Times New Roman" w:cs="Times New Roman"/>
              </w:rPr>
            </w:pPr>
            <w:r>
              <w:rPr>
                <w:rFonts w:hint="default" w:ascii="Times New Roman" w:hAnsi="Times New Roman" w:cs="Times New Roman"/>
              </w:rPr>
              <w:t>0.938</w:t>
            </w:r>
          </w:p>
        </w:tc>
        <w:tc>
          <w:p w14:paraId="7B9D62AF">
            <w:pPr>
              <w:pStyle w:val="24"/>
              <w:jc w:val="right"/>
              <w:rPr>
                <w:rFonts w:hint="default" w:ascii="Times New Roman" w:hAnsi="Times New Roman" w:cs="Times New Roman"/>
              </w:rPr>
            </w:pPr>
            <w:r>
              <w:rPr>
                <w:rFonts w:hint="default" w:ascii="Times New Roman" w:hAnsi="Times New Roman" w:cs="Times New Roman"/>
                <w:b/>
                <w:bCs/>
              </w:rPr>
              <w:t>0.693</w:t>
            </w:r>
          </w:p>
        </w:tc>
        <w:tc>
          <w:p w14:paraId="077A998B">
            <w:pPr>
              <w:pStyle w:val="24"/>
              <w:jc w:val="right"/>
              <w:rPr>
                <w:rFonts w:hint="default" w:ascii="Times New Roman" w:hAnsi="Times New Roman" w:cs="Times New Roman"/>
              </w:rPr>
            </w:pPr>
            <w:r>
              <w:rPr>
                <w:rFonts w:hint="default" w:ascii="Times New Roman" w:hAnsi="Times New Roman" w:cs="Times New Roman"/>
              </w:rPr>
              <w:t>âˆ’0.245</w:t>
            </w:r>
          </w:p>
        </w:tc>
      </w:tr>
      <w:tr w14:paraId="6FA4B814">
        <w:tblPrEx>
          <w:tblCellMar>
            <w:top w:w="0" w:type="dxa"/>
            <w:left w:w="108" w:type="dxa"/>
            <w:bottom w:w="0" w:type="dxa"/>
            <w:right w:w="108" w:type="dxa"/>
          </w:tblCellMar>
        </w:tblPrEx>
        <w:tc>
          <w:p w14:paraId="25AF3FBA">
            <w:pPr>
              <w:pStyle w:val="24"/>
              <w:rPr>
                <w:rFonts w:hint="default" w:ascii="Times New Roman" w:hAnsi="Times New Roman" w:cs="Times New Roman"/>
              </w:rPr>
            </w:pPr>
            <w:r>
              <w:rPr>
                <w:rStyle w:val="48"/>
                <w:rFonts w:hint="default" w:ascii="Times New Roman" w:hAnsi="Times New Roman" w:cs="Times New Roman"/>
              </w:rPr>
              <w:t>hist_gradient_boosting</w:t>
            </w:r>
          </w:p>
        </w:tc>
        <w:tc>
          <w:p w14:paraId="7AC2F843">
            <w:pPr>
              <w:pStyle w:val="24"/>
              <w:jc w:val="right"/>
              <w:rPr>
                <w:rFonts w:hint="default" w:ascii="Times New Roman" w:hAnsi="Times New Roman" w:cs="Times New Roman"/>
              </w:rPr>
            </w:pPr>
            <w:r>
              <w:rPr>
                <w:rFonts w:hint="default" w:ascii="Times New Roman" w:hAnsi="Times New Roman" w:cs="Times New Roman"/>
              </w:rPr>
              <w:t>3.22%</w:t>
            </w:r>
          </w:p>
        </w:tc>
        <w:tc>
          <w:p w14:paraId="5B453262">
            <w:pPr>
              <w:pStyle w:val="24"/>
              <w:jc w:val="right"/>
              <w:rPr>
                <w:rFonts w:hint="default" w:ascii="Times New Roman" w:hAnsi="Times New Roman" w:cs="Times New Roman"/>
              </w:rPr>
            </w:pPr>
            <w:r>
              <w:rPr>
                <w:rFonts w:hint="default" w:ascii="Times New Roman" w:hAnsi="Times New Roman" w:cs="Times New Roman"/>
              </w:rPr>
              <w:t>10.00%</w:t>
            </w:r>
          </w:p>
        </w:tc>
        <w:tc>
          <w:p w14:paraId="56ED2DF3">
            <w:pPr>
              <w:pStyle w:val="24"/>
              <w:jc w:val="right"/>
              <w:rPr>
                <w:rFonts w:hint="default" w:ascii="Times New Roman" w:hAnsi="Times New Roman" w:cs="Times New Roman"/>
              </w:rPr>
            </w:pPr>
            <w:r>
              <w:rPr>
                <w:rFonts w:hint="default" w:ascii="Times New Roman" w:hAnsi="Times New Roman" w:cs="Times New Roman"/>
              </w:rPr>
              <w:t>0.922</w:t>
            </w:r>
          </w:p>
        </w:tc>
        <w:tc>
          <w:p w14:paraId="4ED8A481">
            <w:pPr>
              <w:pStyle w:val="24"/>
              <w:jc w:val="right"/>
              <w:rPr>
                <w:rFonts w:hint="default" w:ascii="Times New Roman" w:hAnsi="Times New Roman" w:cs="Times New Roman"/>
              </w:rPr>
            </w:pPr>
            <w:r>
              <w:rPr>
                <w:rFonts w:hint="default" w:ascii="Times New Roman" w:hAnsi="Times New Roman" w:cs="Times New Roman"/>
              </w:rPr>
              <w:t>0.642</w:t>
            </w:r>
          </w:p>
        </w:tc>
        <w:tc>
          <w:p w14:paraId="456D544E">
            <w:pPr>
              <w:pStyle w:val="24"/>
              <w:jc w:val="right"/>
              <w:rPr>
                <w:rFonts w:hint="default" w:ascii="Times New Roman" w:hAnsi="Times New Roman" w:cs="Times New Roman"/>
              </w:rPr>
            </w:pPr>
            <w:r>
              <w:rPr>
                <w:rFonts w:hint="default" w:ascii="Times New Roman" w:hAnsi="Times New Roman" w:cs="Times New Roman"/>
              </w:rPr>
              <w:t>âˆ’0.280</w:t>
            </w:r>
          </w:p>
        </w:tc>
      </w:tr>
      <w:tr w14:paraId="73199606">
        <w:tblPrEx>
          <w:tblCellMar>
            <w:top w:w="0" w:type="dxa"/>
            <w:left w:w="108" w:type="dxa"/>
            <w:bottom w:w="0" w:type="dxa"/>
            <w:right w:w="108" w:type="dxa"/>
          </w:tblCellMar>
        </w:tblPrEx>
        <w:tc>
          <w:p w14:paraId="2FADCA48">
            <w:pPr>
              <w:pStyle w:val="24"/>
              <w:rPr>
                <w:rFonts w:hint="default" w:ascii="Times New Roman" w:hAnsi="Times New Roman" w:cs="Times New Roman"/>
              </w:rPr>
            </w:pPr>
            <w:r>
              <w:rPr>
                <w:rStyle w:val="48"/>
                <w:rFonts w:hint="default" w:ascii="Times New Roman" w:hAnsi="Times New Roman" w:cs="Times New Roman"/>
              </w:rPr>
              <w:t>gpr_matern</w:t>
            </w:r>
          </w:p>
        </w:tc>
        <w:tc>
          <w:p w14:paraId="640F502C">
            <w:pPr>
              <w:pStyle w:val="24"/>
              <w:jc w:val="right"/>
              <w:rPr>
                <w:rFonts w:hint="default" w:ascii="Times New Roman" w:hAnsi="Times New Roman" w:cs="Times New Roman"/>
              </w:rPr>
            </w:pPr>
            <w:r>
              <w:rPr>
                <w:rFonts w:hint="default" w:ascii="Times New Roman" w:hAnsi="Times New Roman" w:cs="Times New Roman"/>
                <w:b/>
                <w:bCs/>
              </w:rPr>
              <w:t>2.93%</w:t>
            </w:r>
          </w:p>
        </w:tc>
        <w:tc>
          <w:p w14:paraId="44424328">
            <w:pPr>
              <w:pStyle w:val="24"/>
              <w:jc w:val="right"/>
              <w:rPr>
                <w:rFonts w:hint="default" w:ascii="Times New Roman" w:hAnsi="Times New Roman" w:cs="Times New Roman"/>
              </w:rPr>
            </w:pPr>
            <w:r>
              <w:rPr>
                <w:rFonts w:hint="default" w:ascii="Times New Roman" w:hAnsi="Times New Roman" w:cs="Times New Roman"/>
              </w:rPr>
              <w:t>10.06%</w:t>
            </w:r>
          </w:p>
        </w:tc>
        <w:tc>
          <w:p w14:paraId="0A83C518">
            <w:pPr>
              <w:pStyle w:val="24"/>
              <w:jc w:val="right"/>
              <w:rPr>
                <w:rFonts w:hint="default" w:ascii="Times New Roman" w:hAnsi="Times New Roman" w:cs="Times New Roman"/>
              </w:rPr>
            </w:pPr>
            <w:r>
              <w:rPr>
                <w:rFonts w:hint="default" w:ascii="Times New Roman" w:hAnsi="Times New Roman" w:cs="Times New Roman"/>
              </w:rPr>
              <w:t>0.911</w:t>
            </w:r>
          </w:p>
        </w:tc>
        <w:tc>
          <w:p w14:paraId="3013D7E4">
            <w:pPr>
              <w:pStyle w:val="24"/>
              <w:jc w:val="right"/>
              <w:rPr>
                <w:rFonts w:hint="default" w:ascii="Times New Roman" w:hAnsi="Times New Roman" w:cs="Times New Roman"/>
              </w:rPr>
            </w:pPr>
            <w:r>
              <w:rPr>
                <w:rFonts w:hint="default" w:ascii="Times New Roman" w:hAnsi="Times New Roman" w:cs="Times New Roman"/>
              </w:rPr>
              <w:t>0.617</w:t>
            </w:r>
          </w:p>
        </w:tc>
        <w:tc>
          <w:p w14:paraId="54478B02">
            <w:pPr>
              <w:pStyle w:val="24"/>
              <w:jc w:val="right"/>
              <w:rPr>
                <w:rFonts w:hint="default" w:ascii="Times New Roman" w:hAnsi="Times New Roman" w:cs="Times New Roman"/>
              </w:rPr>
            </w:pPr>
            <w:r>
              <w:rPr>
                <w:rFonts w:hint="default" w:ascii="Times New Roman" w:hAnsi="Times New Roman" w:cs="Times New Roman"/>
              </w:rPr>
              <w:t>âˆ’0.294</w:t>
            </w:r>
          </w:p>
        </w:tc>
      </w:tr>
      <w:tr w14:paraId="739AF8E3">
        <w:tblPrEx>
          <w:tblCellMar>
            <w:top w:w="0" w:type="dxa"/>
            <w:left w:w="108" w:type="dxa"/>
            <w:bottom w:w="0" w:type="dxa"/>
            <w:right w:w="108" w:type="dxa"/>
          </w:tblCellMar>
        </w:tblPrEx>
        <w:tc>
          <w:p w14:paraId="49956C77">
            <w:pPr>
              <w:pStyle w:val="24"/>
              <w:rPr>
                <w:rFonts w:hint="default" w:ascii="Times New Roman" w:hAnsi="Times New Roman" w:cs="Times New Roman"/>
              </w:rPr>
            </w:pPr>
            <w:r>
              <w:rPr>
                <w:rStyle w:val="48"/>
                <w:rFonts w:hint="default" w:ascii="Times New Roman" w:hAnsi="Times New Roman" w:cs="Times New Roman"/>
              </w:rPr>
              <w:t>xgboost</w:t>
            </w:r>
          </w:p>
        </w:tc>
        <w:tc>
          <w:p w14:paraId="0AB31D2A">
            <w:pPr>
              <w:pStyle w:val="24"/>
              <w:jc w:val="right"/>
              <w:rPr>
                <w:rFonts w:hint="default" w:ascii="Times New Roman" w:hAnsi="Times New Roman" w:cs="Times New Roman"/>
              </w:rPr>
            </w:pPr>
            <w:r>
              <w:rPr>
                <w:rFonts w:hint="default" w:ascii="Times New Roman" w:hAnsi="Times New Roman" w:cs="Times New Roman"/>
              </w:rPr>
              <w:t>3.38%</w:t>
            </w:r>
          </w:p>
        </w:tc>
        <w:tc>
          <w:p w14:paraId="1693E6D1">
            <w:pPr>
              <w:pStyle w:val="24"/>
              <w:jc w:val="right"/>
              <w:rPr>
                <w:rFonts w:hint="default" w:ascii="Times New Roman" w:hAnsi="Times New Roman" w:cs="Times New Roman"/>
              </w:rPr>
            </w:pPr>
            <w:r>
              <w:rPr>
                <w:rFonts w:hint="default" w:ascii="Times New Roman" w:hAnsi="Times New Roman" w:cs="Times New Roman"/>
              </w:rPr>
              <w:t>16.07%</w:t>
            </w:r>
          </w:p>
        </w:tc>
        <w:tc>
          <w:p w14:paraId="02A67312">
            <w:pPr>
              <w:pStyle w:val="24"/>
              <w:jc w:val="right"/>
              <w:rPr>
                <w:rFonts w:hint="default" w:ascii="Times New Roman" w:hAnsi="Times New Roman" w:cs="Times New Roman"/>
              </w:rPr>
            </w:pPr>
            <w:r>
              <w:rPr>
                <w:rFonts w:hint="default" w:ascii="Times New Roman" w:hAnsi="Times New Roman" w:cs="Times New Roman"/>
              </w:rPr>
              <w:t>0.912</w:t>
            </w:r>
          </w:p>
        </w:tc>
        <w:tc>
          <w:p w14:paraId="4816DF48">
            <w:pPr>
              <w:pStyle w:val="24"/>
              <w:jc w:val="right"/>
              <w:rPr>
                <w:rFonts w:hint="default" w:ascii="Times New Roman" w:hAnsi="Times New Roman" w:cs="Times New Roman"/>
              </w:rPr>
            </w:pPr>
            <w:r>
              <w:rPr>
                <w:rFonts w:hint="default" w:ascii="Times New Roman" w:hAnsi="Times New Roman" w:cs="Times New Roman"/>
              </w:rPr>
              <w:t>0.534</w:t>
            </w:r>
          </w:p>
        </w:tc>
        <w:tc>
          <w:p w14:paraId="218DE2CD">
            <w:pPr>
              <w:pStyle w:val="24"/>
              <w:jc w:val="right"/>
              <w:rPr>
                <w:rFonts w:hint="default" w:ascii="Times New Roman" w:hAnsi="Times New Roman" w:cs="Times New Roman"/>
              </w:rPr>
            </w:pPr>
            <w:r>
              <w:rPr>
                <w:rFonts w:hint="default" w:ascii="Times New Roman" w:hAnsi="Times New Roman" w:cs="Times New Roman"/>
              </w:rPr>
              <w:t>âˆ’0.378</w:t>
            </w:r>
          </w:p>
        </w:tc>
      </w:tr>
      <w:tr w14:paraId="56F5DFCA">
        <w:tblPrEx>
          <w:tblCellMar>
            <w:top w:w="0" w:type="dxa"/>
            <w:left w:w="108" w:type="dxa"/>
            <w:bottom w:w="0" w:type="dxa"/>
            <w:right w:w="108" w:type="dxa"/>
          </w:tblCellMar>
        </w:tblPrEx>
        <w:tc>
          <w:p w14:paraId="601CDF8B">
            <w:pPr>
              <w:pStyle w:val="24"/>
              <w:rPr>
                <w:rFonts w:hint="default" w:ascii="Times New Roman" w:hAnsi="Times New Roman" w:cs="Times New Roman"/>
              </w:rPr>
            </w:pPr>
            <w:r>
              <w:rPr>
                <w:rStyle w:val="48"/>
                <w:rFonts w:hint="default" w:ascii="Times New Roman" w:hAnsi="Times New Roman" w:cs="Times New Roman"/>
              </w:rPr>
              <w:t>lstm</w:t>
            </w:r>
          </w:p>
        </w:tc>
        <w:tc>
          <w:p w14:paraId="1DD70440">
            <w:pPr>
              <w:pStyle w:val="24"/>
              <w:jc w:val="right"/>
              <w:rPr>
                <w:rFonts w:hint="default" w:ascii="Times New Roman" w:hAnsi="Times New Roman" w:cs="Times New Roman"/>
              </w:rPr>
            </w:pPr>
            <w:r>
              <w:rPr>
                <w:rFonts w:hint="default" w:ascii="Times New Roman" w:hAnsi="Times New Roman" w:cs="Times New Roman"/>
                <w:b/>
                <w:bCs/>
              </w:rPr>
              <w:t>2.26%</w:t>
            </w:r>
          </w:p>
        </w:tc>
        <w:tc>
          <w:p w14:paraId="0DAB3B0C">
            <w:pPr>
              <w:pStyle w:val="24"/>
              <w:jc w:val="right"/>
              <w:rPr>
                <w:rFonts w:hint="default" w:ascii="Times New Roman" w:hAnsi="Times New Roman" w:cs="Times New Roman"/>
              </w:rPr>
            </w:pPr>
            <w:r>
              <w:rPr>
                <w:rFonts w:hint="default" w:ascii="Times New Roman" w:hAnsi="Times New Roman" w:cs="Times New Roman"/>
              </w:rPr>
              <w:t>15.68%</w:t>
            </w:r>
          </w:p>
        </w:tc>
        <w:tc>
          <w:p w14:paraId="5BED07CF">
            <w:pPr>
              <w:pStyle w:val="24"/>
              <w:jc w:val="right"/>
              <w:rPr>
                <w:rFonts w:hint="default" w:ascii="Times New Roman" w:hAnsi="Times New Roman" w:cs="Times New Roman"/>
              </w:rPr>
            </w:pPr>
            <w:r>
              <w:rPr>
                <w:rFonts w:hint="default" w:ascii="Times New Roman" w:hAnsi="Times New Roman" w:cs="Times New Roman"/>
                <w:b/>
                <w:bCs/>
              </w:rPr>
              <w:t>0.971</w:t>
            </w:r>
          </w:p>
        </w:tc>
        <w:tc>
          <w:p w14:paraId="43B8783E">
            <w:pPr>
              <w:pStyle w:val="24"/>
              <w:jc w:val="right"/>
              <w:rPr>
                <w:rFonts w:hint="default" w:ascii="Times New Roman" w:hAnsi="Times New Roman" w:cs="Times New Roman"/>
              </w:rPr>
            </w:pPr>
            <w:r>
              <w:rPr>
                <w:rFonts w:hint="default" w:ascii="Times New Roman" w:hAnsi="Times New Roman" w:cs="Times New Roman"/>
              </w:rPr>
              <w:t>0.526</w:t>
            </w:r>
          </w:p>
        </w:tc>
        <w:tc>
          <w:p w14:paraId="1235352E">
            <w:pPr>
              <w:pStyle w:val="24"/>
              <w:jc w:val="right"/>
              <w:rPr>
                <w:rFonts w:hint="default" w:ascii="Times New Roman" w:hAnsi="Times New Roman" w:cs="Times New Roman"/>
              </w:rPr>
            </w:pPr>
            <w:r>
              <w:rPr>
                <w:rFonts w:hint="default" w:ascii="Times New Roman" w:hAnsi="Times New Roman" w:cs="Times New Roman"/>
              </w:rPr>
              <w:t>âˆ’0.445</w:t>
            </w:r>
          </w:p>
        </w:tc>
      </w:tr>
      <w:tr w14:paraId="6525C54B">
        <w:tblPrEx>
          <w:tblCellMar>
            <w:top w:w="0" w:type="dxa"/>
            <w:left w:w="108" w:type="dxa"/>
            <w:bottom w:w="0" w:type="dxa"/>
            <w:right w:w="108" w:type="dxa"/>
          </w:tblCellMar>
        </w:tblPrEx>
        <w:tc>
          <w:p w14:paraId="4AF0CF26">
            <w:pPr>
              <w:pStyle w:val="24"/>
              <w:rPr>
                <w:rFonts w:hint="default" w:ascii="Times New Roman" w:hAnsi="Times New Roman" w:cs="Times New Roman"/>
              </w:rPr>
            </w:pPr>
            <w:r>
              <w:rPr>
                <w:rStyle w:val="48"/>
                <w:rFonts w:hint="default" w:ascii="Times New Roman" w:hAnsi="Times New Roman" w:cs="Times New Roman"/>
              </w:rPr>
              <w:t>mlp</w:t>
            </w:r>
          </w:p>
        </w:tc>
        <w:tc>
          <w:p w14:paraId="50C0EF98">
            <w:pPr>
              <w:pStyle w:val="24"/>
              <w:jc w:val="right"/>
              <w:rPr>
                <w:rFonts w:hint="default" w:ascii="Times New Roman" w:hAnsi="Times New Roman" w:cs="Times New Roman"/>
              </w:rPr>
            </w:pPr>
            <w:r>
              <w:rPr>
                <w:rFonts w:hint="default" w:ascii="Times New Roman" w:hAnsi="Times New Roman" w:cs="Times New Roman"/>
              </w:rPr>
              <w:t>2.74%</w:t>
            </w:r>
          </w:p>
        </w:tc>
        <w:tc>
          <w:p w14:paraId="5CB0F1DC">
            <w:pPr>
              <w:pStyle w:val="24"/>
              <w:jc w:val="right"/>
              <w:rPr>
                <w:rFonts w:hint="default" w:ascii="Times New Roman" w:hAnsi="Times New Roman" w:cs="Times New Roman"/>
              </w:rPr>
            </w:pPr>
            <w:r>
              <w:rPr>
                <w:rFonts w:hint="default" w:ascii="Times New Roman" w:hAnsi="Times New Roman" w:cs="Times New Roman"/>
              </w:rPr>
              <w:t>15.88%</w:t>
            </w:r>
          </w:p>
        </w:tc>
        <w:tc>
          <w:p w14:paraId="6194D6AB">
            <w:pPr>
              <w:pStyle w:val="24"/>
              <w:jc w:val="right"/>
              <w:rPr>
                <w:rFonts w:hint="default" w:ascii="Times New Roman" w:hAnsi="Times New Roman" w:cs="Times New Roman"/>
              </w:rPr>
            </w:pPr>
            <w:r>
              <w:rPr>
                <w:rFonts w:hint="default" w:ascii="Times New Roman" w:hAnsi="Times New Roman" w:cs="Times New Roman"/>
              </w:rPr>
              <w:t>0.940</w:t>
            </w:r>
          </w:p>
        </w:tc>
        <w:tc>
          <w:p w14:paraId="3DA0A5B1">
            <w:pPr>
              <w:pStyle w:val="24"/>
              <w:jc w:val="right"/>
              <w:rPr>
                <w:rFonts w:hint="default" w:ascii="Times New Roman" w:hAnsi="Times New Roman" w:cs="Times New Roman"/>
              </w:rPr>
            </w:pPr>
            <w:r>
              <w:rPr>
                <w:rFonts w:hint="default" w:ascii="Times New Roman" w:hAnsi="Times New Roman" w:cs="Times New Roman"/>
              </w:rPr>
              <w:t>0.507</w:t>
            </w:r>
          </w:p>
        </w:tc>
        <w:tc>
          <w:p w14:paraId="0961023B">
            <w:pPr>
              <w:pStyle w:val="24"/>
              <w:jc w:val="right"/>
              <w:rPr>
                <w:rFonts w:hint="default" w:ascii="Times New Roman" w:hAnsi="Times New Roman" w:cs="Times New Roman"/>
              </w:rPr>
            </w:pPr>
            <w:r>
              <w:rPr>
                <w:rFonts w:hint="default" w:ascii="Times New Roman" w:hAnsi="Times New Roman" w:cs="Times New Roman"/>
              </w:rPr>
              <w:t>âˆ’0.433</w:t>
            </w:r>
          </w:p>
        </w:tc>
      </w:tr>
      <w:tr w14:paraId="25AD43B5">
        <w:tblPrEx>
          <w:tblCellMar>
            <w:top w:w="0" w:type="dxa"/>
            <w:left w:w="108" w:type="dxa"/>
            <w:bottom w:w="0" w:type="dxa"/>
            <w:right w:w="108" w:type="dxa"/>
          </w:tblCellMar>
        </w:tblPrEx>
        <w:tc>
          <w:p w14:paraId="69F76D87">
            <w:pPr>
              <w:pStyle w:val="24"/>
              <w:rPr>
                <w:rFonts w:hint="default" w:ascii="Times New Roman" w:hAnsi="Times New Roman" w:cs="Times New Roman"/>
              </w:rPr>
            </w:pPr>
            <w:r>
              <w:rPr>
                <w:rStyle w:val="48"/>
                <w:rFonts w:hint="default" w:ascii="Times New Roman" w:hAnsi="Times New Roman" w:cs="Times New Roman"/>
              </w:rPr>
              <w:t>svr_rbf</w:t>
            </w:r>
          </w:p>
        </w:tc>
        <w:tc>
          <w:p w14:paraId="7BC3280A">
            <w:pPr>
              <w:pStyle w:val="24"/>
              <w:jc w:val="right"/>
              <w:rPr>
                <w:rFonts w:hint="default" w:ascii="Times New Roman" w:hAnsi="Times New Roman" w:cs="Times New Roman"/>
              </w:rPr>
            </w:pPr>
            <w:r>
              <w:rPr>
                <w:rFonts w:hint="default" w:ascii="Times New Roman" w:hAnsi="Times New Roman" w:cs="Times New Roman"/>
              </w:rPr>
              <w:t>5.59%</w:t>
            </w:r>
          </w:p>
        </w:tc>
        <w:tc>
          <w:p w14:paraId="2A4D4944">
            <w:pPr>
              <w:pStyle w:val="24"/>
              <w:jc w:val="right"/>
              <w:rPr>
                <w:rFonts w:hint="default" w:ascii="Times New Roman" w:hAnsi="Times New Roman" w:cs="Times New Roman"/>
              </w:rPr>
            </w:pPr>
            <w:r>
              <w:rPr>
                <w:rFonts w:hint="default" w:ascii="Times New Roman" w:hAnsi="Times New Roman" w:cs="Times New Roman"/>
              </w:rPr>
              <w:t>22.37%</w:t>
            </w:r>
          </w:p>
        </w:tc>
        <w:tc>
          <w:p w14:paraId="268D3646">
            <w:pPr>
              <w:pStyle w:val="24"/>
              <w:jc w:val="right"/>
              <w:rPr>
                <w:rFonts w:hint="default" w:ascii="Times New Roman" w:hAnsi="Times New Roman" w:cs="Times New Roman"/>
              </w:rPr>
            </w:pPr>
            <w:r>
              <w:rPr>
                <w:rFonts w:hint="default" w:ascii="Times New Roman" w:hAnsi="Times New Roman" w:cs="Times New Roman"/>
              </w:rPr>
              <w:t>0.878</w:t>
            </w:r>
          </w:p>
        </w:tc>
        <w:tc>
          <w:p w14:paraId="661ED4DF">
            <w:pPr>
              <w:pStyle w:val="24"/>
              <w:jc w:val="right"/>
              <w:rPr>
                <w:rFonts w:hint="default" w:ascii="Times New Roman" w:hAnsi="Times New Roman" w:cs="Times New Roman"/>
              </w:rPr>
            </w:pPr>
            <w:r>
              <w:rPr>
                <w:rFonts w:hint="default" w:ascii="Times New Roman" w:hAnsi="Times New Roman" w:cs="Times New Roman"/>
              </w:rPr>
              <w:t>0.301</w:t>
            </w:r>
          </w:p>
        </w:tc>
        <w:tc>
          <w:p w14:paraId="33720F2E">
            <w:pPr>
              <w:pStyle w:val="24"/>
              <w:jc w:val="right"/>
              <w:rPr>
                <w:rFonts w:hint="default" w:ascii="Times New Roman" w:hAnsi="Times New Roman" w:cs="Times New Roman"/>
              </w:rPr>
            </w:pPr>
            <w:r>
              <w:rPr>
                <w:rFonts w:hint="default" w:ascii="Times New Roman" w:hAnsi="Times New Roman" w:cs="Times New Roman"/>
              </w:rPr>
              <w:t>âˆ’0.577</w:t>
            </w:r>
          </w:p>
        </w:tc>
      </w:tr>
      <w:tr w14:paraId="7299E1F6">
        <w:tblPrEx>
          <w:tblCellMar>
            <w:top w:w="0" w:type="dxa"/>
            <w:left w:w="108" w:type="dxa"/>
            <w:bottom w:w="0" w:type="dxa"/>
            <w:right w:w="108" w:type="dxa"/>
          </w:tblCellMar>
        </w:tblPrEx>
        <w:tc>
          <w:p w14:paraId="5567E89A">
            <w:pPr>
              <w:pStyle w:val="24"/>
              <w:rPr>
                <w:rFonts w:hint="default" w:ascii="Times New Roman" w:hAnsi="Times New Roman" w:cs="Times New Roman"/>
              </w:rPr>
            </w:pPr>
            <w:r>
              <w:rPr>
                <w:rStyle w:val="48"/>
                <w:rFonts w:hint="default" w:ascii="Times New Roman" w:hAnsi="Times New Roman" w:cs="Times New Roman"/>
              </w:rPr>
              <w:t>age_isotonic</w:t>
            </w:r>
          </w:p>
        </w:tc>
        <w:tc>
          <w:p w14:paraId="620EA178">
            <w:pPr>
              <w:pStyle w:val="24"/>
              <w:jc w:val="right"/>
              <w:rPr>
                <w:rFonts w:hint="default" w:ascii="Times New Roman" w:hAnsi="Times New Roman" w:cs="Times New Roman"/>
              </w:rPr>
            </w:pPr>
            <w:r>
              <w:rPr>
                <w:rFonts w:hint="default" w:ascii="Times New Roman" w:hAnsi="Times New Roman" w:cs="Times New Roman"/>
              </w:rPr>
              <w:t>9.79%</w:t>
            </w:r>
          </w:p>
        </w:tc>
        <w:tc>
          <w:p w14:paraId="6631A00D">
            <w:pPr>
              <w:pStyle w:val="24"/>
              <w:jc w:val="right"/>
              <w:rPr>
                <w:rFonts w:hint="default" w:ascii="Times New Roman" w:hAnsi="Times New Roman" w:cs="Times New Roman"/>
              </w:rPr>
            </w:pPr>
            <w:r>
              <w:rPr>
                <w:rFonts w:hint="default" w:ascii="Times New Roman" w:hAnsi="Times New Roman" w:cs="Times New Roman"/>
              </w:rPr>
              <w:t>12.07%</w:t>
            </w:r>
          </w:p>
        </w:tc>
        <w:tc>
          <w:p w14:paraId="358DF192">
            <w:pPr>
              <w:pStyle w:val="24"/>
              <w:jc w:val="right"/>
              <w:rPr>
                <w:rFonts w:hint="default" w:ascii="Times New Roman" w:hAnsi="Times New Roman" w:cs="Times New Roman"/>
              </w:rPr>
            </w:pPr>
            <w:r>
              <w:rPr>
                <w:rFonts w:hint="default" w:ascii="Times New Roman" w:hAnsi="Times New Roman" w:cs="Times New Roman"/>
              </w:rPr>
              <w:t>0.339</w:t>
            </w:r>
          </w:p>
        </w:tc>
        <w:tc>
          <w:p w14:paraId="5CB255B6">
            <w:pPr>
              <w:pStyle w:val="24"/>
              <w:jc w:val="right"/>
              <w:rPr>
                <w:rFonts w:hint="default" w:ascii="Times New Roman" w:hAnsi="Times New Roman" w:cs="Times New Roman"/>
              </w:rPr>
            </w:pPr>
            <w:r>
              <w:rPr>
                <w:rFonts w:hint="default" w:ascii="Times New Roman" w:hAnsi="Times New Roman" w:cs="Times New Roman"/>
              </w:rPr>
              <w:t>0.198</w:t>
            </w:r>
          </w:p>
        </w:tc>
        <w:tc>
          <w:p w14:paraId="4B139F32">
            <w:pPr>
              <w:pStyle w:val="24"/>
              <w:jc w:val="right"/>
              <w:rPr>
                <w:rFonts w:hint="default" w:ascii="Times New Roman" w:hAnsi="Times New Roman" w:cs="Times New Roman"/>
              </w:rPr>
            </w:pPr>
            <w:r>
              <w:rPr>
                <w:rFonts w:hint="default" w:ascii="Times New Roman" w:hAnsi="Times New Roman" w:cs="Times New Roman"/>
              </w:rPr>
              <w:t>âˆ’0.141</w:t>
            </w:r>
          </w:p>
        </w:tc>
      </w:tr>
      <w:tr w14:paraId="12E30E2E">
        <w:tblPrEx>
          <w:tblCellMar>
            <w:top w:w="0" w:type="dxa"/>
            <w:left w:w="108" w:type="dxa"/>
            <w:bottom w:w="0" w:type="dxa"/>
            <w:right w:w="108" w:type="dxa"/>
          </w:tblCellMar>
        </w:tblPrEx>
        <w:tc>
          <w:p w14:paraId="340FEF89">
            <w:pPr>
              <w:pStyle w:val="24"/>
              <w:rPr>
                <w:rFonts w:hint="default" w:ascii="Times New Roman" w:hAnsi="Times New Roman" w:cs="Times New Roman"/>
              </w:rPr>
            </w:pPr>
            <w:r>
              <w:rPr>
                <w:rStyle w:val="48"/>
                <w:rFonts w:hint="default" w:ascii="Times New Roman" w:hAnsi="Times New Roman" w:cs="Times New Roman"/>
              </w:rPr>
              <w:t>age_linear</w:t>
            </w:r>
          </w:p>
        </w:tc>
        <w:tc>
          <w:p w14:paraId="62BD9C73">
            <w:pPr>
              <w:pStyle w:val="24"/>
              <w:jc w:val="right"/>
              <w:rPr>
                <w:rFonts w:hint="default" w:ascii="Times New Roman" w:hAnsi="Times New Roman" w:cs="Times New Roman"/>
              </w:rPr>
            </w:pPr>
            <w:r>
              <w:rPr>
                <w:rFonts w:hint="default" w:ascii="Times New Roman" w:hAnsi="Times New Roman" w:cs="Times New Roman"/>
              </w:rPr>
              <w:t>14.52%</w:t>
            </w:r>
          </w:p>
        </w:tc>
        <w:tc>
          <w:p w14:paraId="47AC0D0A">
            <w:pPr>
              <w:pStyle w:val="24"/>
              <w:jc w:val="right"/>
              <w:rPr>
                <w:rFonts w:hint="default" w:ascii="Times New Roman" w:hAnsi="Times New Roman" w:cs="Times New Roman"/>
              </w:rPr>
            </w:pPr>
            <w:r>
              <w:rPr>
                <w:rFonts w:hint="default" w:ascii="Times New Roman" w:hAnsi="Times New Roman" w:cs="Times New Roman"/>
              </w:rPr>
              <w:t>15.43%</w:t>
            </w:r>
          </w:p>
        </w:tc>
        <w:tc>
          <w:p w14:paraId="26161A2B">
            <w:pPr>
              <w:pStyle w:val="24"/>
              <w:jc w:val="right"/>
              <w:rPr>
                <w:rFonts w:hint="default" w:ascii="Times New Roman" w:hAnsi="Times New Roman" w:cs="Times New Roman"/>
              </w:rPr>
            </w:pPr>
            <w:r>
              <w:rPr>
                <w:rFonts w:hint="default" w:ascii="Times New Roman" w:hAnsi="Times New Roman" w:cs="Times New Roman"/>
              </w:rPr>
              <w:t>0.096</w:t>
            </w:r>
          </w:p>
        </w:tc>
        <w:tc>
          <w:p w14:paraId="179EBC60">
            <w:pPr>
              <w:pStyle w:val="24"/>
              <w:jc w:val="right"/>
              <w:rPr>
                <w:rFonts w:hint="default" w:ascii="Times New Roman" w:hAnsi="Times New Roman" w:cs="Times New Roman"/>
              </w:rPr>
            </w:pPr>
            <w:r>
              <w:rPr>
                <w:rFonts w:hint="default" w:ascii="Times New Roman" w:hAnsi="Times New Roman" w:cs="Times New Roman"/>
              </w:rPr>
              <w:t>0.016</w:t>
            </w:r>
          </w:p>
        </w:tc>
        <w:tc>
          <w:p w14:paraId="6690242E">
            <w:pPr>
              <w:pStyle w:val="24"/>
              <w:jc w:val="right"/>
              <w:rPr>
                <w:rFonts w:hint="default" w:ascii="Times New Roman" w:hAnsi="Times New Roman" w:cs="Times New Roman"/>
              </w:rPr>
            </w:pPr>
            <w:r>
              <w:rPr>
                <w:rFonts w:hint="default" w:ascii="Times New Roman" w:hAnsi="Times New Roman" w:cs="Times New Roman"/>
              </w:rPr>
              <w:t>âˆ’0.080</w:t>
            </w:r>
          </w:p>
        </w:tc>
      </w:tr>
      <w:tr w14:paraId="50EDD08E">
        <w:tblPrEx>
          <w:tblCellMar>
            <w:top w:w="0" w:type="dxa"/>
            <w:left w:w="108" w:type="dxa"/>
            <w:bottom w:w="0" w:type="dxa"/>
            <w:right w:w="108" w:type="dxa"/>
          </w:tblCellMar>
        </w:tblPrEx>
        <w:tc>
          <w:p w14:paraId="0512C764">
            <w:pPr>
              <w:pStyle w:val="24"/>
              <w:rPr>
                <w:rFonts w:hint="default" w:ascii="Times New Roman" w:hAnsi="Times New Roman" w:cs="Times New Roman"/>
              </w:rPr>
            </w:pPr>
            <w:r>
              <w:rPr>
                <w:rStyle w:val="48"/>
                <w:rFonts w:hint="default" w:ascii="Times New Roman" w:hAnsi="Times New Roman" w:cs="Times New Roman"/>
              </w:rPr>
              <w:t>elasticnet</w:t>
            </w:r>
          </w:p>
        </w:tc>
        <w:tc>
          <w:p w14:paraId="122DF628">
            <w:pPr>
              <w:pStyle w:val="24"/>
              <w:jc w:val="right"/>
              <w:rPr>
                <w:rFonts w:hint="default" w:ascii="Times New Roman" w:hAnsi="Times New Roman" w:cs="Times New Roman"/>
              </w:rPr>
            </w:pPr>
            <w:r>
              <w:rPr>
                <w:rFonts w:hint="default" w:ascii="Times New Roman" w:hAnsi="Times New Roman" w:cs="Times New Roman"/>
              </w:rPr>
              <w:t>14.87%</w:t>
            </w:r>
          </w:p>
        </w:tc>
        <w:tc>
          <w:p w14:paraId="6B679E8D">
            <w:pPr>
              <w:pStyle w:val="24"/>
              <w:jc w:val="right"/>
              <w:rPr>
                <w:rFonts w:hint="default" w:ascii="Times New Roman" w:hAnsi="Times New Roman" w:cs="Times New Roman"/>
              </w:rPr>
            </w:pPr>
            <w:r>
              <w:rPr>
                <w:rFonts w:hint="default" w:ascii="Times New Roman" w:hAnsi="Times New Roman" w:cs="Times New Roman"/>
              </w:rPr>
              <w:t>15.39%</w:t>
            </w:r>
          </w:p>
        </w:tc>
        <w:tc>
          <w:p w14:paraId="7645CE73">
            <w:pPr>
              <w:pStyle w:val="24"/>
              <w:jc w:val="right"/>
              <w:rPr>
                <w:rFonts w:hint="default" w:ascii="Times New Roman" w:hAnsi="Times New Roman" w:cs="Times New Roman"/>
              </w:rPr>
            </w:pPr>
            <w:r>
              <w:rPr>
                <w:rFonts w:hint="default" w:ascii="Times New Roman" w:hAnsi="Times New Roman" w:cs="Times New Roman"/>
              </w:rPr>
              <w:t>0.131</w:t>
            </w:r>
          </w:p>
        </w:tc>
        <w:tc>
          <w:p w14:paraId="663C1F86">
            <w:pPr>
              <w:pStyle w:val="24"/>
              <w:jc w:val="right"/>
              <w:rPr>
                <w:rFonts w:hint="default" w:ascii="Times New Roman" w:hAnsi="Times New Roman" w:cs="Times New Roman"/>
              </w:rPr>
            </w:pPr>
            <w:r>
              <w:rPr>
                <w:rFonts w:hint="default" w:ascii="Times New Roman" w:hAnsi="Times New Roman" w:cs="Times New Roman"/>
              </w:rPr>
              <w:t>0.000</w:t>
            </w:r>
          </w:p>
        </w:tc>
        <w:tc>
          <w:p w14:paraId="1FA54C63">
            <w:pPr>
              <w:pStyle w:val="24"/>
              <w:jc w:val="right"/>
              <w:rPr>
                <w:rFonts w:hint="default" w:ascii="Times New Roman" w:hAnsi="Times New Roman" w:cs="Times New Roman"/>
              </w:rPr>
            </w:pPr>
            <w:r>
              <w:rPr>
                <w:rFonts w:hint="default" w:ascii="Times New Roman" w:hAnsi="Times New Roman" w:cs="Times New Roman"/>
              </w:rPr>
              <w:t>âˆ’0.130</w:t>
            </w:r>
          </w:p>
        </w:tc>
      </w:tr>
      <w:tr w14:paraId="7BBA6FDF">
        <w:tblPrEx>
          <w:tblCellMar>
            <w:top w:w="0" w:type="dxa"/>
            <w:left w:w="108" w:type="dxa"/>
            <w:bottom w:w="0" w:type="dxa"/>
            <w:right w:w="108" w:type="dxa"/>
          </w:tblCellMar>
        </w:tblPrEx>
        <w:tc>
          <w:p w14:paraId="15364EC6">
            <w:pPr>
              <w:pStyle w:val="24"/>
              <w:rPr>
                <w:rFonts w:hint="default" w:ascii="Times New Roman" w:hAnsi="Times New Roman" w:cs="Times New Roman"/>
              </w:rPr>
            </w:pPr>
            <w:r>
              <w:rPr>
                <w:rStyle w:val="48"/>
                <w:rFonts w:hint="default" w:ascii="Times New Roman" w:hAnsi="Times New Roman" w:cs="Times New Roman"/>
              </w:rPr>
              <w:t>train_mean</w:t>
            </w:r>
          </w:p>
        </w:tc>
        <w:tc>
          <w:p w14:paraId="4F4898B1">
            <w:pPr>
              <w:pStyle w:val="24"/>
              <w:jc w:val="right"/>
              <w:rPr>
                <w:rFonts w:hint="default" w:ascii="Times New Roman" w:hAnsi="Times New Roman" w:cs="Times New Roman"/>
              </w:rPr>
            </w:pPr>
            <w:r>
              <w:rPr>
                <w:rFonts w:hint="default" w:ascii="Times New Roman" w:hAnsi="Times New Roman" w:cs="Times New Roman"/>
              </w:rPr>
              <w:t>17.53%</w:t>
            </w:r>
          </w:p>
        </w:tc>
        <w:tc>
          <w:p w14:paraId="6529AFBD">
            <w:pPr>
              <w:pStyle w:val="24"/>
              <w:jc w:val="right"/>
              <w:rPr>
                <w:rFonts w:hint="default" w:ascii="Times New Roman" w:hAnsi="Times New Roman" w:cs="Times New Roman"/>
              </w:rPr>
            </w:pPr>
            <w:r>
              <w:rPr>
                <w:rFonts w:hint="default" w:ascii="Times New Roman" w:hAnsi="Times New Roman" w:cs="Times New Roman"/>
              </w:rPr>
              <w:t>18.16%</w:t>
            </w:r>
          </w:p>
        </w:tc>
        <w:tc>
          <w:p w14:paraId="7EC53E59">
            <w:pPr>
              <w:pStyle w:val="24"/>
              <w:jc w:val="right"/>
              <w:rPr>
                <w:rFonts w:hint="default" w:ascii="Times New Roman" w:hAnsi="Times New Roman" w:cs="Times New Roman"/>
              </w:rPr>
            </w:pPr>
            <w:r>
              <w:rPr>
                <w:rFonts w:hint="default" w:ascii="Times New Roman" w:hAnsi="Times New Roman" w:cs="Times New Roman"/>
              </w:rPr>
              <w:t>0.000</w:t>
            </w:r>
          </w:p>
        </w:tc>
        <w:tc>
          <w:p w14:paraId="50983823">
            <w:pPr>
              <w:pStyle w:val="24"/>
              <w:jc w:val="right"/>
              <w:rPr>
                <w:rFonts w:hint="default" w:ascii="Times New Roman" w:hAnsi="Times New Roman" w:cs="Times New Roman"/>
              </w:rPr>
            </w:pPr>
            <w:r>
              <w:rPr>
                <w:rFonts w:hint="default" w:ascii="Times New Roman" w:hAnsi="Times New Roman" w:cs="Times New Roman"/>
              </w:rPr>
              <w:t>0.000</w:t>
            </w:r>
          </w:p>
        </w:tc>
        <w:tc>
          <w:p w14:paraId="147CEC04">
            <w:pPr>
              <w:pStyle w:val="24"/>
              <w:jc w:val="right"/>
              <w:rPr>
                <w:rFonts w:hint="default" w:ascii="Times New Roman" w:hAnsi="Times New Roman" w:cs="Times New Roman"/>
              </w:rPr>
            </w:pPr>
            <w:r>
              <w:rPr>
                <w:rFonts w:hint="default" w:ascii="Times New Roman" w:hAnsi="Times New Roman" w:cs="Times New Roman"/>
              </w:rPr>
              <w:t>0.000</w:t>
            </w:r>
          </w:p>
        </w:tc>
      </w:tr>
    </w:tbl>
    <w:p w14:paraId="18F2E5D2">
      <w:pPr>
        <w:pStyle w:val="3"/>
        <w:rPr>
          <w:rFonts w:hint="default" w:ascii="Times New Roman" w:hAnsi="Times New Roman" w:cs="Times New Roman"/>
        </w:rPr>
      </w:pPr>
      <w:r>
        <w:rPr>
          <w:rFonts w:hint="default" w:ascii="Times New Roman" w:hAnsi="Times New Roman" w:cs="Times New Roman"/>
        </w:rPr>
        <w:t xml:space="preserve">Ten of twelve methods clear the promotion gate here. </w:t>
      </w:r>
      <w:r>
        <w:rPr>
          <w:rStyle w:val="48"/>
          <w:rFonts w:hint="default" w:ascii="Times New Roman" w:hAnsi="Times New Roman" w:cs="Times New Roman"/>
          <w:b/>
          <w:bCs/>
        </w:rPr>
        <w:t>lstm</w:t>
      </w:r>
      <w:r>
        <w:rPr>
          <w:rFonts w:hint="default" w:ascii="Times New Roman" w:hAnsi="Times New Roman" w:cs="Times New Roman"/>
          <w:b/>
          <w:bCs/>
        </w:rPr>
        <w:t xml:space="preserve"> reaches LOBO MAE 2.26% and </w:t>
      </w:r>
      <w:r>
        <w:rPr>
          <w:rStyle w:val="48"/>
          <w:rFonts w:hint="default" w:ascii="Times New Roman" w:hAnsi="Times New Roman" w:cs="Times New Roman"/>
          <w:b/>
          <w:bCs/>
        </w:rPr>
        <w:t>gpr_matern</w:t>
      </w:r>
      <w:r>
        <w:rPr>
          <w:rFonts w:hint="default" w:ascii="Times New Roman" w:hAnsi="Times New Roman" w:cs="Times New Roman"/>
          <w:b/>
          <w:bCs/>
        </w:rPr>
        <w:t xml:space="preserve"> 2.93%</w:t>
      </w:r>
      <w:r>
        <w:rPr>
          <w:rFonts w:hint="default" w:ascii="Times New Roman" w:hAnsi="Times New Roman" w:cs="Times New Roman"/>
        </w:rPr>
        <w:t xml:space="preserve"> â€” the first sub-3% figures in this project, and the only place the original target is met. Under leave-one-cohort-out the same models give 15.68% and 10.06%.</w:t>
      </w:r>
    </w:p>
    <w:p w14:paraId="2B9B2781">
      <w:pPr>
        <w:pStyle w:val="14"/>
        <w:rPr>
          <w:rFonts w:hint="default" w:ascii="Times New Roman" w:hAnsi="Times New Roman" w:cs="Times New Roman"/>
        </w:rPr>
      </w:pPr>
      <w:r>
        <w:rPr>
          <w:rFonts w:hint="default" w:ascii="Times New Roman" w:hAnsi="Times New Roman" w:cs="Times New Roman"/>
          <w:b/>
          <w:bCs/>
        </w:rPr>
        <w:t>On an earlier CS2-only run.</w:t>
      </w:r>
      <w:r>
        <w:rPr>
          <w:rFonts w:hint="default" w:ascii="Times New Roman" w:hAnsi="Times New Roman" w:cs="Times New Roman"/>
        </w:rPr>
        <w:t xml:space="preserve"> With 11 cells across 5 cohorts the same harness gave </w:t>
      </w:r>
      <w:r>
        <w:rPr>
          <w:rStyle w:val="48"/>
          <w:rFonts w:hint="default" w:ascii="Times New Roman" w:hAnsi="Times New Roman" w:cs="Times New Roman"/>
        </w:rPr>
        <w:t>lstm</w:t>
      </w:r>
      <w:r>
        <w:rPr>
          <w:rFonts w:hint="default" w:ascii="Times New Roman" w:hAnsi="Times New Roman" w:cs="Times New Roman"/>
        </w:rPr>
        <w:t xml:space="preserve"> a LOCO RÂ² of âˆ’4.669 and this report claimed a sequence model was the worst transferring method on both datasets. Adding CX2 reversed it entirely. That claim is withdrawn (ADR 0009), and Section 4.14 explains why such reversals kept happening.</w:t>
      </w:r>
    </w:p>
    <w:p w14:paraId="633F8A39">
      <w:pPr>
        <w:pStyle w:val="23"/>
        <w:rPr>
          <w:rFonts w:hint="default" w:ascii="Times New Roman" w:hAnsi="Times New Roman" w:cs="Times New Roman"/>
        </w:rPr>
      </w:pPr>
      <w:r>
        <w:rPr>
          <w:rFonts w:hint="default" w:ascii="Times New Roman" w:hAnsi="Times New Roman" w:cs="Times New Roman"/>
          <w:b/>
          <w:bCs/>
        </w:rPr>
        <w:t>What replicates.</w:t>
      </w:r>
      <w:r>
        <w:rPr>
          <w:rFonts w:hint="default" w:ascii="Times New Roman" w:hAnsi="Times New Roman" w:cs="Times New Roman"/>
        </w:rPr>
        <w:t xml:space="preserve"> Every method loses skill under protocol shift, on a different dataset from a different laboratory with a different cohort axis. Every Î” in the table is negative.</w:t>
      </w:r>
    </w:p>
    <w:p w14:paraId="159B02E2">
      <w:pPr>
        <w:pStyle w:val="3"/>
        <w:rPr>
          <w:rFonts w:hint="default" w:ascii="Times New Roman" w:hAnsi="Times New Roman" w:cs="Times New Roman"/>
        </w:rPr>
      </w:pPr>
      <w:r>
        <w:rPr>
          <w:rFonts w:hint="default" w:ascii="Times New Roman" w:hAnsi="Times New Roman" w:cs="Times New Roman"/>
          <w:b/>
          <w:bCs/>
        </w:rPr>
        <w:t>What does not.</w:t>
      </w:r>
      <w:r>
        <w:rPr>
          <w:rFonts w:hint="default" w:ascii="Times New Roman" w:hAnsi="Times New Roman" w:cs="Times New Roman"/>
        </w:rPr>
        <w:t xml:space="preserve"> The </w:t>
      </w:r>
      <w:r>
        <w:rPr>
          <w:rFonts w:hint="default" w:ascii="Times New Roman" w:hAnsi="Times New Roman" w:cs="Times New Roman"/>
          <w:i/>
          <w:iCs/>
        </w:rPr>
        <w:t>ordering among methods</w:t>
      </w:r>
      <w:r>
        <w:rPr>
          <w:rFonts w:hint="default" w:ascii="Times New Roman" w:hAnsi="Times New Roman" w:cs="Times New Roman"/>
        </w:rPr>
        <w:t xml:space="preserve"> inverts between datasets. On NASA the tree ensembles were mid-to-poor transferrers and </w:t>
      </w:r>
      <w:r>
        <w:rPr>
          <w:rStyle w:val="48"/>
          <w:rFonts w:hint="default" w:ascii="Times New Roman" w:hAnsi="Times New Roman" w:cs="Times New Roman"/>
        </w:rPr>
        <w:t>elasticnet</w:t>
      </w:r>
      <w:r>
        <w:rPr>
          <w:rFonts w:hint="default" w:ascii="Times New Roman" w:hAnsi="Times New Roman" w:cs="Times New Roman"/>
        </w:rPr>
        <w:t xml:space="preserve"> was strong; here the three tree ensembles take the top LOCO positions and </w:t>
      </w:r>
      <w:r>
        <w:rPr>
          <w:rStyle w:val="48"/>
          <w:rFonts w:hint="default" w:ascii="Times New Roman" w:hAnsi="Times New Roman" w:cs="Times New Roman"/>
        </w:rPr>
        <w:t>elasticnet</w:t>
      </w:r>
      <w:r>
        <w:rPr>
          <w:rFonts w:hint="default" w:ascii="Times New Roman" w:hAnsi="Times New Roman" w:cs="Times New Roman"/>
        </w:rPr>
        <w:t xml:space="preserve"> is barely better than the training mean. The reason is visible in its LOBO score of 0.131: with only electrical features and a strongly nonlinear relationship to state of health, a penalised linear model cannot fit the data even in sample.</w:t>
      </w:r>
    </w:p>
    <w:p w14:paraId="05D873CD">
      <w:pPr>
        <w:pStyle w:val="3"/>
        <w:rPr>
          <w:rFonts w:hint="default" w:ascii="Times New Roman" w:hAnsi="Times New Roman" w:cs="Times New Roman"/>
        </w:rPr>
      </w:pPr>
      <w:r>
        <w:rPr>
          <w:rFonts w:hint="default" w:ascii="Times New Roman" w:hAnsi="Times New Roman" w:cs="Times New Roman"/>
        </w:rPr>
        <w:t>By this point five separate ranking claims had been made and withdrawn. Section 4.14 reports the experiment built to find out why.</w:t>
      </w:r>
    </w:p>
    <w:p w14:paraId="05210C05">
      <w:pPr>
        <w:pStyle w:val="3"/>
        <w:rPr>
          <w:rFonts w:hint="default" w:ascii="Times New Roman" w:hAnsi="Times New Roman" w:cs="Times New Roman"/>
        </w:rPr>
      </w:pPr>
      <w:r>
        <w:rPr>
          <w:rFonts w:hint="default" w:ascii="Times New Roman" w:hAnsi="Times New Roman" w:cs="Times New Roman"/>
          <w:b/>
          <w:bCs/>
        </w:rPr>
        <w:t>Both Arrhenius variants report ERROR rather than a score</w:t>
      </w:r>
      <w:r>
        <w:rPr>
          <w:rFonts w:hint="default" w:ascii="Times New Roman" w:hAnsi="Times New Roman" w:cs="Times New Roman"/>
        </w:rPr>
        <w:t>, because CALCE records no temperature channel at all â€” surfaced by the harness rather than silently scored against a quantity the model does not use.</w:t>
      </w:r>
    </w:p>
    <w:p w14:paraId="35232DAD">
      <w:pPr>
        <w:pStyle w:val="3"/>
        <w:rPr>
          <w:rFonts w:hint="default" w:ascii="Times New Roman" w:hAnsi="Times New Roman" w:cs="Times New Roman"/>
        </w:rPr>
      </w:pPr>
      <w:r>
        <w:rPr>
          <w:rFonts w:hint="default" w:ascii="Times New Roman" w:hAnsi="Times New Roman" w:cs="Times New Roman"/>
          <w:b/>
          <w:bCs/>
        </w:rPr>
        <w:t>Caveat on three of the five cohorts.</w:t>
      </w:r>
      <w:r>
        <w:rPr>
          <w:rFonts w:hint="default" w:ascii="Times New Roman" w:hAnsi="Times New Roman" w:cs="Times New Roman"/>
        </w:rPr>
        <w:t xml:space="preserve"> </w:t>
      </w:r>
      <w:r>
        <w:rPr>
          <w:rStyle w:val="48"/>
          <w:rFonts w:hint="default" w:ascii="Times New Roman" w:hAnsi="Times New Roman" w:cs="Times New Roman"/>
        </w:rPr>
        <w:t>Cycle_Index</w:t>
      </w:r>
      <w:r>
        <w:rPr>
          <w:rFonts w:hint="default" w:ascii="Times New Roman" w:hAnsi="Times New Roman" w:cs="Times New Roman"/>
        </w:rPr>
        <w:t xml:space="preserve"> equals one full discharge only for Types 1 and 2. Types 5 and 6 cycle partially by design, so their SOH is measured against a partial-cycle reference of ~0.26â€“0.42 Ah; that tracks relative fade but is not absolute state of health. Type 3 is excluded outright by the screen. Recovering absolute SOH there needs full-discharge segment detection of the kind </w:t>
      </w:r>
      <w:r>
        <w:rPr>
          <w:rStyle w:val="48"/>
          <w:rFonts w:hint="default" w:ascii="Times New Roman" w:hAnsi="Times New Roman" w:cs="Times New Roman"/>
        </w:rPr>
        <w:t>telemetry/cycles.py</w:t>
      </w:r>
      <w:r>
        <w:rPr>
          <w:rFonts w:hint="default" w:ascii="Times New Roman" w:hAnsi="Times New Roman" w:cs="Times New Roman"/>
        </w:rPr>
        <w:t xml:space="preserve"> already performs for CAN logs. Full detail in ADR 0009.</w:t>
      </w:r>
    </w:p>
    <w:p w14:paraId="201E4EA6">
      <w:pPr>
        <w:pStyle w:val="3"/>
        <w:rPr>
          <w:rFonts w:hint="default" w:ascii="Times New Roman" w:hAnsi="Times New Roman" w:cs="Times New Roman"/>
        </w:rPr>
      </w:pPr>
      <w:r>
        <w:rPr>
          <w:rFonts w:hint="default" w:ascii="Times New Roman" w:hAnsi="Times New Roman" w:cs="Times New Roman"/>
          <w:b/>
          <w:bCs/>
        </w:rPr>
        <w:t xml:space="preserve">On the </w:t>
      </w:r>
      <w:r>
        <w:rPr>
          <w:rStyle w:val="48"/>
          <w:rFonts w:hint="default" w:ascii="Times New Roman" w:hAnsi="Times New Roman" w:cs="Times New Roman"/>
          <w:b/>
          <w:bCs/>
        </w:rPr>
        <w:t>&lt;3%</w:t>
      </w:r>
      <w:r>
        <w:rPr>
          <w:rFonts w:hint="default" w:ascii="Times New Roman" w:hAnsi="Times New Roman" w:cs="Times New Roman"/>
          <w:b/>
          <w:bCs/>
        </w:rPr>
        <w:t xml:space="preserve"> target.</w:t>
      </w:r>
      <w:r>
        <w:rPr>
          <w:rFonts w:hint="default" w:ascii="Times New Roman" w:hAnsi="Times New Roman" w:cs="Times New Roman"/>
        </w:rPr>
        <w:t xml:space="preserve"> </w:t>
      </w:r>
      <w:r>
        <w:rPr>
          <w:rStyle w:val="48"/>
          <w:rFonts w:hint="default" w:ascii="Times New Roman" w:hAnsi="Times New Roman" w:cs="Times New Roman"/>
        </w:rPr>
        <w:t>xgboost</w:t>
      </w:r>
      <w:r>
        <w:rPr>
          <w:rFonts w:hint="default" w:ascii="Times New Roman" w:hAnsi="Times New Roman" w:cs="Times New Roman"/>
        </w:rPr>
        <w:t xml:space="preserve"> reaches LOBO MAE </w:t>
      </w:r>
      <w:r>
        <w:rPr>
          <w:rFonts w:hint="default" w:ascii="Times New Roman" w:hAnsi="Times New Roman" w:cs="Times New Roman"/>
          <w:b/>
          <w:bCs/>
        </w:rPr>
        <w:t>3.97%</w:t>
      </w:r>
      <w:r>
        <w:rPr>
          <w:rFonts w:hint="default" w:ascii="Times New Roman" w:hAnsi="Times New Roman" w:cs="Times New Roman"/>
        </w:rPr>
        <w:t xml:space="preserve"> here â€” the lowest SOH error anywhere in this project, on its cleanest target. Still above 3%, and 15.89% on the honest split.</w:t>
      </w:r>
    </w:p>
    <w:bookmarkEnd w:id="24"/>
    <w:p w14:paraId="639196B8">
      <w:pPr>
        <w:pStyle w:val="5"/>
        <w:rPr>
          <w:rFonts w:hint="default" w:ascii="Times New Roman" w:hAnsi="Times New Roman" w:cs="Times New Roman"/>
        </w:rPr>
      </w:pPr>
      <w:bookmarkStart w:id="25" w:name="X2b0f3cd5e3323caa69b0bf28494c3b7fc31f1f0"/>
      <w:r>
        <w:rPr>
          <w:rFonts w:hint="default" w:ascii="Times New Roman" w:hAnsi="Times New Roman" w:cs="Times New Roman"/>
        </w:rPr>
        <w:t>4.14 Why the rankings kept reversing: the LOCO estimate is noisier than the effect (Level 6)</w:t>
      </w:r>
    </w:p>
    <w:p w14:paraId="41B5C0C7">
      <w:pPr>
        <w:pStyle w:val="23"/>
        <w:rPr>
          <w:rFonts w:hint="default" w:ascii="Times New Roman" w:hAnsi="Times New Roman" w:cs="Times New Roman"/>
        </w:rPr>
      </w:pPr>
      <w:r>
        <w:rPr>
          <w:rFonts w:hint="default" w:ascii="Times New Roman" w:hAnsi="Times New Roman" w:cs="Times New Roman"/>
        </w:rPr>
        <w:t xml:space="preserve">Sections 4.12 and 4.13 produced two incompatible method orderings, and five ranking claims had been withdrawn by that point. A hypothesis was proposed: that the LOBO-to-LOCO gap is a property of </w:t>
      </w:r>
      <w:r>
        <w:rPr>
          <w:rFonts w:hint="default" w:ascii="Times New Roman" w:hAnsi="Times New Roman" w:cs="Times New Roman"/>
          <w:b/>
          <w:bCs/>
        </w:rPr>
        <w:t>cohort coverage</w:t>
      </w:r>
      <w:r>
        <w:rPr>
          <w:rFonts w:hint="default" w:ascii="Times New Roman" w:hAnsi="Times New Roman" w:cs="Times New Roman"/>
        </w:rPr>
        <w:t xml:space="preserve"> rather than of the method, because a held-out protocol is barely unseen when eight others remain in training. It was intended as this project’s central claim.</w:t>
      </w:r>
    </w:p>
    <w:p w14:paraId="3F85FD15">
      <w:pPr>
        <w:pStyle w:val="3"/>
        <w:rPr>
          <w:rFonts w:hint="default" w:ascii="Times New Roman" w:hAnsi="Times New Roman" w:cs="Times New Roman"/>
        </w:rPr>
      </w:pPr>
      <w:r>
        <w:rPr>
          <w:rStyle w:val="48"/>
          <w:rFonts w:hint="default" w:ascii="Times New Roman" w:hAnsi="Times New Roman" w:cs="Times New Roman"/>
        </w:rPr>
        <w:t>scripts/run_coverage_sweep.py</w:t>
      </w:r>
      <w:r>
        <w:rPr>
          <w:rFonts w:hint="default" w:ascii="Times New Roman" w:hAnsi="Times New Roman" w:cs="Times New Roman"/>
        </w:rPr>
        <w:t xml:space="preserve"> tested it â€” 220 measurements, holding method, target, harness and features fixed and varying only the number of cohorts available, 12 random cohort subsets per level, NASA and CALCE swept separately.</w:t>
      </w:r>
    </w:p>
    <w:p w14:paraId="4558D749">
      <w:pPr>
        <w:pStyle w:val="3"/>
        <w:rPr>
          <w:rFonts w:hint="default" w:ascii="Times New Roman" w:hAnsi="Times New Roman" w:cs="Times New Roman"/>
        </w:rPr>
      </w:pPr>
      <w:r>
        <w:rPr>
          <w:rFonts w:hint="default" w:ascii="Times New Roman" w:hAnsi="Times New Roman" w:cs="Times New Roman"/>
        </w:rPr>
        <w:t xml:space="preserve">Two controls decided the outcome. Cohorts holding a single cell are excluded, because holding out such a cohort </w:t>
      </w:r>
      <w:r>
        <w:rPr>
          <w:rFonts w:hint="default" w:ascii="Times New Roman" w:hAnsi="Times New Roman" w:cs="Times New Roman"/>
          <w:i/>
          <w:iCs/>
        </w:rPr>
        <w:t>is</w:t>
      </w:r>
      <w:r>
        <w:rPr>
          <w:rFonts w:hint="default" w:ascii="Times New Roman" w:hAnsi="Times New Roman" w:cs="Times New Roman"/>
        </w:rPr>
        <w:t xml:space="preserve"> holding out a cell, so LOCO and LOBO become the same split and the gap is zero by construction â€” an earlier draft produced exactly that. And cell count is regressed out, because cohort count and cell count rise together.</w:t>
      </w:r>
    </w:p>
    <w:p w14:paraId="559117C9">
      <w:pPr>
        <w:pStyle w:val="3"/>
        <w:rPr>
          <w:rFonts w:hint="default" w:ascii="Times New Roman" w:hAnsi="Times New Roman" w:cs="Times New Roman"/>
        </w:rPr>
      </w:pPr>
      <w:r>
        <w:rPr>
          <w:rFonts w:hint="default" w:ascii="Times New Roman" w:hAnsi="Times New Roman" w:cs="Times New Roman"/>
          <w:b/>
          <w:bCs/>
        </w:rPr>
        <w:t>The hypothesis is refuted.</w:t>
      </w:r>
    </w:p>
    <w:tbl>
      <w:tblPr>
        <w:tblStyle w:val="41"/>
        <w:tblW w:w="5000" w:type="pct"/>
        <w:tblInd w:w="0" w:type="dxa"/>
        <w:tblLayout w:type="fixed"/>
        <w:tblCellMar>
          <w:top w:w="0" w:type="dxa"/>
          <w:left w:w="108" w:type="dxa"/>
          <w:bottom w:w="0" w:type="dxa"/>
          <w:right w:w="108" w:type="dxa"/>
        </w:tblCellMar>
      </w:tblPr>
      <w:tblGrid>
        <w:gridCol w:w="1398"/>
        <w:gridCol w:w="1864"/>
        <w:gridCol w:w="1864"/>
        <w:gridCol w:w="1864"/>
        <w:gridCol w:w="1864"/>
      </w:tblGrid>
      <w:tr w14:paraId="4AC5C150">
        <w:tblPrEx>
          <w:tblCellMar>
            <w:top w:w="0" w:type="dxa"/>
            <w:left w:w="108" w:type="dxa"/>
            <w:bottom w:w="0" w:type="dxa"/>
            <w:right w:w="108" w:type="dxa"/>
          </w:tblCellMar>
        </w:tblPrEx>
        <w:trPr>
          <w:tblHeader/>
        </w:trPr>
        <w:tc>
          <w:p w14:paraId="348C25D9">
            <w:pPr>
              <w:pStyle w:val="24"/>
              <w:rPr>
                <w:rFonts w:hint="default" w:ascii="Times New Roman" w:hAnsi="Times New Roman" w:cs="Times New Roman"/>
              </w:rPr>
            </w:pPr>
            <w:r>
              <w:rPr>
                <w:rFonts w:hint="default" w:ascii="Times New Roman" w:hAnsi="Times New Roman" w:cs="Times New Roman"/>
              </w:rPr>
              <w:t>Dataset</w:t>
            </w:r>
          </w:p>
        </w:tc>
        <w:tc>
          <w:p w14:paraId="78D881CA">
            <w:pPr>
              <w:pStyle w:val="24"/>
              <w:jc w:val="right"/>
              <w:rPr>
                <w:rFonts w:hint="default" w:ascii="Times New Roman" w:hAnsi="Times New Roman" w:cs="Times New Roman"/>
              </w:rPr>
            </w:pPr>
            <w:r>
              <w:rPr>
                <w:rFonts w:hint="default" w:ascii="Times New Roman" w:hAnsi="Times New Roman" w:cs="Times New Roman"/>
              </w:rPr>
              <w:t>n</w:t>
            </w:r>
          </w:p>
        </w:tc>
        <w:tc>
          <w:p w14:paraId="2E5898C3">
            <w:pPr>
              <w:pStyle w:val="24"/>
              <w:jc w:val="right"/>
              <w:rPr>
                <w:rFonts w:hint="default" w:ascii="Times New Roman" w:hAnsi="Times New Roman" w:cs="Times New Roman"/>
              </w:rPr>
            </w:pPr>
            <w:r>
              <w:rPr>
                <w:rFonts w:hint="default" w:ascii="Times New Roman" w:hAnsi="Times New Roman" w:cs="Times New Roman"/>
              </w:rPr>
              <w:t>Raw Ï(cohorts, gap)</w:t>
            </w:r>
          </w:p>
        </w:tc>
        <w:tc>
          <w:p w14:paraId="309D75E9">
            <w:pPr>
              <w:pStyle w:val="24"/>
              <w:jc w:val="right"/>
              <w:rPr>
                <w:rFonts w:hint="default" w:ascii="Times New Roman" w:hAnsi="Times New Roman" w:cs="Times New Roman"/>
              </w:rPr>
            </w:pPr>
            <w:r>
              <w:rPr>
                <w:rFonts w:hint="default" w:ascii="Times New Roman" w:hAnsi="Times New Roman" w:cs="Times New Roman"/>
              </w:rPr>
              <w:t>Adjusted for cell count</w:t>
            </w:r>
          </w:p>
        </w:tc>
        <w:tc>
          <w:p w14:paraId="24030CBB">
            <w:pPr>
              <w:pStyle w:val="24"/>
              <w:jc w:val="right"/>
              <w:rPr>
                <w:rFonts w:hint="default" w:ascii="Times New Roman" w:hAnsi="Times New Roman" w:cs="Times New Roman"/>
              </w:rPr>
            </w:pPr>
            <w:r>
              <w:rPr>
                <w:rFonts w:hint="default" w:ascii="Times New Roman" w:hAnsi="Times New Roman" w:cs="Times New Roman"/>
              </w:rPr>
              <w:t>Ï(cells, gap)</w:t>
            </w:r>
          </w:p>
        </w:tc>
      </w:tr>
      <w:tr w14:paraId="50F9815D">
        <w:tblPrEx>
          <w:tblCellMar>
            <w:top w:w="0" w:type="dxa"/>
            <w:left w:w="108" w:type="dxa"/>
            <w:bottom w:w="0" w:type="dxa"/>
            <w:right w:w="108" w:type="dxa"/>
          </w:tblCellMar>
        </w:tblPrEx>
        <w:tc>
          <w:p w14:paraId="56BA1AFF">
            <w:pPr>
              <w:pStyle w:val="24"/>
              <w:rPr>
                <w:rFonts w:hint="default" w:ascii="Times New Roman" w:hAnsi="Times New Roman" w:cs="Times New Roman"/>
              </w:rPr>
            </w:pPr>
            <w:r>
              <w:rPr>
                <w:rFonts w:hint="default" w:ascii="Times New Roman" w:hAnsi="Times New Roman" w:cs="Times New Roman"/>
              </w:rPr>
              <w:t>NASA</w:t>
            </w:r>
          </w:p>
        </w:tc>
        <w:tc>
          <w:p w14:paraId="1E5F4562">
            <w:pPr>
              <w:pStyle w:val="24"/>
              <w:jc w:val="right"/>
              <w:rPr>
                <w:rFonts w:hint="default" w:ascii="Times New Roman" w:hAnsi="Times New Roman" w:cs="Times New Roman"/>
              </w:rPr>
            </w:pPr>
            <w:r>
              <w:rPr>
                <w:rFonts w:hint="default" w:ascii="Times New Roman" w:hAnsi="Times New Roman" w:cs="Times New Roman"/>
              </w:rPr>
              <w:t>146</w:t>
            </w:r>
          </w:p>
        </w:tc>
        <w:tc>
          <w:p w14:paraId="6E91AE3C">
            <w:pPr>
              <w:pStyle w:val="24"/>
              <w:jc w:val="right"/>
              <w:rPr>
                <w:rFonts w:hint="default" w:ascii="Times New Roman" w:hAnsi="Times New Roman" w:cs="Times New Roman"/>
              </w:rPr>
            </w:pPr>
            <w:r>
              <w:rPr>
                <w:rFonts w:hint="default" w:ascii="Times New Roman" w:hAnsi="Times New Roman" w:cs="Times New Roman"/>
              </w:rPr>
              <w:t>âˆ’0.029 (p = 0.73)</w:t>
            </w:r>
          </w:p>
        </w:tc>
        <w:tc>
          <w:p w14:paraId="37F2C844">
            <w:pPr>
              <w:pStyle w:val="24"/>
              <w:jc w:val="right"/>
              <w:rPr>
                <w:rFonts w:hint="default" w:ascii="Times New Roman" w:hAnsi="Times New Roman" w:cs="Times New Roman"/>
              </w:rPr>
            </w:pPr>
            <w:r>
              <w:rPr>
                <w:rFonts w:hint="default" w:ascii="Times New Roman" w:hAnsi="Times New Roman" w:cs="Times New Roman"/>
              </w:rPr>
              <w:t>+0.007 (p = 0.94)</w:t>
            </w:r>
          </w:p>
        </w:tc>
        <w:tc>
          <w:p w14:paraId="084AA87E">
            <w:pPr>
              <w:pStyle w:val="24"/>
              <w:jc w:val="right"/>
              <w:rPr>
                <w:rFonts w:hint="default" w:ascii="Times New Roman" w:hAnsi="Times New Roman" w:cs="Times New Roman"/>
              </w:rPr>
            </w:pPr>
            <w:r>
              <w:rPr>
                <w:rFonts w:hint="default" w:ascii="Times New Roman" w:hAnsi="Times New Roman" w:cs="Times New Roman"/>
              </w:rPr>
              <w:t>âˆ’0.031</w:t>
            </w:r>
          </w:p>
        </w:tc>
      </w:tr>
      <w:tr w14:paraId="563DE4D3">
        <w:tblPrEx>
          <w:tblCellMar>
            <w:top w:w="0" w:type="dxa"/>
            <w:left w:w="108" w:type="dxa"/>
            <w:bottom w:w="0" w:type="dxa"/>
            <w:right w:w="108" w:type="dxa"/>
          </w:tblCellMar>
        </w:tblPrEx>
        <w:tc>
          <w:p w14:paraId="6BEE294F">
            <w:pPr>
              <w:pStyle w:val="24"/>
              <w:rPr>
                <w:rFonts w:hint="default" w:ascii="Times New Roman" w:hAnsi="Times New Roman" w:cs="Times New Roman"/>
              </w:rPr>
            </w:pPr>
            <w:r>
              <w:rPr>
                <w:rFonts w:hint="default" w:ascii="Times New Roman" w:hAnsi="Times New Roman" w:cs="Times New Roman"/>
              </w:rPr>
              <w:t>CALCE</w:t>
            </w:r>
          </w:p>
        </w:tc>
        <w:tc>
          <w:p w14:paraId="1D92602B">
            <w:pPr>
              <w:pStyle w:val="24"/>
              <w:jc w:val="right"/>
              <w:rPr>
                <w:rFonts w:hint="default" w:ascii="Times New Roman" w:hAnsi="Times New Roman" w:cs="Times New Roman"/>
              </w:rPr>
            </w:pPr>
            <w:r>
              <w:rPr>
                <w:rFonts w:hint="default" w:ascii="Times New Roman" w:hAnsi="Times New Roman" w:cs="Times New Roman"/>
              </w:rPr>
              <w:t>74</w:t>
            </w:r>
          </w:p>
        </w:tc>
        <w:tc>
          <w:p w14:paraId="1F0C96B9">
            <w:pPr>
              <w:pStyle w:val="24"/>
              <w:jc w:val="right"/>
              <w:rPr>
                <w:rFonts w:hint="default" w:ascii="Times New Roman" w:hAnsi="Times New Roman" w:cs="Times New Roman"/>
              </w:rPr>
            </w:pPr>
            <w:r>
              <w:rPr>
                <w:rFonts w:hint="default" w:ascii="Times New Roman" w:hAnsi="Times New Roman" w:cs="Times New Roman"/>
                <w:b/>
                <w:bCs/>
              </w:rPr>
              <w:t>+0.257 (p = 0.027)</w:t>
            </w:r>
          </w:p>
        </w:tc>
        <w:tc>
          <w:p w14:paraId="6C4E3290">
            <w:pPr>
              <w:pStyle w:val="24"/>
              <w:jc w:val="right"/>
              <w:rPr>
                <w:rFonts w:hint="default" w:ascii="Times New Roman" w:hAnsi="Times New Roman" w:cs="Times New Roman"/>
              </w:rPr>
            </w:pPr>
            <w:r>
              <w:rPr>
                <w:rFonts w:hint="default" w:ascii="Times New Roman" w:hAnsi="Times New Roman" w:cs="Times New Roman"/>
                <w:b/>
                <w:bCs/>
              </w:rPr>
              <w:t>+0.024 (p = 0.84)</w:t>
            </w:r>
          </w:p>
        </w:tc>
        <w:tc>
          <w:p w14:paraId="5126F966">
            <w:pPr>
              <w:pStyle w:val="24"/>
              <w:jc w:val="right"/>
              <w:rPr>
                <w:rFonts w:hint="default" w:ascii="Times New Roman" w:hAnsi="Times New Roman" w:cs="Times New Roman"/>
              </w:rPr>
            </w:pPr>
            <w:r>
              <w:rPr>
                <w:rFonts w:hint="default" w:ascii="Times New Roman" w:hAnsi="Times New Roman" w:cs="Times New Roman"/>
              </w:rPr>
              <w:t>+0.272</w:t>
            </w:r>
          </w:p>
        </w:tc>
      </w:tr>
      <w:tr w14:paraId="6241594A">
        <w:tblPrEx>
          <w:tblCellMar>
            <w:top w:w="0" w:type="dxa"/>
            <w:left w:w="108" w:type="dxa"/>
            <w:bottom w:w="0" w:type="dxa"/>
            <w:right w:w="108" w:type="dxa"/>
          </w:tblCellMar>
        </w:tblPrEx>
        <w:tc>
          <w:p w14:paraId="073E322B">
            <w:pPr>
              <w:pStyle w:val="24"/>
              <w:rPr>
                <w:rFonts w:hint="default" w:ascii="Times New Roman" w:hAnsi="Times New Roman" w:cs="Times New Roman"/>
              </w:rPr>
            </w:pPr>
            <w:r>
              <w:rPr>
                <w:rFonts w:hint="default" w:ascii="Times New Roman" w:hAnsi="Times New Roman" w:cs="Times New Roman"/>
              </w:rPr>
              <w:t>Pooled</w:t>
            </w:r>
          </w:p>
        </w:tc>
        <w:tc>
          <w:p w14:paraId="691352D6">
            <w:pPr>
              <w:pStyle w:val="24"/>
              <w:jc w:val="right"/>
              <w:rPr>
                <w:rFonts w:hint="default" w:ascii="Times New Roman" w:hAnsi="Times New Roman" w:cs="Times New Roman"/>
              </w:rPr>
            </w:pPr>
            <w:r>
              <w:rPr>
                <w:rFonts w:hint="default" w:ascii="Times New Roman" w:hAnsi="Times New Roman" w:cs="Times New Roman"/>
              </w:rPr>
              <w:t>220</w:t>
            </w:r>
          </w:p>
        </w:tc>
        <w:tc>
          <w:p w14:paraId="645A941F">
            <w:pPr>
              <w:pStyle w:val="24"/>
              <w:jc w:val="right"/>
              <w:rPr>
                <w:rFonts w:hint="default" w:ascii="Times New Roman" w:hAnsi="Times New Roman" w:cs="Times New Roman"/>
              </w:rPr>
            </w:pPr>
            <w:r>
              <w:rPr>
                <w:rFonts w:hint="default" w:ascii="Times New Roman" w:hAnsi="Times New Roman" w:cs="Times New Roman"/>
              </w:rPr>
              <w:t>+0.034 (p = 0.62)</w:t>
            </w:r>
          </w:p>
        </w:tc>
        <w:tc>
          <w:p w14:paraId="2855757D">
            <w:pPr>
              <w:pStyle w:val="24"/>
              <w:jc w:val="right"/>
              <w:rPr>
                <w:rFonts w:hint="default" w:ascii="Times New Roman" w:hAnsi="Times New Roman" w:cs="Times New Roman"/>
              </w:rPr>
            </w:pPr>
            <w:r>
              <w:rPr>
                <w:rFonts w:hint="default" w:ascii="Times New Roman" w:hAnsi="Times New Roman" w:cs="Times New Roman"/>
              </w:rPr>
              <w:t>+0.025 (p = 0.71)</w:t>
            </w:r>
          </w:p>
        </w:tc>
        <w:tc>
          <w:p w14:paraId="3895A6FE">
            <w:pPr>
              <w:pStyle w:val="24"/>
              <w:jc w:val="right"/>
              <w:rPr>
                <w:rFonts w:hint="default" w:ascii="Times New Roman" w:hAnsi="Times New Roman" w:cs="Times New Roman"/>
              </w:rPr>
            </w:pPr>
            <w:r>
              <w:rPr>
                <w:rFonts w:hint="default" w:ascii="Times New Roman" w:hAnsi="Times New Roman" w:cs="Times New Roman"/>
              </w:rPr>
              <w:t>+0.028</w:t>
            </w:r>
          </w:p>
        </w:tc>
      </w:tr>
    </w:tbl>
    <w:p w14:paraId="62F3DCCD">
      <w:pPr>
        <w:pStyle w:val="3"/>
        <w:rPr>
          <w:rFonts w:hint="default" w:ascii="Times New Roman" w:hAnsi="Times New Roman" w:cs="Times New Roman"/>
        </w:rPr>
      </w:pPr>
      <w:r>
        <w:rPr>
          <w:rFonts w:hint="default" w:ascii="Times New Roman" w:hAnsi="Times New Roman" w:cs="Times New Roman"/>
        </w:rPr>
        <w:t xml:space="preserve">NASA shows nothing at all. CALCE’s raw correlation is significant and its medians look convincingly monotone (âˆ’0.668, âˆ’0.347, âˆ’0.206, âˆ’0.125), and presented alone it reads as clean confirmation â€” but adjusted for cell count it collapses to +0.024, and the gap’s correlation with cell count alone (+0.272) accounts for essentially all of it. The apparent coverage effect is a training-set-size effect. </w:t>
      </w:r>
      <w:r>
        <w:rPr>
          <w:rFonts w:hint="default" w:ascii="Times New Roman" w:hAnsi="Times New Roman" w:cs="Times New Roman"/>
          <w:b/>
          <w:bCs/>
        </w:rPr>
        <w:t>Without the partial-correlation control this section would have reported the hypothesis as confirmed.</w:t>
      </w:r>
    </w:p>
    <w:p w14:paraId="1C4A0E70">
      <w:pPr>
        <w:pStyle w:val="3"/>
        <w:rPr>
          <w:rFonts w:hint="default" w:ascii="Times New Roman" w:hAnsi="Times New Roman" w:cs="Times New Roman"/>
        </w:rPr>
      </w:pPr>
      <w:r>
        <w:rPr>
          <w:rFonts w:hint="default" w:ascii="Times New Roman" w:hAnsi="Times New Roman" w:cs="Times New Roman"/>
          <w:b/>
          <w:bCs/>
        </w:rPr>
        <w:t>What does explain the reversals</w:t>
      </w:r>
      <w:r>
        <w:rPr>
          <w:rFonts w:hint="default" w:ascii="Times New Roman" w:hAnsi="Times New Roman" w:cs="Times New Roman"/>
        </w:rPr>
        <w:t xml:space="preserve"> is visible in the spread. At a fixed coverage level, across 24 draws differing only in which cohorts were chosen:</w:t>
      </w:r>
    </w:p>
    <w:tbl>
      <w:tblPr>
        <w:tblStyle w:val="41"/>
        <w:tblW w:w="5000" w:type="pct"/>
        <w:tblInd w:w="0" w:type="dxa"/>
        <w:tblLayout w:type="fixed"/>
        <w:tblCellMar>
          <w:top w:w="0" w:type="dxa"/>
          <w:left w:w="108" w:type="dxa"/>
          <w:bottom w:w="0" w:type="dxa"/>
          <w:right w:w="108" w:type="dxa"/>
        </w:tblCellMar>
      </w:tblPr>
      <w:tblGrid>
        <w:gridCol w:w="3796"/>
        <w:gridCol w:w="5060"/>
      </w:tblGrid>
      <w:tr w14:paraId="596BC79B">
        <w:tblPrEx>
          <w:tblCellMar>
            <w:top w:w="0" w:type="dxa"/>
            <w:left w:w="108" w:type="dxa"/>
            <w:bottom w:w="0" w:type="dxa"/>
            <w:right w:w="108" w:type="dxa"/>
          </w:tblCellMar>
        </w:tblPrEx>
        <w:trPr>
          <w:tblHeader/>
        </w:trPr>
        <w:tc>
          <w:p w14:paraId="79601BE1">
            <w:pPr>
              <w:pStyle w:val="24"/>
              <w:rPr>
                <w:rFonts w:hint="default" w:ascii="Times New Roman" w:hAnsi="Times New Roman" w:cs="Times New Roman"/>
              </w:rPr>
            </w:pPr>
          </w:p>
        </w:tc>
        <w:tc>
          <w:p w14:paraId="5329DEBD">
            <w:pPr>
              <w:pStyle w:val="24"/>
              <w:jc w:val="right"/>
              <w:rPr>
                <w:rFonts w:hint="default" w:ascii="Times New Roman" w:hAnsi="Times New Roman" w:cs="Times New Roman"/>
              </w:rPr>
            </w:pPr>
            <w:r>
              <w:rPr>
                <w:rFonts w:hint="default" w:ascii="Times New Roman" w:hAnsi="Times New Roman" w:cs="Times New Roman"/>
              </w:rPr>
              <w:t>Value</w:t>
            </w:r>
          </w:p>
        </w:tc>
      </w:tr>
      <w:tr w14:paraId="56173DD6">
        <w:tblPrEx>
          <w:tblCellMar>
            <w:top w:w="0" w:type="dxa"/>
            <w:left w:w="108" w:type="dxa"/>
            <w:bottom w:w="0" w:type="dxa"/>
            <w:right w:w="108" w:type="dxa"/>
          </w:tblCellMar>
        </w:tblPrEx>
        <w:tc>
          <w:p w14:paraId="75E61F71">
            <w:pPr>
              <w:pStyle w:val="24"/>
              <w:rPr>
                <w:rFonts w:hint="default" w:ascii="Times New Roman" w:hAnsi="Times New Roman" w:cs="Times New Roman"/>
              </w:rPr>
            </w:pPr>
            <w:r>
              <w:rPr>
                <w:rFonts w:hint="default" w:ascii="Times New Roman" w:hAnsi="Times New Roman" w:cs="Times New Roman"/>
              </w:rPr>
              <w:t>Median within-level IQR of the LOCO gap</w:t>
            </w:r>
          </w:p>
        </w:tc>
        <w:tc>
          <w:p w14:paraId="3B4FA30D">
            <w:pPr>
              <w:pStyle w:val="24"/>
              <w:jc w:val="right"/>
              <w:rPr>
                <w:rFonts w:hint="default" w:ascii="Times New Roman" w:hAnsi="Times New Roman" w:cs="Times New Roman"/>
              </w:rPr>
            </w:pPr>
            <w:r>
              <w:rPr>
                <w:rFonts w:hint="default" w:ascii="Times New Roman" w:hAnsi="Times New Roman" w:cs="Times New Roman"/>
                <w:b/>
                <w:bCs/>
              </w:rPr>
              <w:t>0.724 RÂ²</w:t>
            </w:r>
          </w:p>
        </w:tc>
      </w:tr>
      <w:tr w14:paraId="45D21250">
        <w:tblPrEx>
          <w:tblCellMar>
            <w:top w:w="0" w:type="dxa"/>
            <w:left w:w="108" w:type="dxa"/>
            <w:bottom w:w="0" w:type="dxa"/>
            <w:right w:w="108" w:type="dxa"/>
          </w:tblCellMar>
        </w:tblPrEx>
        <w:tc>
          <w:p w14:paraId="53559CC0">
            <w:pPr>
              <w:pStyle w:val="24"/>
              <w:rPr>
                <w:rFonts w:hint="default" w:ascii="Times New Roman" w:hAnsi="Times New Roman" w:cs="Times New Roman"/>
              </w:rPr>
            </w:pPr>
            <w:r>
              <w:rPr>
                <w:rFonts w:hint="default" w:ascii="Times New Roman" w:hAnsi="Times New Roman" w:cs="Times New Roman"/>
              </w:rPr>
              <w:t xml:space="preserve">Median </w:t>
            </w:r>
            <w:r>
              <w:rPr>
                <w:rStyle w:val="48"/>
                <w:rFonts w:hint="default" w:ascii="Times New Roman" w:hAnsi="Times New Roman" w:cs="Times New Roman"/>
              </w:rPr>
              <w:t>svr_rbf</w:t>
            </w:r>
            <w:r>
              <w:rPr>
                <w:rFonts w:hint="default" w:ascii="Times New Roman" w:hAnsi="Times New Roman" w:cs="Times New Roman"/>
              </w:rPr>
              <w:t xml:space="preserve"> âˆ’ </w:t>
            </w:r>
            <w:r>
              <w:rPr>
                <w:rStyle w:val="48"/>
                <w:rFonts w:hint="default" w:ascii="Times New Roman" w:hAnsi="Times New Roman" w:cs="Times New Roman"/>
              </w:rPr>
              <w:t>age_linear</w:t>
            </w:r>
            <w:r>
              <w:rPr>
                <w:rFonts w:hint="default" w:ascii="Times New Roman" w:hAnsi="Times New Roman" w:cs="Times New Roman"/>
              </w:rPr>
              <w:t>, paired on identical subframes</w:t>
            </w:r>
          </w:p>
        </w:tc>
        <w:tc>
          <w:p w14:paraId="32039934">
            <w:pPr>
              <w:pStyle w:val="24"/>
              <w:jc w:val="right"/>
              <w:rPr>
                <w:rFonts w:hint="default" w:ascii="Times New Roman" w:hAnsi="Times New Roman" w:cs="Times New Roman"/>
              </w:rPr>
            </w:pPr>
            <w:r>
              <w:rPr>
                <w:rFonts w:hint="default" w:ascii="Times New Roman" w:hAnsi="Times New Roman" w:cs="Times New Roman"/>
                <w:b/>
                <w:bCs/>
              </w:rPr>
              <w:t>âˆ’0.351 RÂ²</w:t>
            </w:r>
          </w:p>
        </w:tc>
      </w:tr>
      <w:tr w14:paraId="5AD058F1">
        <w:tblPrEx>
          <w:tblCellMar>
            <w:top w:w="0" w:type="dxa"/>
            <w:left w:w="108" w:type="dxa"/>
            <w:bottom w:w="0" w:type="dxa"/>
            <w:right w:w="108" w:type="dxa"/>
          </w:tblCellMar>
        </w:tblPrEx>
        <w:tc>
          <w:p w14:paraId="48E54520">
            <w:pPr>
              <w:pStyle w:val="24"/>
              <w:rPr>
                <w:rFonts w:hint="default" w:ascii="Times New Roman" w:hAnsi="Times New Roman" w:cs="Times New Roman"/>
              </w:rPr>
            </w:pPr>
            <w:r>
              <w:rPr>
                <w:rFonts w:hint="default" w:ascii="Times New Roman" w:hAnsi="Times New Roman" w:cs="Times New Roman"/>
              </w:rPr>
              <w:t>IQR of that paired difference</w:t>
            </w:r>
          </w:p>
        </w:tc>
        <w:tc>
          <w:p w14:paraId="25BDCBCB">
            <w:pPr>
              <w:pStyle w:val="24"/>
              <w:jc w:val="right"/>
              <w:rPr>
                <w:rFonts w:hint="default" w:ascii="Times New Roman" w:hAnsi="Times New Roman" w:cs="Times New Roman"/>
              </w:rPr>
            </w:pPr>
            <w:r>
              <w:rPr>
                <w:rFonts w:hint="default" w:ascii="Times New Roman" w:hAnsi="Times New Roman" w:cs="Times New Roman"/>
              </w:rPr>
              <w:t>0.807 RÂ²</w:t>
            </w:r>
          </w:p>
        </w:tc>
      </w:tr>
      <w:tr w14:paraId="5E94B8E6">
        <w:tblPrEx>
          <w:tblCellMar>
            <w:top w:w="0" w:type="dxa"/>
            <w:left w:w="108" w:type="dxa"/>
            <w:bottom w:w="0" w:type="dxa"/>
            <w:right w:w="108" w:type="dxa"/>
          </w:tblCellMar>
        </w:tblPrEx>
        <w:tc>
          <w:p w14:paraId="4576F2A7">
            <w:pPr>
              <w:pStyle w:val="24"/>
              <w:rPr>
                <w:rFonts w:hint="default" w:ascii="Times New Roman" w:hAnsi="Times New Roman" w:cs="Times New Roman"/>
              </w:rPr>
            </w:pPr>
            <w:r>
              <w:rPr>
                <w:rFonts w:hint="default" w:ascii="Times New Roman" w:hAnsi="Times New Roman" w:cs="Times New Roman"/>
              </w:rPr>
              <w:t xml:space="preserve">Draws where </w:t>
            </w:r>
            <w:r>
              <w:rPr>
                <w:rStyle w:val="48"/>
                <w:rFonts w:hint="default" w:ascii="Times New Roman" w:hAnsi="Times New Roman" w:cs="Times New Roman"/>
              </w:rPr>
              <w:t>svr_rbf</w:t>
            </w:r>
            <w:r>
              <w:rPr>
                <w:rFonts w:hint="default" w:ascii="Times New Roman" w:hAnsi="Times New Roman" w:cs="Times New Roman"/>
              </w:rPr>
              <w:t xml:space="preserve"> beats </w:t>
            </w:r>
            <w:r>
              <w:rPr>
                <w:rStyle w:val="48"/>
                <w:rFonts w:hint="default" w:ascii="Times New Roman" w:hAnsi="Times New Roman" w:cs="Times New Roman"/>
              </w:rPr>
              <w:t>age_linear</w:t>
            </w:r>
          </w:p>
        </w:tc>
        <w:tc>
          <w:p w14:paraId="7598A972">
            <w:pPr>
              <w:pStyle w:val="24"/>
              <w:jc w:val="right"/>
              <w:rPr>
                <w:rFonts w:hint="default" w:ascii="Times New Roman" w:hAnsi="Times New Roman" w:cs="Times New Roman"/>
              </w:rPr>
            </w:pPr>
            <w:r>
              <w:rPr>
                <w:rFonts w:hint="default" w:ascii="Times New Roman" w:hAnsi="Times New Roman" w:cs="Times New Roman"/>
                <w:b/>
                <w:bCs/>
              </w:rPr>
              <w:t>25%</w:t>
            </w:r>
          </w:p>
        </w:tc>
      </w:tr>
    </w:tbl>
    <w:p w14:paraId="04609696">
      <w:pPr>
        <w:pStyle w:val="3"/>
        <w:rPr>
          <w:rFonts w:hint="default" w:ascii="Times New Roman" w:hAnsi="Times New Roman" w:cs="Times New Roman"/>
        </w:rPr>
      </w:pPr>
      <w:r>
        <w:rPr>
          <w:rFonts w:hint="default" w:ascii="Times New Roman" w:hAnsi="Times New Roman" w:cs="Times New Roman"/>
          <w:b/>
          <w:bCs/>
        </w:rPr>
        <w:t>The spread of the LOCO estimate between cohort draws is about twice the median difference between a nonlinear model and a straight line on cycle count.</w:t>
      </w:r>
      <w:r>
        <w:rPr>
          <w:rFonts w:hint="default" w:ascii="Times New Roman" w:hAnsi="Times New Roman" w:cs="Times New Roman"/>
        </w:rPr>
        <w:t xml:space="preserve"> The measurement noise exceeds the effect being measured, so a single LOCO run cannot resolve which method is better. Each of the five withdrawn claims was one draw from a distribution wider than the gaps it was being used to rank.</w:t>
      </w:r>
    </w:p>
    <w:p w14:paraId="42080D22">
      <w:pPr>
        <w:pStyle w:val="3"/>
        <w:rPr>
          <w:rFonts w:hint="default" w:ascii="Times New Roman" w:hAnsi="Times New Roman" w:cs="Times New Roman"/>
        </w:rPr>
      </w:pPr>
      <w:r>
        <w:rPr>
          <w:rFonts w:hint="default" w:ascii="Times New Roman" w:hAnsi="Times New Roman" w:cs="Times New Roman"/>
        </w:rPr>
        <w:t xml:space="preserve">The paired comparison is worth stating separately: on identical subframes the nonlinear model </w:t>
      </w:r>
      <w:r>
        <w:rPr>
          <w:rFonts w:hint="default" w:ascii="Times New Roman" w:hAnsi="Times New Roman" w:cs="Times New Roman"/>
          <w:i/>
          <w:iCs/>
        </w:rPr>
        <w:t>loses</w:t>
      </w:r>
      <w:r>
        <w:rPr>
          <w:rFonts w:hint="default" w:ascii="Times New Roman" w:hAnsi="Times New Roman" w:cs="Times New Roman"/>
        </w:rPr>
        <w:t xml:space="preserve"> to the age baseline in three draws out of four. The full-frame runs where flexible models “won” were draw-specific outcomes.</w:t>
      </w:r>
    </w:p>
    <w:p w14:paraId="0FFB7C93">
      <w:pPr>
        <w:pStyle w:val="3"/>
        <w:rPr>
          <w:rFonts w:hint="default" w:ascii="Times New Roman" w:hAnsi="Times New Roman" w:cs="Times New Roman"/>
        </w:rPr>
      </w:pPr>
      <w:r>
        <w:rPr>
          <w:rFonts w:hint="default" w:ascii="Times New Roman" w:hAnsi="Times New Roman" w:cs="Times New Roman"/>
          <w:b/>
          <w:bCs/>
        </w:rPr>
        <w:t>The conclusion this report should be read as supporting</w:t>
      </w:r>
      <w:r>
        <w:rPr>
          <w:rFonts w:hint="default" w:ascii="Times New Roman" w:hAnsi="Times New Roman" w:cs="Times New Roman"/>
        </w:rPr>
        <w:t xml:space="preserve"> is therefore methodological and narrower than the one it set out to make: </w:t>
      </w:r>
      <w:r>
        <w:rPr>
          <w:rFonts w:hint="default" w:ascii="Times New Roman" w:hAnsi="Times New Roman" w:cs="Times New Roman"/>
          <w:i/>
          <w:iCs/>
        </w:rPr>
        <w:t>at the sample sizes standard battery datasets provide, a single leave-one-cohort-out estimate cannot distinguish between candidate methods, and must be reported as an interval over cohort draws rather than a point estimate.</w:t>
      </w:r>
      <w:r>
        <w:rPr>
          <w:rFonts w:hint="default" w:ascii="Times New Roman" w:hAnsi="Times New Roman" w:cs="Times New Roman"/>
        </w:rPr>
        <w:t xml:space="preserve"> Full detail in ADR 0010.</w:t>
      </w:r>
    </w:p>
    <w:bookmarkEnd w:id="25"/>
    <w:p w14:paraId="00AE3CC9">
      <w:pPr>
        <w:pStyle w:val="5"/>
        <w:rPr>
          <w:rFonts w:hint="default" w:ascii="Times New Roman" w:hAnsi="Times New Roman" w:cs="Times New Roman"/>
        </w:rPr>
      </w:pPr>
      <w:bookmarkStart w:id="26" w:name="X49b795bb76e60d031e244afeddc886a08a7d3e4"/>
      <w:r>
        <w:rPr>
          <w:rFonts w:hint="default" w:ascii="Times New Roman" w:hAnsi="Times New Roman" w:cs="Times New Roman"/>
        </w:rPr>
        <w:t>4.15 Corrections since 2026-08-25 (ADR 0012, 0013, 0014)</w:t>
      </w:r>
    </w:p>
    <w:p w14:paraId="110DEAF5">
      <w:pPr>
        <w:pStyle w:val="23"/>
        <w:rPr>
          <w:rFonts w:hint="default" w:ascii="Times New Roman" w:hAnsi="Times New Roman" w:cs="Times New Roman"/>
        </w:rPr>
      </w:pPr>
      <w:r>
        <w:rPr>
          <w:rFonts w:hint="default" w:ascii="Times New Roman" w:hAnsi="Times New Roman" w:cs="Times New Roman"/>
        </w:rPr>
        <w:t>Three decision records were accepted after Section 4.14 was written. Each changes how an earlier section should be read; none of them retracts a number.</w:t>
      </w:r>
    </w:p>
    <w:p w14:paraId="4B8B0B2F">
      <w:pPr>
        <w:pStyle w:val="6"/>
        <w:rPr>
          <w:rFonts w:hint="default" w:ascii="Times New Roman" w:hAnsi="Times New Roman" w:cs="Times New Roman"/>
        </w:rPr>
      </w:pPr>
      <w:bookmarkStart w:id="27" w:name="X1a9cb31f4cf6db943ce018993c8a755347e59d2"/>
      <w:r>
        <w:rPr>
          <w:rFonts w:hint="default" w:ascii="Times New Roman" w:hAnsi="Times New Roman" w:cs="Times New Roman"/>
        </w:rPr>
        <w:t>4.15.1 The CALCE target derivation was wrong (ADR 0012)</w:t>
      </w:r>
    </w:p>
    <w:p w14:paraId="17AA152E">
      <w:pPr>
        <w:pStyle w:val="23"/>
        <w:rPr>
          <w:rFonts w:hint="default" w:ascii="Times New Roman" w:hAnsi="Times New Roman" w:cs="Times New Roman"/>
        </w:rPr>
      </w:pPr>
      <w:r>
        <w:rPr>
          <w:rFonts w:hint="default" w:ascii="Times New Roman" w:hAnsi="Times New Roman" w:cs="Times New Roman"/>
        </w:rPr>
        <w:t xml:space="preserve">Section 4.13 evaluates CALCE using the dataset’s own </w:t>
      </w:r>
      <w:r>
        <w:rPr>
          <w:rStyle w:val="48"/>
          <w:rFonts w:hint="default" w:ascii="Times New Roman" w:hAnsi="Times New Roman" w:cs="Times New Roman"/>
        </w:rPr>
        <w:t>Cycle_Index</w:t>
      </w:r>
      <w:r>
        <w:rPr>
          <w:rFonts w:hint="default" w:ascii="Times New Roman" w:hAnsi="Times New Roman" w:cs="Times New Roman"/>
        </w:rPr>
        <w:t xml:space="preserve"> column to delimit cycles. That derivation </w:t>
      </w:r>
      <w:r>
        <w:rPr>
          <w:rFonts w:hint="default" w:ascii="Times New Roman" w:hAnsi="Times New Roman" w:cs="Times New Roman"/>
          <w:b/>
          <w:bCs/>
        </w:rPr>
        <w:t>alternates between full and partial discharge capacities</w:t>
      </w:r>
      <w:r>
        <w:rPr>
          <w:rFonts w:hint="default" w:ascii="Times New Roman" w:hAnsi="Times New Roman" w:cs="Times New Roman"/>
        </w:rPr>
        <w:t>, so the resulting target is not a physical state-of-health trajectory but a measurement artifact of how the cycler indexed its records.</w:t>
      </w:r>
    </w:p>
    <w:p w14:paraId="6379086B">
      <w:pPr>
        <w:pStyle w:val="3"/>
        <w:rPr>
          <w:rFonts w:hint="default" w:ascii="Times New Roman" w:hAnsi="Times New Roman" w:cs="Times New Roman"/>
        </w:rPr>
      </w:pPr>
      <w:r>
        <w:rPr>
          <w:rFonts w:hint="default" w:ascii="Times New Roman" w:hAnsi="Times New Roman" w:cs="Times New Roman"/>
        </w:rPr>
        <w:t xml:space="preserve">Replacing it with full-discharge segmentation â€” detecting contiguous discharge runs from sample-level telemetry and grading each against the cell’s own voltage cutoff </w:t>
      </w:r>
      <w:r>
        <w:rPr>
          <w:rFonts w:hint="default" w:ascii="Times New Roman" w:hAnsi="Times New Roman" w:cs="Times New Roman"/>
          <w:i/>
          <w:iCs/>
        </w:rPr>
        <w:t>and</w:t>
      </w:r>
      <w:r>
        <w:rPr>
          <w:rFonts w:hint="default" w:ascii="Times New Roman" w:hAnsi="Times New Roman" w:cs="Times New Roman"/>
        </w:rPr>
        <w:t xml:space="preserve"> its charge capability â€” changes the frame substantially:</w:t>
      </w:r>
    </w:p>
    <w:tbl>
      <w:tblPr>
        <w:tblStyle w:val="41"/>
        <w:tblW w:w="0" w:type="auto"/>
        <w:tblInd w:w="0" w:type="dxa"/>
        <w:tblLayout w:type="autofit"/>
        <w:tblCellMar>
          <w:top w:w="0" w:type="dxa"/>
          <w:left w:w="108" w:type="dxa"/>
          <w:bottom w:w="0" w:type="dxa"/>
          <w:right w:w="108" w:type="dxa"/>
        </w:tblCellMar>
      </w:tblPr>
      <w:tblGrid>
        <w:gridCol w:w="2942"/>
        <w:gridCol w:w="1930"/>
        <w:gridCol w:w="2429"/>
      </w:tblGrid>
      <w:tr w14:paraId="2420D7D3">
        <w:tblPrEx>
          <w:tblCellMar>
            <w:top w:w="0" w:type="dxa"/>
            <w:left w:w="108" w:type="dxa"/>
            <w:bottom w:w="0" w:type="dxa"/>
            <w:right w:w="108" w:type="dxa"/>
          </w:tblCellMar>
        </w:tblPrEx>
        <w:trPr>
          <w:tblHeader/>
        </w:trPr>
        <w:tc>
          <w:p w14:paraId="587BEB08">
            <w:pPr>
              <w:pStyle w:val="24"/>
              <w:rPr>
                <w:rFonts w:hint="default" w:ascii="Times New Roman" w:hAnsi="Times New Roman" w:cs="Times New Roman"/>
              </w:rPr>
            </w:pPr>
          </w:p>
        </w:tc>
        <w:tc>
          <w:p w14:paraId="5A2BC4E9">
            <w:pPr>
              <w:pStyle w:val="24"/>
              <w:jc w:val="right"/>
              <w:rPr>
                <w:rFonts w:hint="default" w:ascii="Times New Roman" w:hAnsi="Times New Roman" w:cs="Times New Roman"/>
              </w:rPr>
            </w:pPr>
            <w:r>
              <w:rPr>
                <w:rFonts w:hint="default" w:ascii="Times New Roman" w:hAnsi="Times New Roman" w:cs="Times New Roman"/>
              </w:rPr>
              <w:t>Â§4.13 as written</w:t>
            </w:r>
          </w:p>
        </w:tc>
        <w:tc>
          <w:p w14:paraId="771AA5D6">
            <w:pPr>
              <w:pStyle w:val="24"/>
              <w:jc w:val="right"/>
              <w:rPr>
                <w:rFonts w:hint="default" w:ascii="Times New Roman" w:hAnsi="Times New Roman" w:cs="Times New Roman"/>
              </w:rPr>
            </w:pPr>
            <w:r>
              <w:rPr>
                <w:rFonts w:hint="default" w:ascii="Times New Roman" w:hAnsi="Times New Roman" w:cs="Times New Roman"/>
              </w:rPr>
              <w:t>Corrected (ADR 0012)</w:t>
            </w:r>
          </w:p>
        </w:tc>
      </w:tr>
      <w:tr w14:paraId="64065A1F">
        <w:tblPrEx>
          <w:tblCellMar>
            <w:top w:w="0" w:type="dxa"/>
            <w:left w:w="108" w:type="dxa"/>
            <w:bottom w:w="0" w:type="dxa"/>
            <w:right w:w="108" w:type="dxa"/>
          </w:tblCellMar>
        </w:tblPrEx>
        <w:tc>
          <w:p w14:paraId="0E089F3A">
            <w:pPr>
              <w:pStyle w:val="24"/>
              <w:rPr>
                <w:rFonts w:hint="default" w:ascii="Times New Roman" w:hAnsi="Times New Roman" w:cs="Times New Roman"/>
              </w:rPr>
            </w:pPr>
            <w:r>
              <w:rPr>
                <w:rFonts w:hint="default" w:ascii="Times New Roman" w:hAnsi="Times New Roman" w:cs="Times New Roman"/>
              </w:rPr>
              <w:t>Admitted cells</w:t>
            </w:r>
          </w:p>
        </w:tc>
        <w:tc>
          <w:p w14:paraId="46F7FABE">
            <w:pPr>
              <w:pStyle w:val="24"/>
              <w:jc w:val="right"/>
              <w:rPr>
                <w:rFonts w:hint="default" w:ascii="Times New Roman" w:hAnsi="Times New Roman" w:cs="Times New Roman"/>
              </w:rPr>
            </w:pPr>
            <w:r>
              <w:rPr>
                <w:rFonts w:hint="default" w:ascii="Times New Roman" w:hAnsi="Times New Roman" w:cs="Times New Roman"/>
              </w:rPr>
              <w:t>19 of 23</w:t>
            </w:r>
          </w:p>
        </w:tc>
        <w:tc>
          <w:p w14:paraId="52EC55FC">
            <w:pPr>
              <w:pStyle w:val="24"/>
              <w:jc w:val="right"/>
              <w:rPr>
                <w:rFonts w:hint="default" w:ascii="Times New Roman" w:hAnsi="Times New Roman" w:cs="Times New Roman"/>
              </w:rPr>
            </w:pPr>
            <w:r>
              <w:rPr>
                <w:rFonts w:hint="default" w:ascii="Times New Roman" w:hAnsi="Times New Roman" w:cs="Times New Roman"/>
                <w:b/>
                <w:bCs/>
              </w:rPr>
              <w:t>22 of 22</w:t>
            </w:r>
          </w:p>
        </w:tc>
      </w:tr>
      <w:tr w14:paraId="717F91EB">
        <w:tblPrEx>
          <w:tblCellMar>
            <w:top w:w="0" w:type="dxa"/>
            <w:left w:w="108" w:type="dxa"/>
            <w:bottom w:w="0" w:type="dxa"/>
            <w:right w:w="108" w:type="dxa"/>
          </w:tblCellMar>
        </w:tblPrEx>
        <w:tc>
          <w:p w14:paraId="1375994E">
            <w:pPr>
              <w:pStyle w:val="24"/>
              <w:rPr>
                <w:rFonts w:hint="default" w:ascii="Times New Roman" w:hAnsi="Times New Roman" w:cs="Times New Roman"/>
              </w:rPr>
            </w:pPr>
            <w:r>
              <w:rPr>
                <w:rFonts w:hint="default" w:ascii="Times New Roman" w:hAnsi="Times New Roman" w:cs="Times New Roman"/>
              </w:rPr>
              <w:t>Cohorts</w:t>
            </w:r>
          </w:p>
        </w:tc>
        <w:tc>
          <w:p w14:paraId="29FAB900">
            <w:pPr>
              <w:pStyle w:val="24"/>
              <w:jc w:val="right"/>
              <w:rPr>
                <w:rFonts w:hint="default" w:ascii="Times New Roman" w:hAnsi="Times New Roman" w:cs="Times New Roman"/>
              </w:rPr>
            </w:pPr>
            <w:r>
              <w:rPr>
                <w:rFonts w:hint="default" w:ascii="Times New Roman" w:hAnsi="Times New Roman" w:cs="Times New Roman"/>
              </w:rPr>
              <w:t>8</w:t>
            </w:r>
          </w:p>
        </w:tc>
        <w:tc>
          <w:p w14:paraId="4DE282FB">
            <w:pPr>
              <w:pStyle w:val="24"/>
              <w:jc w:val="right"/>
              <w:rPr>
                <w:rFonts w:hint="default" w:ascii="Times New Roman" w:hAnsi="Times New Roman" w:cs="Times New Roman"/>
              </w:rPr>
            </w:pPr>
            <w:r>
              <w:rPr>
                <w:rFonts w:hint="default" w:ascii="Times New Roman" w:hAnsi="Times New Roman" w:cs="Times New Roman"/>
                <w:b/>
                <w:bCs/>
              </w:rPr>
              <w:t>10</w:t>
            </w:r>
          </w:p>
        </w:tc>
      </w:tr>
      <w:tr w14:paraId="371D8288">
        <w:tblPrEx>
          <w:tblCellMar>
            <w:top w:w="0" w:type="dxa"/>
            <w:left w:w="108" w:type="dxa"/>
            <w:bottom w:w="0" w:type="dxa"/>
            <w:right w:w="108" w:type="dxa"/>
          </w:tblCellMar>
        </w:tblPrEx>
        <w:tc>
          <w:p w14:paraId="6527A450">
            <w:pPr>
              <w:pStyle w:val="24"/>
              <w:rPr>
                <w:rFonts w:hint="default" w:ascii="Times New Roman" w:hAnsi="Times New Roman" w:cs="Times New Roman"/>
              </w:rPr>
            </w:pPr>
            <w:r>
              <w:rPr>
                <w:rFonts w:hint="default" w:ascii="Times New Roman" w:hAnsi="Times New Roman" w:cs="Times New Roman"/>
              </w:rPr>
              <w:t>Target noise ceiling</w:t>
            </w:r>
          </w:p>
        </w:tc>
        <w:tc>
          <w:p w14:paraId="5FBF5446">
            <w:pPr>
              <w:pStyle w:val="24"/>
              <w:jc w:val="right"/>
              <w:rPr>
                <w:rFonts w:hint="default" w:ascii="Times New Roman" w:hAnsi="Times New Roman" w:cs="Times New Roman"/>
              </w:rPr>
            </w:pPr>
            <w:r>
              <w:rPr>
                <w:rFonts w:hint="default" w:ascii="Times New Roman" w:hAnsi="Times New Roman" w:cs="Times New Roman"/>
              </w:rPr>
              <w:t>0.870</w:t>
            </w:r>
          </w:p>
        </w:tc>
        <w:tc>
          <w:p w14:paraId="0B20F767">
            <w:pPr>
              <w:pStyle w:val="24"/>
              <w:jc w:val="right"/>
              <w:rPr>
                <w:rFonts w:hint="default" w:ascii="Times New Roman" w:hAnsi="Times New Roman" w:cs="Times New Roman"/>
              </w:rPr>
            </w:pPr>
            <w:r>
              <w:rPr>
                <w:rFonts w:hint="default" w:ascii="Times New Roman" w:hAnsi="Times New Roman" w:cs="Times New Roman"/>
                <w:b/>
                <w:bCs/>
              </w:rPr>
              <w:t>0.907</w:t>
            </w:r>
          </w:p>
        </w:tc>
      </w:tr>
      <w:tr w14:paraId="1F62DED8">
        <w:tblPrEx>
          <w:tblCellMar>
            <w:top w:w="0" w:type="dxa"/>
            <w:left w:w="108" w:type="dxa"/>
            <w:bottom w:w="0" w:type="dxa"/>
            <w:right w:w="108" w:type="dxa"/>
          </w:tblCellMar>
        </w:tblPrEx>
        <w:tc>
          <w:p w14:paraId="68A7A4FA">
            <w:pPr>
              <w:pStyle w:val="24"/>
              <w:rPr>
                <w:rFonts w:hint="default" w:ascii="Times New Roman" w:hAnsi="Times New Roman" w:cs="Times New Roman"/>
              </w:rPr>
            </w:pPr>
            <w:r>
              <w:rPr>
                <w:rFonts w:hint="default" w:ascii="Times New Roman" w:hAnsi="Times New Roman" w:cs="Times New Roman"/>
              </w:rPr>
              <w:t>Reference capacity, CS2_5</w:t>
            </w:r>
          </w:p>
        </w:tc>
        <w:tc>
          <w:p w14:paraId="13108050">
            <w:pPr>
              <w:pStyle w:val="24"/>
              <w:jc w:val="right"/>
              <w:rPr>
                <w:rFonts w:hint="default" w:ascii="Times New Roman" w:hAnsi="Times New Roman" w:cs="Times New Roman"/>
              </w:rPr>
            </w:pPr>
            <w:r>
              <w:rPr>
                <w:rFonts w:hint="default" w:ascii="Times New Roman" w:hAnsi="Times New Roman" w:cs="Times New Roman"/>
              </w:rPr>
              <w:t>0.177 Ah</w:t>
            </w:r>
          </w:p>
        </w:tc>
        <w:tc>
          <w:p w14:paraId="36C213D4">
            <w:pPr>
              <w:pStyle w:val="24"/>
              <w:jc w:val="right"/>
              <w:rPr>
                <w:rFonts w:hint="default" w:ascii="Times New Roman" w:hAnsi="Times New Roman" w:cs="Times New Roman"/>
              </w:rPr>
            </w:pPr>
            <w:r>
              <w:rPr>
                <w:rFonts w:hint="default" w:ascii="Times New Roman" w:hAnsi="Times New Roman" w:cs="Times New Roman"/>
                <w:b/>
                <w:bCs/>
              </w:rPr>
              <w:t>1.055 Ah</w:t>
            </w:r>
          </w:p>
        </w:tc>
      </w:tr>
      <w:tr w14:paraId="45046A49">
        <w:tblPrEx>
          <w:tblCellMar>
            <w:top w:w="0" w:type="dxa"/>
            <w:left w:w="108" w:type="dxa"/>
            <w:bottom w:w="0" w:type="dxa"/>
            <w:right w:w="108" w:type="dxa"/>
          </w:tblCellMar>
        </w:tblPrEx>
        <w:tc>
          <w:p w14:paraId="1BE07BA0">
            <w:pPr>
              <w:pStyle w:val="24"/>
              <w:rPr>
                <w:rFonts w:hint="default" w:ascii="Times New Roman" w:hAnsi="Times New Roman" w:cs="Times New Roman"/>
              </w:rPr>
            </w:pPr>
            <w:r>
              <w:rPr>
                <w:rFonts w:hint="default" w:ascii="Times New Roman" w:hAnsi="Times New Roman" w:cs="Times New Roman"/>
              </w:rPr>
              <w:t>Reference capacity, CS2_24</w:t>
            </w:r>
          </w:p>
        </w:tc>
        <w:tc>
          <w:p w14:paraId="1A3BD582">
            <w:pPr>
              <w:pStyle w:val="24"/>
              <w:jc w:val="right"/>
              <w:rPr>
                <w:rFonts w:hint="default" w:ascii="Times New Roman" w:hAnsi="Times New Roman" w:cs="Times New Roman"/>
              </w:rPr>
            </w:pPr>
            <w:r>
              <w:rPr>
                <w:rFonts w:hint="default" w:ascii="Times New Roman" w:hAnsi="Times New Roman" w:cs="Times New Roman"/>
              </w:rPr>
              <w:t>0.367 Ah</w:t>
            </w:r>
          </w:p>
        </w:tc>
        <w:tc>
          <w:p w14:paraId="45E55E72">
            <w:pPr>
              <w:pStyle w:val="24"/>
              <w:jc w:val="right"/>
              <w:rPr>
                <w:rFonts w:hint="default" w:ascii="Times New Roman" w:hAnsi="Times New Roman" w:cs="Times New Roman"/>
              </w:rPr>
            </w:pPr>
            <w:r>
              <w:rPr>
                <w:rFonts w:hint="default" w:ascii="Times New Roman" w:hAnsi="Times New Roman" w:cs="Times New Roman"/>
                <w:b/>
                <w:bCs/>
              </w:rPr>
              <w:t>1.101 Ah</w:t>
            </w:r>
          </w:p>
        </w:tc>
      </w:tr>
    </w:tbl>
    <w:p w14:paraId="3641E01D">
      <w:pPr>
        <w:pStyle w:val="3"/>
        <w:rPr>
          <w:rFonts w:hint="default" w:ascii="Times New Roman" w:hAnsi="Times New Roman" w:cs="Times New Roman"/>
        </w:rPr>
      </w:pPr>
      <w:r>
        <w:rPr>
          <w:rFonts w:hint="default" w:ascii="Times New Roman" w:hAnsi="Times New Roman" w:cs="Times New Roman"/>
        </w:rPr>
        <w:t>The reference-capacity figures show the size of the error directly: a cell whose “full” capacity was recorded as 0.177 Ah against a 1.1 Ah nominal was being scored on a fifth of its actual discharge.</w:t>
      </w:r>
    </w:p>
    <w:p w14:paraId="41F3A849">
      <w:pPr>
        <w:pStyle w:val="3"/>
        <w:rPr>
          <w:rFonts w:hint="default" w:ascii="Times New Roman" w:hAnsi="Times New Roman" w:cs="Times New Roman"/>
        </w:rPr>
      </w:pPr>
      <w:r>
        <w:rPr>
          <w:rFonts w:hint="default" w:ascii="Times New Roman" w:hAnsi="Times New Roman" w:cs="Times New Roman"/>
          <w:b/>
          <w:bCs/>
        </w:rPr>
        <w:t>Consequence for Â§4.12â€“4.13.</w:t>
      </w:r>
      <w:r>
        <w:rPr>
          <w:rFonts w:hint="default" w:ascii="Times New Roman" w:hAnsi="Times New Roman" w:cs="Times New Roman"/>
        </w:rPr>
        <w:t xml:space="preserve"> On the corrected absolute-SOH target, counting cycles reaches LOCO RÂ² of 0.478â€“0.524 and beats every learned method except </w:t>
      </w:r>
      <w:r>
        <w:rPr>
          <w:rStyle w:val="48"/>
          <w:rFonts w:hint="default" w:ascii="Times New Roman" w:hAnsi="Times New Roman" w:cs="Times New Roman"/>
        </w:rPr>
        <w:t>random_forest</w:t>
      </w:r>
      <w:r>
        <w:rPr>
          <w:rFonts w:hint="default" w:ascii="Times New Roman" w:hAnsi="Times New Roman" w:cs="Times New Roman"/>
        </w:rPr>
        <w:t xml:space="preserve"> (0.670). The large advantage the learned methods appeared to hold in Â§4.13 was substantially them fitting the partial-cycle artifact. </w:t>
      </w:r>
      <w:r>
        <w:rPr>
          <w:rFonts w:hint="default" w:ascii="Times New Roman" w:hAnsi="Times New Roman" w:cs="Times New Roman"/>
          <w:i/>
          <w:iCs/>
        </w:rPr>
        <w:t>“Learned models add enormously over cycle count”</w:t>
      </w:r>
      <w:r>
        <w:rPr>
          <w:rFonts w:hint="default" w:ascii="Times New Roman" w:hAnsi="Times New Roman" w:cs="Times New Roman"/>
        </w:rPr>
        <w:t xml:space="preserve"> is therefore withdrawn â€” the fifth of the six ranking claims tabulated in the Conclusion.</w:t>
      </w:r>
    </w:p>
    <w:bookmarkEnd w:id="27"/>
    <w:p w14:paraId="43B2D135">
      <w:pPr>
        <w:pStyle w:val="6"/>
        <w:rPr>
          <w:rFonts w:hint="default" w:ascii="Times New Roman" w:hAnsi="Times New Roman" w:cs="Times New Roman"/>
        </w:rPr>
      </w:pPr>
      <w:bookmarkStart w:id="28" w:name="X3eb82f2b3d41edb1c5c4ba266f3dc645e82d601"/>
      <w:r>
        <w:rPr>
          <w:rFonts w:hint="default" w:ascii="Times New Roman" w:hAnsi="Times New Roman" w:cs="Times New Roman"/>
        </w:rPr>
        <w:t>4.15.2 The estimator-variance magnitudes were inflated ~3Ã— (ADR 0013)</w:t>
      </w:r>
    </w:p>
    <w:p w14:paraId="47038FF9">
      <w:pPr>
        <w:pStyle w:val="23"/>
        <w:rPr>
          <w:rFonts w:hint="default" w:ascii="Times New Roman" w:hAnsi="Times New Roman" w:cs="Times New Roman"/>
        </w:rPr>
      </w:pPr>
      <w:r>
        <w:rPr>
          <w:rFonts w:hint="default" w:ascii="Times New Roman" w:hAnsi="Times New Roman" w:cs="Times New Roman"/>
        </w:rPr>
        <w:t xml:space="preserve">Section 4.14’s headline figures â€” an interquartile range of </w:t>
      </w:r>
      <w:r>
        <w:rPr>
          <w:rFonts w:hint="default" w:ascii="Times New Roman" w:hAnsi="Times New Roman" w:cs="Times New Roman"/>
          <w:b/>
          <w:bCs/>
        </w:rPr>
        <w:t>0.724 RÂ²</w:t>
      </w:r>
      <w:r>
        <w:rPr>
          <w:rFonts w:hint="default" w:ascii="Times New Roman" w:hAnsi="Times New Roman" w:cs="Times New Roman"/>
        </w:rPr>
        <w:t xml:space="preserve"> against a median between-method difference of </w:t>
      </w:r>
      <w:r>
        <w:rPr>
          <w:rFonts w:hint="default" w:ascii="Times New Roman" w:hAnsi="Times New Roman" w:cs="Times New Roman"/>
          <w:b/>
          <w:bCs/>
        </w:rPr>
        <w:t>0.351</w:t>
      </w:r>
      <w:r>
        <w:rPr>
          <w:rFonts w:hint="default" w:ascii="Times New Roman" w:hAnsi="Times New Roman" w:cs="Times New Roman"/>
        </w:rPr>
        <w:t xml:space="preserve"> â€” were computed by pooling two frames, one of which is the </w:t>
      </w:r>
      <w:r>
        <w:rPr>
          <w:rStyle w:val="48"/>
          <w:rFonts w:hint="default" w:ascii="Times New Roman" w:hAnsi="Times New Roman" w:cs="Times New Roman"/>
        </w:rPr>
        <w:t>Cycle_Index</w:t>
      </w:r>
      <w:r>
        <w:rPr>
          <w:rFonts w:hint="default" w:ascii="Times New Roman" w:hAnsi="Times New Roman" w:cs="Times New Roman"/>
        </w:rPr>
        <w:t xml:space="preserve"> derivation Â§4.15.1 refutes.</w:t>
      </w:r>
    </w:p>
    <w:p w14:paraId="64F2239E">
      <w:pPr>
        <w:pStyle w:val="3"/>
        <w:rPr>
          <w:rFonts w:hint="default" w:ascii="Times New Roman" w:hAnsi="Times New Roman" w:cs="Times New Roman"/>
        </w:rPr>
      </w:pPr>
      <w:r>
        <w:rPr>
          <w:rFonts w:hint="default" w:ascii="Times New Roman" w:hAnsi="Times New Roman" w:cs="Times New Roman"/>
        </w:rPr>
        <w:t>This is a problem for Â§4.14 specifically, not merely an untidiness. The sweep’s two arms are a flexible model (</w:t>
      </w:r>
      <w:r>
        <w:rPr>
          <w:rStyle w:val="48"/>
          <w:rFonts w:hint="default" w:ascii="Times New Roman" w:hAnsi="Times New Roman" w:cs="Times New Roman"/>
        </w:rPr>
        <w:t>svr_rbf</w:t>
      </w:r>
      <w:r>
        <w:rPr>
          <w:rFonts w:hint="default" w:ascii="Times New Roman" w:hAnsi="Times New Roman" w:cs="Times New Roman"/>
        </w:rPr>
        <w:t>) and a smooth function of cycle count (</w:t>
      </w:r>
      <w:r>
        <w:rPr>
          <w:rStyle w:val="48"/>
          <w:rFonts w:hint="default" w:ascii="Times New Roman" w:hAnsi="Times New Roman" w:cs="Times New Roman"/>
        </w:rPr>
        <w:t>age_linear</w:t>
      </w:r>
      <w:r>
        <w:rPr>
          <w:rFonts w:hint="default" w:ascii="Times New Roman" w:hAnsi="Times New Roman" w:cs="Times New Roman"/>
        </w:rPr>
        <w:t>), and Â§4.15.1’s artifact is precisely one that a smooth function cannot track but a flexible one can partially fit. The experiment was measuring the contrast the target distorts.</w:t>
      </w:r>
    </w:p>
    <w:p w14:paraId="14E2EBBE">
      <w:pPr>
        <w:pStyle w:val="3"/>
        <w:rPr>
          <w:rFonts w:hint="default" w:ascii="Times New Roman" w:hAnsi="Times New Roman" w:cs="Times New Roman"/>
        </w:rPr>
      </w:pPr>
      <w:r>
        <w:rPr>
          <w:rFonts w:hint="default" w:ascii="Times New Roman" w:hAnsi="Times New Roman" w:cs="Times New Roman"/>
        </w:rPr>
        <w:t>Re-running the identical sweep on the corrected derivation â€” same cells, same features, same two methods, same machinery, differing only in target derivation â€” on the three coverage levels both runs draw fully (k = 3, 4, 5):</w:t>
      </w:r>
    </w:p>
    <w:tbl>
      <w:tblPr>
        <w:tblStyle w:val="41"/>
        <w:tblW w:w="0" w:type="auto"/>
        <w:tblInd w:w="0" w:type="dxa"/>
        <w:tblLayout w:type="autofit"/>
        <w:tblCellMar>
          <w:top w:w="0" w:type="dxa"/>
          <w:left w:w="108" w:type="dxa"/>
          <w:bottom w:w="0" w:type="dxa"/>
          <w:right w:w="108" w:type="dxa"/>
        </w:tblCellMar>
      </w:tblPr>
      <w:tblGrid>
        <w:gridCol w:w="3607"/>
        <w:gridCol w:w="1947"/>
        <w:gridCol w:w="2209"/>
      </w:tblGrid>
      <w:tr w14:paraId="151B7E0C">
        <w:tblPrEx>
          <w:tblCellMar>
            <w:top w:w="0" w:type="dxa"/>
            <w:left w:w="108" w:type="dxa"/>
            <w:bottom w:w="0" w:type="dxa"/>
            <w:right w:w="108" w:type="dxa"/>
          </w:tblCellMar>
        </w:tblPrEx>
        <w:trPr>
          <w:tblHeader/>
        </w:trPr>
        <w:tc>
          <w:p w14:paraId="2468BA91">
            <w:pPr>
              <w:pStyle w:val="24"/>
              <w:rPr>
                <w:rFonts w:hint="default" w:ascii="Times New Roman" w:hAnsi="Times New Roman" w:cs="Times New Roman"/>
              </w:rPr>
            </w:pPr>
          </w:p>
        </w:tc>
        <w:tc>
          <w:p w14:paraId="675D967D">
            <w:pPr>
              <w:pStyle w:val="24"/>
              <w:jc w:val="right"/>
              <w:rPr>
                <w:rFonts w:hint="default" w:ascii="Times New Roman" w:hAnsi="Times New Roman" w:cs="Times New Roman"/>
              </w:rPr>
            </w:pPr>
            <w:r>
              <w:rPr>
                <w:rStyle w:val="48"/>
                <w:rFonts w:hint="default" w:ascii="Times New Roman" w:hAnsi="Times New Roman" w:cs="Times New Roman"/>
              </w:rPr>
              <w:t>Cycle_Index</w:t>
            </w:r>
            <w:r>
              <w:rPr>
                <w:rFonts w:hint="default" w:ascii="Times New Roman" w:hAnsi="Times New Roman" w:cs="Times New Roman"/>
              </w:rPr>
              <w:t xml:space="preserve"> target</w:t>
            </w:r>
          </w:p>
        </w:tc>
        <w:tc>
          <w:p w14:paraId="51F6785F">
            <w:pPr>
              <w:pStyle w:val="24"/>
              <w:jc w:val="right"/>
              <w:rPr>
                <w:rFonts w:hint="default" w:ascii="Times New Roman" w:hAnsi="Times New Roman" w:cs="Times New Roman"/>
              </w:rPr>
            </w:pPr>
            <w:r>
              <w:rPr>
                <w:rFonts w:hint="default" w:ascii="Times New Roman" w:hAnsi="Times New Roman" w:cs="Times New Roman"/>
              </w:rPr>
              <w:t>Full-discharge target</w:t>
            </w:r>
          </w:p>
        </w:tc>
      </w:tr>
      <w:tr w14:paraId="20FF04E9">
        <w:tblPrEx>
          <w:tblCellMar>
            <w:top w:w="0" w:type="dxa"/>
            <w:left w:w="108" w:type="dxa"/>
            <w:bottom w:w="0" w:type="dxa"/>
            <w:right w:w="108" w:type="dxa"/>
          </w:tblCellMar>
        </w:tblPrEx>
        <w:tc>
          <w:p w14:paraId="5E41A7B7">
            <w:pPr>
              <w:pStyle w:val="24"/>
              <w:rPr>
                <w:rFonts w:hint="default" w:ascii="Times New Roman" w:hAnsi="Times New Roman" w:cs="Times New Roman"/>
              </w:rPr>
            </w:pPr>
            <w:r>
              <w:rPr>
                <w:rFonts w:hint="default" w:ascii="Times New Roman" w:hAnsi="Times New Roman" w:cs="Times New Roman"/>
              </w:rPr>
              <w:t>LOCO IQR of the gap</w:t>
            </w:r>
          </w:p>
        </w:tc>
        <w:tc>
          <w:p w14:paraId="2B5EA5CD">
            <w:pPr>
              <w:pStyle w:val="24"/>
              <w:jc w:val="right"/>
              <w:rPr>
                <w:rFonts w:hint="default" w:ascii="Times New Roman" w:hAnsi="Times New Roman" w:cs="Times New Roman"/>
              </w:rPr>
            </w:pPr>
            <w:r>
              <w:rPr>
                <w:rFonts w:hint="default" w:ascii="Times New Roman" w:hAnsi="Times New Roman" w:cs="Times New Roman"/>
              </w:rPr>
              <w:t>0.892</w:t>
            </w:r>
          </w:p>
        </w:tc>
        <w:tc>
          <w:p w14:paraId="6E210037">
            <w:pPr>
              <w:pStyle w:val="24"/>
              <w:jc w:val="right"/>
              <w:rPr>
                <w:rFonts w:hint="default" w:ascii="Times New Roman" w:hAnsi="Times New Roman" w:cs="Times New Roman"/>
              </w:rPr>
            </w:pPr>
            <w:r>
              <w:rPr>
                <w:rFonts w:hint="default" w:ascii="Times New Roman" w:hAnsi="Times New Roman" w:cs="Times New Roman"/>
                <w:b/>
                <w:bCs/>
              </w:rPr>
              <w:t>0.296</w:t>
            </w:r>
          </w:p>
        </w:tc>
      </w:tr>
      <w:tr w14:paraId="6A3A3F93">
        <w:tblPrEx>
          <w:tblCellMar>
            <w:top w:w="0" w:type="dxa"/>
            <w:left w:w="108" w:type="dxa"/>
            <w:bottom w:w="0" w:type="dxa"/>
            <w:right w:w="108" w:type="dxa"/>
          </w:tblCellMar>
        </w:tblPrEx>
        <w:tc>
          <w:p w14:paraId="4072A506">
            <w:pPr>
              <w:pStyle w:val="24"/>
              <w:rPr>
                <w:rFonts w:hint="default" w:ascii="Times New Roman" w:hAnsi="Times New Roman" w:cs="Times New Roman"/>
              </w:rPr>
            </w:pPr>
            <w:r>
              <w:rPr>
                <w:rFonts w:hint="default" w:ascii="Times New Roman" w:hAnsi="Times New Roman" w:cs="Times New Roman"/>
              </w:rPr>
              <w:t xml:space="preserve">Median paired </w:t>
            </w:r>
            <w:r>
              <w:rPr>
                <w:rStyle w:val="48"/>
                <w:rFonts w:hint="default" w:ascii="Times New Roman" w:hAnsi="Times New Roman" w:cs="Times New Roman"/>
              </w:rPr>
              <w:t>svr_rbf</w:t>
            </w:r>
            <w:r>
              <w:rPr>
                <w:rFonts w:hint="default" w:ascii="Times New Roman" w:hAnsi="Times New Roman" w:cs="Times New Roman"/>
              </w:rPr>
              <w:t xml:space="preserve"> âˆ’ </w:t>
            </w:r>
            <w:r>
              <w:rPr>
                <w:rStyle w:val="48"/>
                <w:rFonts w:hint="default" w:ascii="Times New Roman" w:hAnsi="Times New Roman" w:cs="Times New Roman"/>
              </w:rPr>
              <w:t>age_linear</w:t>
            </w:r>
          </w:p>
        </w:tc>
        <w:tc>
          <w:p w14:paraId="4BF8E29F">
            <w:pPr>
              <w:pStyle w:val="24"/>
              <w:jc w:val="right"/>
              <w:rPr>
                <w:rFonts w:hint="default" w:ascii="Times New Roman" w:hAnsi="Times New Roman" w:cs="Times New Roman"/>
              </w:rPr>
            </w:pPr>
            <w:r>
              <w:rPr>
                <w:rFonts w:hint="default" w:ascii="Times New Roman" w:hAnsi="Times New Roman" w:cs="Times New Roman"/>
              </w:rPr>
              <w:t>âˆ’0.336</w:t>
            </w:r>
          </w:p>
        </w:tc>
        <w:tc>
          <w:p w14:paraId="3F16F5BB">
            <w:pPr>
              <w:pStyle w:val="24"/>
              <w:jc w:val="right"/>
              <w:rPr>
                <w:rFonts w:hint="default" w:ascii="Times New Roman" w:hAnsi="Times New Roman" w:cs="Times New Roman"/>
              </w:rPr>
            </w:pPr>
            <w:r>
              <w:rPr>
                <w:rFonts w:hint="default" w:ascii="Times New Roman" w:hAnsi="Times New Roman" w:cs="Times New Roman"/>
                <w:b/>
                <w:bCs/>
              </w:rPr>
              <w:t>âˆ’0.110</w:t>
            </w:r>
          </w:p>
        </w:tc>
      </w:tr>
      <w:tr w14:paraId="609C8C0B">
        <w:tblPrEx>
          <w:tblCellMar>
            <w:top w:w="0" w:type="dxa"/>
            <w:left w:w="108" w:type="dxa"/>
            <w:bottom w:w="0" w:type="dxa"/>
            <w:right w:w="108" w:type="dxa"/>
          </w:tblCellMar>
        </w:tblPrEx>
        <w:tc>
          <w:p w14:paraId="09C0D0EE">
            <w:pPr>
              <w:pStyle w:val="24"/>
              <w:rPr>
                <w:rFonts w:hint="default" w:ascii="Times New Roman" w:hAnsi="Times New Roman" w:cs="Times New Roman"/>
              </w:rPr>
            </w:pPr>
            <w:r>
              <w:rPr>
                <w:rFonts w:hint="default" w:ascii="Times New Roman" w:hAnsi="Times New Roman" w:cs="Times New Roman"/>
              </w:rPr>
              <w:t xml:space="preserve">Draws where </w:t>
            </w:r>
            <w:r>
              <w:rPr>
                <w:rStyle w:val="48"/>
                <w:rFonts w:hint="default" w:ascii="Times New Roman" w:hAnsi="Times New Roman" w:cs="Times New Roman"/>
              </w:rPr>
              <w:t>svr_rbf</w:t>
            </w:r>
            <w:r>
              <w:rPr>
                <w:rFonts w:hint="default" w:ascii="Times New Roman" w:hAnsi="Times New Roman" w:cs="Times New Roman"/>
              </w:rPr>
              <w:t xml:space="preserve"> wins</w:t>
            </w:r>
          </w:p>
        </w:tc>
        <w:tc>
          <w:p w14:paraId="41B961FE">
            <w:pPr>
              <w:pStyle w:val="24"/>
              <w:jc w:val="right"/>
              <w:rPr>
                <w:rFonts w:hint="default" w:ascii="Times New Roman" w:hAnsi="Times New Roman" w:cs="Times New Roman"/>
              </w:rPr>
            </w:pPr>
            <w:r>
              <w:rPr>
                <w:rFonts w:hint="default" w:ascii="Times New Roman" w:hAnsi="Times New Roman" w:cs="Times New Roman"/>
              </w:rPr>
              <w:t>13.9%</w:t>
            </w:r>
          </w:p>
        </w:tc>
        <w:tc>
          <w:p w14:paraId="140D5217">
            <w:pPr>
              <w:pStyle w:val="24"/>
              <w:jc w:val="right"/>
              <w:rPr>
                <w:rFonts w:hint="default" w:ascii="Times New Roman" w:hAnsi="Times New Roman" w:cs="Times New Roman"/>
              </w:rPr>
            </w:pPr>
            <w:r>
              <w:rPr>
                <w:rFonts w:hint="default" w:ascii="Times New Roman" w:hAnsi="Times New Roman" w:cs="Times New Roman"/>
              </w:rPr>
              <w:t>38.9%</w:t>
            </w:r>
          </w:p>
        </w:tc>
      </w:tr>
      <w:tr w14:paraId="3CD36D22">
        <w:tblPrEx>
          <w:tblCellMar>
            <w:top w:w="0" w:type="dxa"/>
            <w:left w:w="108" w:type="dxa"/>
            <w:bottom w:w="0" w:type="dxa"/>
            <w:right w:w="108" w:type="dxa"/>
          </w:tblCellMar>
        </w:tblPrEx>
        <w:tc>
          <w:p w14:paraId="230CCA83">
            <w:pPr>
              <w:pStyle w:val="24"/>
              <w:rPr>
                <w:rFonts w:hint="default" w:ascii="Times New Roman" w:hAnsi="Times New Roman" w:cs="Times New Roman"/>
              </w:rPr>
            </w:pPr>
            <w:r>
              <w:rPr>
                <w:rFonts w:hint="default" w:ascii="Times New Roman" w:hAnsi="Times New Roman" w:cs="Times New Roman"/>
                <w:b/>
                <w:bCs/>
              </w:rPr>
              <w:t>Noise-to-effect ratio</w:t>
            </w:r>
          </w:p>
        </w:tc>
        <w:tc>
          <w:p w14:paraId="476DFA52">
            <w:pPr>
              <w:pStyle w:val="24"/>
              <w:jc w:val="right"/>
              <w:rPr>
                <w:rFonts w:hint="default" w:ascii="Times New Roman" w:hAnsi="Times New Roman" w:cs="Times New Roman"/>
              </w:rPr>
            </w:pPr>
            <w:r>
              <w:rPr>
                <w:rFonts w:hint="default" w:ascii="Times New Roman" w:hAnsi="Times New Roman" w:cs="Times New Roman"/>
                <w:b/>
                <w:bCs/>
              </w:rPr>
              <w:t>2.66</w:t>
            </w:r>
          </w:p>
        </w:tc>
        <w:tc>
          <w:p w14:paraId="78C00723">
            <w:pPr>
              <w:pStyle w:val="24"/>
              <w:jc w:val="right"/>
              <w:rPr>
                <w:rFonts w:hint="default" w:ascii="Times New Roman" w:hAnsi="Times New Roman" w:cs="Times New Roman"/>
              </w:rPr>
            </w:pPr>
            <w:r>
              <w:rPr>
                <w:rFonts w:hint="default" w:ascii="Times New Roman" w:hAnsi="Times New Roman" w:cs="Times New Roman"/>
                <w:b/>
                <w:bCs/>
              </w:rPr>
              <w:t>2.70</w:t>
            </w:r>
          </w:p>
        </w:tc>
      </w:tr>
    </w:tbl>
    <w:p w14:paraId="1DDE8A08">
      <w:pPr>
        <w:pStyle w:val="3"/>
        <w:rPr>
          <w:rFonts w:hint="default" w:ascii="Times New Roman" w:hAnsi="Times New Roman" w:cs="Times New Roman"/>
        </w:rPr>
      </w:pPr>
      <w:r>
        <w:rPr>
          <w:rFonts w:hint="default" w:ascii="Times New Roman" w:hAnsi="Times New Roman" w:cs="Times New Roman"/>
        </w:rPr>
        <w:t>The IQR reduction is 0.596 RÂ², bootstrap 95% CI [0.335, 0.936] over 4,000 resamples; the corrected estimate is smaller in every resample.</w:t>
      </w:r>
    </w:p>
    <w:p w14:paraId="26633B75">
      <w:pPr>
        <w:pStyle w:val="3"/>
        <w:rPr>
          <w:rFonts w:hint="default" w:ascii="Times New Roman" w:hAnsi="Times New Roman" w:cs="Times New Roman"/>
        </w:rPr>
      </w:pPr>
      <w:r>
        <w:rPr>
          <w:rFonts w:hint="default" w:ascii="Times New Roman" w:hAnsi="Times New Roman" w:cs="Times New Roman"/>
          <w:b/>
          <w:bCs/>
        </w:rPr>
        <w:t>Three conclusions, and they are not the same conclusion:</w:t>
      </w:r>
    </w:p>
    <w:p w14:paraId="76C70D30">
      <w:pPr>
        <w:pStyle w:val="24"/>
        <w:numPr>
          <w:ilvl w:val="0"/>
          <w:numId w:val="4"/>
        </w:numPr>
        <w:rPr>
          <w:rFonts w:hint="default" w:ascii="Times New Roman" w:hAnsi="Times New Roman" w:cs="Times New Roman"/>
        </w:rPr>
      </w:pPr>
      <w:r>
        <w:rPr>
          <w:rFonts w:hint="default" w:ascii="Times New Roman" w:hAnsi="Times New Roman" w:cs="Times New Roman"/>
          <w:b/>
          <w:bCs/>
        </w:rPr>
        <w:t>The claim survives as a ratio.</w:t>
      </w:r>
      <w:r>
        <w:rPr>
          <w:rFonts w:hint="default" w:ascii="Times New Roman" w:hAnsi="Times New Roman" w:cs="Times New Roman"/>
        </w:rPr>
        <w:t xml:space="preserve"> 2.70 against 2.66 â€” the estimator is several times noisier than the effect it is used to detect on </w:t>
      </w:r>
      <w:r>
        <w:rPr>
          <w:rFonts w:hint="default" w:ascii="Times New Roman" w:hAnsi="Times New Roman" w:cs="Times New Roman"/>
          <w:i/>
          <w:iCs/>
        </w:rPr>
        <w:t>both</w:t>
      </w:r>
      <w:r>
        <w:rPr>
          <w:rFonts w:hint="default" w:ascii="Times New Roman" w:hAnsi="Times New Roman" w:cs="Times New Roman"/>
        </w:rPr>
        <w:t xml:space="preserve"> derivations. This is not an artifact of the target.</w:t>
      </w:r>
    </w:p>
    <w:p w14:paraId="71FEDE6C">
      <w:pPr>
        <w:pStyle w:val="24"/>
        <w:numPr>
          <w:ilvl w:val="0"/>
          <w:numId w:val="4"/>
        </w:numPr>
        <w:rPr>
          <w:rFonts w:hint="default" w:ascii="Times New Roman" w:hAnsi="Times New Roman" w:cs="Times New Roman"/>
        </w:rPr>
      </w:pPr>
      <w:r>
        <w:rPr>
          <w:rFonts w:hint="default" w:ascii="Times New Roman" w:hAnsi="Times New Roman" w:cs="Times New Roman"/>
          <w:b/>
          <w:bCs/>
        </w:rPr>
        <w:t>The magnitudes were inflated roughly threefold.</w:t>
      </w:r>
      <w:r>
        <w:rPr>
          <w:rFonts w:hint="default" w:ascii="Times New Roman" w:hAnsi="Times New Roman" w:cs="Times New Roman"/>
        </w:rPr>
        <w:t xml:space="preserve"> Any sentence quoting 0.724 or 0.351 as a property of leave-one-cohort-out </w:t>
      </w:r>
      <w:r>
        <w:rPr>
          <w:rFonts w:hint="default" w:ascii="Times New Roman" w:hAnsi="Times New Roman" w:cs="Times New Roman"/>
          <w:i/>
          <w:iCs/>
        </w:rPr>
        <w:t>in general</w:t>
      </w:r>
      <w:r>
        <w:rPr>
          <w:rFonts w:hint="default" w:ascii="Times New Roman" w:hAnsi="Times New Roman" w:cs="Times New Roman"/>
        </w:rPr>
        <w:t xml:space="preserve"> overstates it by that factor. Those figures describe that estimator on that frame.</w:t>
      </w:r>
    </w:p>
    <w:p w14:paraId="4368C09F">
      <w:pPr>
        <w:pStyle w:val="24"/>
        <w:numPr>
          <w:ilvl w:val="0"/>
          <w:numId w:val="4"/>
        </w:numPr>
        <w:rPr>
          <w:rFonts w:hint="default" w:ascii="Times New Roman" w:hAnsi="Times New Roman" w:cs="Times New Roman"/>
        </w:rPr>
      </w:pPr>
      <w:r>
        <w:rPr>
          <w:rFonts w:hint="default" w:ascii="Times New Roman" w:hAnsi="Times New Roman" w:cs="Times New Roman"/>
          <w:b/>
          <w:bCs/>
        </w:rPr>
        <w:t>The mechanism does not survive.</w:t>
      </w:r>
      <w:r>
        <w:rPr>
          <w:rFonts w:hint="default" w:ascii="Times New Roman" w:hAnsi="Times New Roman" w:cs="Times New Roman"/>
        </w:rPr>
        <w:t xml:space="preserve"> On the </w:t>
      </w:r>
      <w:r>
        <w:rPr>
          <w:rStyle w:val="48"/>
          <w:rFonts w:hint="default" w:ascii="Times New Roman" w:hAnsi="Times New Roman" w:cs="Times New Roman"/>
        </w:rPr>
        <w:t>Cycle_Index</w:t>
      </w:r>
      <w:r>
        <w:rPr>
          <w:rFonts w:hint="default" w:ascii="Times New Roman" w:hAnsi="Times New Roman" w:cs="Times New Roman"/>
        </w:rPr>
        <w:t xml:space="preserve"> target </w:t>
      </w:r>
      <w:r>
        <w:rPr>
          <w:rStyle w:val="48"/>
          <w:rFonts w:hint="default" w:ascii="Times New Roman" w:hAnsi="Times New Roman" w:cs="Times New Roman"/>
        </w:rPr>
        <w:t>svr_rbf</w:t>
      </w:r>
      <w:r>
        <w:rPr>
          <w:rFonts w:hint="default" w:ascii="Times New Roman" w:hAnsi="Times New Roman" w:cs="Times New Roman"/>
        </w:rPr>
        <w:t xml:space="preserve"> collapsed hardest (gap âˆ’1.037 against </w:t>
      </w:r>
      <w:r>
        <w:rPr>
          <w:rStyle w:val="48"/>
          <w:rFonts w:hint="default" w:ascii="Times New Roman" w:hAnsi="Times New Roman" w:cs="Times New Roman"/>
        </w:rPr>
        <w:t>age_linear</w:t>
      </w:r>
      <w:r>
        <w:rPr>
          <w:rFonts w:hint="default" w:ascii="Times New Roman" w:hAnsi="Times New Roman" w:cs="Times New Roman"/>
        </w:rPr>
        <w:t xml:space="preserve">’s âˆ’0.096); on the corrected target the ordering </w:t>
      </w:r>
      <w:r>
        <w:rPr>
          <w:rFonts w:hint="default" w:ascii="Times New Roman" w:hAnsi="Times New Roman" w:cs="Times New Roman"/>
          <w:b/>
          <w:bCs/>
        </w:rPr>
        <w:t>inverts</w:t>
      </w:r>
      <w:r>
        <w:rPr>
          <w:rFonts w:hint="default" w:ascii="Times New Roman" w:hAnsi="Times New Roman" w:cs="Times New Roman"/>
        </w:rPr>
        <w:t xml:space="preserve"> (âˆ’0.203 against âˆ’0.460). </w:t>
      </w:r>
      <w:r>
        <w:rPr>
          <w:rFonts w:hint="default" w:ascii="Times New Roman" w:hAnsi="Times New Roman" w:cs="Times New Roman"/>
          <w:i/>
          <w:iCs/>
        </w:rPr>
        <w:t>“The flexible method transfers worst”</w:t>
      </w:r>
      <w:r>
        <w:rPr>
          <w:rFonts w:hint="default" w:ascii="Times New Roman" w:hAnsi="Times New Roman" w:cs="Times New Roman"/>
        </w:rPr>
        <w:t xml:space="preserve"> is the sixth withdrawn ranking claim.</w:t>
      </w:r>
    </w:p>
    <w:p w14:paraId="4C6402C7">
      <w:pPr>
        <w:pStyle w:val="23"/>
        <w:rPr>
          <w:rFonts w:hint="default" w:ascii="Times New Roman" w:hAnsi="Times New Roman" w:cs="Times New Roman"/>
        </w:rPr>
      </w:pPr>
      <w:r>
        <w:rPr>
          <w:rFonts w:hint="default" w:ascii="Times New Roman" w:hAnsi="Times New Roman" w:cs="Times New Roman"/>
        </w:rPr>
        <w:t>Section 4.14’s refutation of the coverage hypothesis (ADR 0010) replicates: raw Ï(cohorts, gap) = +0.126 (p = 0.217, n = 98), adjusted for cell count âˆ’0.002 (p = 0.982). The hypothesis is now refuted on two independent derivations of the same cells.</w:t>
      </w:r>
    </w:p>
    <w:bookmarkEnd w:id="28"/>
    <w:p w14:paraId="474F1AE7">
      <w:pPr>
        <w:pStyle w:val="6"/>
        <w:rPr>
          <w:rFonts w:hint="default" w:ascii="Times New Roman" w:hAnsi="Times New Roman" w:cs="Times New Roman"/>
        </w:rPr>
      </w:pPr>
      <w:bookmarkStart w:id="29" w:name="Xf92db3f31e5a958c08f57c80c690c60c59d6501"/>
      <w:r>
        <w:rPr>
          <w:rFonts w:hint="default" w:ascii="Times New Roman" w:hAnsi="Times New Roman" w:cs="Times New Roman"/>
        </w:rPr>
        <w:t>4.15.3 A silently defaulted physical constant (ADR 0014)</w:t>
      </w:r>
    </w:p>
    <w:p w14:paraId="5C58481D">
      <w:pPr>
        <w:pStyle w:val="23"/>
        <w:rPr>
          <w:rFonts w:hint="default" w:ascii="Times New Roman" w:hAnsi="Times New Roman" w:cs="Times New Roman"/>
        </w:rPr>
      </w:pPr>
      <w:r>
        <w:rPr>
          <w:rFonts w:hint="default" w:ascii="Times New Roman" w:hAnsi="Times New Roman" w:cs="Times New Roman"/>
        </w:rPr>
        <w:t xml:space="preserve">Found by code audit of the serial ingestion path before any hardware was connected. C-rate â€” the definition of both </w:t>
      </w:r>
      <w:r>
        <w:rPr>
          <w:rStyle w:val="48"/>
          <w:rFonts w:hint="default" w:ascii="Times New Roman" w:hAnsi="Times New Roman" w:cs="Times New Roman"/>
        </w:rPr>
        <w:t>aggressive_discharge_event</w:t>
      </w:r>
      <w:r>
        <w:rPr>
          <w:rFonts w:hint="default" w:ascii="Times New Roman" w:hAnsi="Times New Roman" w:cs="Times New Roman"/>
        </w:rPr>
        <w:t xml:space="preserve"> and </w:t>
      </w:r>
      <w:r>
        <w:rPr>
          <w:rStyle w:val="48"/>
          <w:rFonts w:hint="default" w:ascii="Times New Roman" w:hAnsi="Times New Roman" w:cs="Times New Roman"/>
        </w:rPr>
        <w:t>fast_charge_flag</w:t>
      </w:r>
      <w:r>
        <w:rPr>
          <w:rFonts w:hint="default" w:ascii="Times New Roman" w:hAnsi="Times New Roman" w:cs="Times New Roman"/>
        </w:rPr>
        <w:t xml:space="preserve"> â€” was computed against a rated capacity defaulted to 2.0 Ah that no caller supplied and nothing on the wire carried.</w:t>
      </w:r>
    </w:p>
    <w:p w14:paraId="43EF6159">
      <w:pPr>
        <w:pStyle w:val="3"/>
        <w:rPr>
          <w:rFonts w:hint="default" w:ascii="Times New Roman" w:hAnsi="Times New Roman" w:cs="Times New Roman"/>
        </w:rPr>
      </w:pPr>
      <w:r>
        <w:rPr>
          <w:rFonts w:hint="default" w:ascii="Times New Roman" w:hAnsi="Times New Roman" w:cs="Times New Roman"/>
        </w:rPr>
        <w:t xml:space="preserve">It was correct only by coincidence: the NASA cells and the bench emulator are both 2 Ah. A 3.4 Ah cell drawing 1 C would have been scored at </w:t>
      </w:r>
      <w:r>
        <w:rPr>
          <w:rFonts w:hint="default" w:ascii="Times New Roman" w:hAnsi="Times New Roman" w:cs="Times New Roman"/>
          <w:b/>
          <w:bCs/>
        </w:rPr>
        <w:t>1.7 C</w:t>
      </w:r>
      <w:r>
        <w:rPr>
          <w:rFonts w:hint="default" w:ascii="Times New Roman" w:hAnsi="Times New Roman" w:cs="Times New Roman"/>
        </w:rPr>
        <w:t>, setting both flags on every row of a capture and propagating a fabricated stress score into the health index and RUL estimate.</w:t>
      </w:r>
    </w:p>
    <w:p w14:paraId="16C4BA99">
      <w:pPr>
        <w:pStyle w:val="3"/>
        <w:rPr>
          <w:rFonts w:hint="default" w:ascii="Times New Roman" w:hAnsi="Times New Roman" w:cs="Times New Roman"/>
        </w:rPr>
      </w:pPr>
      <w:r>
        <w:rPr>
          <w:rFonts w:hint="default" w:ascii="Times New Roman" w:hAnsi="Times New Roman" w:cs="Times New Roman"/>
        </w:rPr>
        <w:t xml:space="preserve">The capacity is now declared by the rig in its schema handshake or supplied by the caller, and a capture with neither is </w:t>
      </w:r>
      <w:r>
        <w:rPr>
          <w:rFonts w:hint="default" w:ascii="Times New Roman" w:hAnsi="Times New Roman" w:cs="Times New Roman"/>
          <w:b/>
          <w:bCs/>
        </w:rPr>
        <w:t>measured but not scored</w:t>
      </w:r>
      <w:r>
        <w:rPr>
          <w:rFonts w:hint="default" w:ascii="Times New Roman" w:hAnsi="Times New Roman" w:cs="Times New Roman"/>
        </w:rPr>
        <w:t xml:space="preserve"> â€” segmentation and coulomb counting do not divide by capacity, so withholding them too would hide the one result a bring-up most needs.</w:t>
      </w:r>
    </w:p>
    <w:p w14:paraId="0BF8DCA4">
      <w:pPr>
        <w:pStyle w:val="3"/>
        <w:rPr>
          <w:rFonts w:hint="default" w:ascii="Times New Roman" w:hAnsi="Times New Roman" w:cs="Times New Roman"/>
        </w:rPr>
      </w:pPr>
      <w:r>
        <w:rPr>
          <w:rFonts w:hint="default" w:ascii="Times New Roman" w:hAnsi="Times New Roman" w:cs="Times New Roman"/>
        </w:rPr>
        <w:t>This affects no figure in this report: every dataset analysed here uses 2 Ah cells. It is recorded because it is the same defect class as the NaN-as-healthy fault of Â§4.4 â€” a missing quantity substituted rather than refused â€” and because it would have corrupted the first physical measurement taken.</w:t>
      </w:r>
    </w:p>
    <w:bookmarkEnd w:id="29"/>
    <w:p w14:paraId="3B864C3E">
      <w:pPr>
        <w:pStyle w:val="6"/>
        <w:rPr>
          <w:rFonts w:hint="default" w:ascii="Times New Roman" w:hAnsi="Times New Roman" w:cs="Times New Roman"/>
        </w:rPr>
      </w:pPr>
      <w:bookmarkStart w:id="30" w:name="X92d10182ca71d3fe053a7aa8c303962d08a0e20"/>
      <w:r>
        <w:rPr>
          <w:rFonts w:hint="default" w:ascii="Times New Roman" w:hAnsi="Times New Roman" w:cs="Times New Roman"/>
        </w:rPr>
        <w:t>4.15.4 What this means for reading Sections 4.12â€“4.14</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356B3CB">
        <w:tblPrEx>
          <w:tblCellMar>
            <w:top w:w="0" w:type="dxa"/>
            <w:left w:w="108" w:type="dxa"/>
            <w:bottom w:w="0" w:type="dxa"/>
            <w:right w:w="108" w:type="dxa"/>
          </w:tblCellMar>
        </w:tblPrEx>
        <w:trPr>
          <w:tblHeader/>
        </w:trPr>
        <w:tc>
          <w:p w14:paraId="1FDD5BFD">
            <w:pPr>
              <w:pStyle w:val="24"/>
              <w:rPr>
                <w:rFonts w:hint="default" w:ascii="Times New Roman" w:hAnsi="Times New Roman" w:cs="Times New Roman"/>
              </w:rPr>
            </w:pPr>
            <w:r>
              <w:rPr>
                <w:rFonts w:hint="default" w:ascii="Times New Roman" w:hAnsi="Times New Roman" w:cs="Times New Roman"/>
              </w:rPr>
              <w:t>Section</w:t>
            </w:r>
          </w:p>
        </w:tc>
        <w:tc>
          <w:p w14:paraId="2CF0D8A0">
            <w:pPr>
              <w:pStyle w:val="24"/>
              <w:rPr>
                <w:rFonts w:hint="default" w:ascii="Times New Roman" w:hAnsi="Times New Roman" w:cs="Times New Roman"/>
              </w:rPr>
            </w:pPr>
            <w:r>
              <w:rPr>
                <w:rFonts w:hint="default" w:ascii="Times New Roman" w:hAnsi="Times New Roman" w:cs="Times New Roman"/>
              </w:rPr>
              <w:t>Status</w:t>
            </w:r>
          </w:p>
        </w:tc>
      </w:tr>
      <w:tr w14:paraId="1A948FF9">
        <w:tblPrEx>
          <w:tblCellMar>
            <w:top w:w="0" w:type="dxa"/>
            <w:left w:w="108" w:type="dxa"/>
            <w:bottom w:w="0" w:type="dxa"/>
            <w:right w:w="108" w:type="dxa"/>
          </w:tblCellMar>
        </w:tblPrEx>
        <w:tc>
          <w:p w14:paraId="07DE7B68">
            <w:pPr>
              <w:pStyle w:val="24"/>
              <w:rPr>
                <w:rFonts w:hint="default" w:ascii="Times New Roman" w:hAnsi="Times New Roman" w:cs="Times New Roman"/>
              </w:rPr>
            </w:pPr>
            <w:r>
              <w:rPr>
                <w:rFonts w:hint="default" w:ascii="Times New Roman" w:hAnsi="Times New Roman" w:cs="Times New Roman"/>
              </w:rPr>
              <w:t>Â§4.12 (NASA methods under shift)</w:t>
            </w:r>
          </w:p>
        </w:tc>
        <w:tc>
          <w:p w14:paraId="4DCFDEE0">
            <w:pPr>
              <w:pStyle w:val="24"/>
              <w:rPr>
                <w:rFonts w:hint="default" w:ascii="Times New Roman" w:hAnsi="Times New Roman" w:cs="Times New Roman"/>
              </w:rPr>
            </w:pPr>
            <w:r>
              <w:rPr>
                <w:rFonts w:hint="default" w:ascii="Times New Roman" w:hAnsi="Times New Roman" w:cs="Times New Roman"/>
                <w:b/>
                <w:bCs/>
              </w:rPr>
              <w:t>Unaffected.</w:t>
            </w:r>
            <w:r>
              <w:rPr>
                <w:rFonts w:hint="default" w:ascii="Times New Roman" w:hAnsi="Times New Roman" w:cs="Times New Roman"/>
              </w:rPr>
              <w:t xml:space="preserve"> NASA’s target derivation was never in question</w:t>
            </w:r>
          </w:p>
        </w:tc>
      </w:tr>
      <w:tr w14:paraId="0871BABA">
        <w:tblPrEx>
          <w:tblCellMar>
            <w:top w:w="0" w:type="dxa"/>
            <w:left w:w="108" w:type="dxa"/>
            <w:bottom w:w="0" w:type="dxa"/>
            <w:right w:w="108" w:type="dxa"/>
          </w:tblCellMar>
        </w:tblPrEx>
        <w:tc>
          <w:p w14:paraId="6D41650F">
            <w:pPr>
              <w:pStyle w:val="24"/>
              <w:rPr>
                <w:rFonts w:hint="default" w:ascii="Times New Roman" w:hAnsi="Times New Roman" w:cs="Times New Roman"/>
              </w:rPr>
            </w:pPr>
            <w:r>
              <w:rPr>
                <w:rFonts w:hint="default" w:ascii="Times New Roman" w:hAnsi="Times New Roman" w:cs="Times New Roman"/>
              </w:rPr>
              <w:t>Â§4.13 (CALCE replication)</w:t>
            </w:r>
          </w:p>
        </w:tc>
        <w:tc>
          <w:p w14:paraId="2D9C47CB">
            <w:pPr>
              <w:pStyle w:val="24"/>
              <w:rPr>
                <w:rFonts w:hint="default" w:ascii="Times New Roman" w:hAnsi="Times New Roman" w:cs="Times New Roman"/>
              </w:rPr>
            </w:pPr>
            <w:r>
              <w:rPr>
                <w:rFonts w:hint="default" w:ascii="Times New Roman" w:hAnsi="Times New Roman" w:cs="Times New Roman"/>
                <w:b/>
                <w:bCs/>
              </w:rPr>
              <w:t>Cell and cohort counts superseded</w:t>
            </w:r>
            <w:r>
              <w:rPr>
                <w:rFonts w:hint="default" w:ascii="Times New Roman" w:hAnsi="Times New Roman" w:cs="Times New Roman"/>
              </w:rPr>
              <w:t xml:space="preserve"> by Â§4.15.1; the qualitative finding â€” every method loses skill under protocol shift â€” holds on both derivations</w:t>
            </w:r>
          </w:p>
        </w:tc>
      </w:tr>
      <w:tr w14:paraId="70723BBF">
        <w:tblPrEx>
          <w:tblCellMar>
            <w:top w:w="0" w:type="dxa"/>
            <w:left w:w="108" w:type="dxa"/>
            <w:bottom w:w="0" w:type="dxa"/>
            <w:right w:w="108" w:type="dxa"/>
          </w:tblCellMar>
        </w:tblPrEx>
        <w:tc>
          <w:p w14:paraId="129D757B">
            <w:pPr>
              <w:pStyle w:val="24"/>
              <w:rPr>
                <w:rFonts w:hint="default" w:ascii="Times New Roman" w:hAnsi="Times New Roman" w:cs="Times New Roman"/>
              </w:rPr>
            </w:pPr>
            <w:r>
              <w:rPr>
                <w:rFonts w:hint="default" w:ascii="Times New Roman" w:hAnsi="Times New Roman" w:cs="Times New Roman"/>
              </w:rPr>
              <w:t>Â§4.14 (estimator variance)</w:t>
            </w:r>
          </w:p>
        </w:tc>
        <w:tc>
          <w:p w14:paraId="55385BF4">
            <w:pPr>
              <w:pStyle w:val="24"/>
              <w:rPr>
                <w:rFonts w:hint="default" w:ascii="Times New Roman" w:hAnsi="Times New Roman" w:cs="Times New Roman"/>
              </w:rPr>
            </w:pPr>
            <w:r>
              <w:rPr>
                <w:rFonts w:hint="default" w:ascii="Times New Roman" w:hAnsi="Times New Roman" w:cs="Times New Roman"/>
                <w:b/>
                <w:bCs/>
              </w:rPr>
              <w:t>Ratio holds; magnitudes inflated ~3Ã—.</w:t>
            </w:r>
            <w:r>
              <w:rPr>
                <w:rFonts w:hint="default" w:ascii="Times New Roman" w:hAnsi="Times New Roman" w:cs="Times New Roman"/>
              </w:rPr>
              <w:t xml:space="preserve"> Quote 2.7Ã—, not 0.724</w:t>
            </w:r>
          </w:p>
        </w:tc>
      </w:tr>
    </w:tbl>
    <w:p w14:paraId="698AFCA4">
      <w:pPr>
        <w:pStyle w:val="3"/>
        <w:rPr>
          <w:rFonts w:hint="default" w:ascii="Times New Roman" w:hAnsi="Times New Roman" w:cs="Times New Roman"/>
        </w:rPr>
      </w:pPr>
      <w:r>
        <w:rPr>
          <w:rFonts w:hint="default" w:ascii="Times New Roman" w:hAnsi="Times New Roman" w:cs="Times New Roman"/>
        </w:rPr>
        <w:t>The central methodological claim is unchanged and is now better supported than when Section 4.14 was written, because it has been reproduced on a second, defensible derivation of the same cells.</w:t>
      </w:r>
    </w:p>
    <w:bookmarkEnd w:id="11"/>
    <w:bookmarkEnd w:id="26"/>
    <w:bookmarkEnd w:id="30"/>
    <w:p w14:paraId="2D186565">
      <w:pPr>
        <w:pStyle w:val="4"/>
        <w:rPr>
          <w:rFonts w:hint="default" w:ascii="Times New Roman" w:hAnsi="Times New Roman" w:cs="Times New Roman"/>
        </w:rPr>
      </w:pPr>
      <w:bookmarkStart w:id="31" w:name="limitations"/>
      <w:r>
        <w:rPr>
          <w:rFonts w:hint="default" w:ascii="Times New Roman" w:hAnsi="Times New Roman" w:cs="Times New Roman"/>
        </w:rPr>
        <w:t>5. Limitations</w:t>
      </w:r>
    </w:p>
    <w:p w14:paraId="6E57DC65">
      <w:pPr>
        <w:pStyle w:val="24"/>
        <w:numPr>
          <w:ilvl w:val="0"/>
          <w:numId w:val="2"/>
        </w:numPr>
        <w:rPr>
          <w:rFonts w:hint="default" w:ascii="Times New Roman" w:hAnsi="Times New Roman" w:cs="Times New Roman"/>
        </w:rPr>
      </w:pPr>
      <w:r>
        <w:rPr>
          <w:rFonts w:hint="default" w:ascii="Times New Roman" w:hAnsi="Times New Roman" w:cs="Times New Roman"/>
          <w:b/>
          <w:bCs/>
        </w:rPr>
        <w:t>Sample size.</w:t>
      </w:r>
      <w:r>
        <w:rPr>
          <w:rFonts w:hint="default" w:ascii="Times New Roman" w:hAnsi="Times New Roman" w:cs="Times New Roman"/>
        </w:rPr>
        <w:t xml:space="preserve"> 34 NASA batteries split across 9 protocol cohorts of 3-4 batteries each is thin for both correlation and regression work. This is the most likely reason the Level 3 model doesn’t clear a naive baseline â€” with this few batteries per cohort, a fixed effect absorbs a lot of the available signal into the intercept, leaving little for the slope to explain out-of-sample.</w:t>
      </w:r>
    </w:p>
    <w:p w14:paraId="311DB7F5">
      <w:pPr>
        <w:pStyle w:val="24"/>
        <w:numPr>
          <w:ilvl w:val="0"/>
          <w:numId w:val="2"/>
        </w:numPr>
        <w:rPr>
          <w:rFonts w:hint="default" w:ascii="Times New Roman" w:hAnsi="Times New Roman" w:cs="Times New Roman"/>
        </w:rPr>
      </w:pPr>
      <w:r>
        <w:rPr>
          <w:rFonts w:hint="default" w:ascii="Times New Roman" w:hAnsi="Times New Roman" w:cs="Times New Roman"/>
          <w:b/>
          <w:bCs/>
        </w:rPr>
        <w:t>RUL double-counting.</w:t>
      </w:r>
      <w:r>
        <w:rPr>
          <w:rFonts w:hint="default" w:ascii="Times New Roman" w:hAnsi="Times New Roman" w:cs="Times New Roman"/>
        </w:rPr>
        <w:t xml:space="preserve"> </w:t>
      </w:r>
      <w:r>
        <w:rPr>
          <w:rStyle w:val="48"/>
          <w:rFonts w:hint="default" w:ascii="Times New Roman" w:hAnsi="Times New Roman" w:cs="Times New Roman"/>
        </w:rPr>
        <w:t>rul_estimation.py</w:t>
      </w:r>
      <w:r>
        <w:rPr>
          <w:rFonts w:hint="default" w:ascii="Times New Roman" w:hAnsi="Times New Roman" w:cs="Times New Roman"/>
        </w:rPr>
        <w:t>’s Equivalent Aging Factor reuses temperature/deep-discharge/fast-charge signals that are already inside the health index it also depends on. Documented, not fixed â€” fixing it requires the same kind of validated refit Section 4.3 shows isn’t ready yet.</w:t>
      </w:r>
    </w:p>
    <w:p w14:paraId="6179F424">
      <w:pPr>
        <w:pStyle w:val="24"/>
        <w:numPr>
          <w:ilvl w:val="0"/>
          <w:numId w:val="2"/>
        </w:numPr>
        <w:rPr>
          <w:rFonts w:hint="default" w:ascii="Times New Roman" w:hAnsi="Times New Roman" w:cs="Times New Roman"/>
        </w:rPr>
      </w:pPr>
      <w:r>
        <w:rPr>
          <w:rFonts w:hint="default" w:ascii="Times New Roman" w:hAnsi="Times New Roman" w:cs="Times New Roman"/>
          <w:b/>
          <w:bCs/>
        </w:rPr>
        <w:t>No calendar-aging model.</w:t>
      </w:r>
      <w:r>
        <w:rPr>
          <w:rFonts w:hint="default" w:ascii="Times New Roman" w:hAnsi="Times New Roman" w:cs="Times New Roman"/>
        </w:rPr>
        <w:t xml:space="preserve"> The pipeline models cycle aging only. CALCE data suggested a legitimate calendar-aging question (storage SOC/temp/ duration vs. capacity loss) but the specific files available couldn’t answer it.</w:t>
      </w:r>
    </w:p>
    <w:p w14:paraId="111DB90C">
      <w:pPr>
        <w:pStyle w:val="24"/>
        <w:numPr>
          <w:ilvl w:val="0"/>
          <w:numId w:val="2"/>
        </w:numPr>
        <w:rPr>
          <w:rFonts w:hint="default" w:ascii="Times New Roman" w:hAnsi="Times New Roman" w:cs="Times New Roman"/>
        </w:rPr>
      </w:pPr>
      <w:r>
        <w:rPr>
          <w:rFonts w:hint="default" w:ascii="Times New Roman" w:hAnsi="Times New Roman" w:cs="Times New Roman"/>
          <w:b/>
          <w:bCs/>
        </w:rPr>
        <w:t>The fast-charge penalty is unvalidatable on this data, not merely unvalidated.</w:t>
      </w:r>
      <w:r>
        <w:rPr>
          <w:rFonts w:hint="default" w:ascii="Times New Roman" w:hAnsi="Times New Roman" w:cs="Times New Roman"/>
        </w:rPr>
        <w:t xml:space="preserve"> </w:t>
      </w:r>
      <w:r>
        <w:rPr>
          <w:rStyle w:val="48"/>
          <w:rFonts w:hint="default" w:ascii="Times New Roman" w:hAnsi="Times New Roman" w:cs="Times New Roman"/>
        </w:rPr>
        <w:t>fast_charge_duration</w:t>
      </w:r>
      <w:r>
        <w:rPr>
          <w:rFonts w:hint="default" w:ascii="Times New Roman" w:hAnsi="Times New Roman" w:cs="Times New Roman"/>
        </w:rPr>
        <w:t xml:space="preserve"> is identically zero across all 2,682 cycle observations (Section 4.7): NASA’s charge protocol never exceeds ~0.75C, so no event in the dataset trips the C-rate threshold. The 15-point penalty the rules assign to it cannot be constrained by any further analysis of NASA. This is a structural gap in the calibration evidence, and it is the strongest single argument for acquiring a dataset with charge-rate variation.</w:t>
      </w:r>
    </w:p>
    <w:p w14:paraId="30FA9B36">
      <w:pPr>
        <w:pStyle w:val="24"/>
        <w:numPr>
          <w:ilvl w:val="0"/>
          <w:numId w:val="2"/>
        </w:numPr>
        <w:rPr>
          <w:rFonts w:hint="default" w:ascii="Times New Roman" w:hAnsi="Times New Roman" w:cs="Times New Roman"/>
        </w:rPr>
      </w:pPr>
      <w:r>
        <w:rPr>
          <w:rFonts w:hint="default" w:ascii="Times New Roman" w:hAnsi="Times New Roman" w:cs="Times New Roman"/>
          <w:b/>
          <w:bCs/>
        </w:rPr>
        <w:t>The temperature-resistance interaction is unresolved, not disproven.</w:t>
      </w:r>
      <w:r>
        <w:rPr>
          <w:rFonts w:hint="default" w:ascii="Times New Roman" w:hAnsi="Times New Roman" w:cs="Times New Roman"/>
        </w:rPr>
        <w:t xml:space="preserve"> p=0.098 with n=2,682 autocorrelated cycle-observations (33 independent batteries) is underpowered for a subtle interaction effect; “not significant” here should not be read as “the hypothesis is wrong.”</w:t>
      </w:r>
    </w:p>
    <w:p w14:paraId="40BAB205">
      <w:pPr>
        <w:pStyle w:val="24"/>
        <w:numPr>
          <w:ilvl w:val="0"/>
          <w:numId w:val="2"/>
        </w:numPr>
        <w:rPr>
          <w:rFonts w:hint="default" w:ascii="Times New Roman" w:hAnsi="Times New Roman" w:cs="Times New Roman"/>
        </w:rPr>
      </w:pPr>
      <w:r>
        <w:rPr>
          <w:rFonts w:hint="default" w:ascii="Times New Roman" w:hAnsi="Times New Roman" w:cs="Times New Roman"/>
          <w:b/>
          <w:bCs/>
        </w:rPr>
        <w:t>Most of the rule-based score is a constant.</w:t>
      </w:r>
      <w:r>
        <w:rPr>
          <w:rFonts w:hint="default" w:ascii="Times New Roman" w:hAnsi="Times New Roman" w:cs="Times New Roman"/>
        </w:rPr>
        <w:t xml:space="preserve"> 61% of the mean risk score comes from terms that take an identical value for every battery in the calibration set (Section 4.7). The score has six distinct values across 33 cells. Any claim about what the score “measures” is a claim about the three active terms, not the six nominal ones.</w:t>
      </w:r>
    </w:p>
    <w:p w14:paraId="46708F89">
      <w:pPr>
        <w:pStyle w:val="24"/>
        <w:numPr>
          <w:ilvl w:val="0"/>
          <w:numId w:val="2"/>
        </w:numPr>
        <w:rPr>
          <w:rFonts w:hint="default" w:ascii="Times New Roman" w:hAnsi="Times New Roman" w:cs="Times New Roman"/>
        </w:rPr>
      </w:pPr>
      <w:r>
        <w:rPr>
          <w:rFonts w:hint="default" w:ascii="Times New Roman" w:hAnsi="Times New Roman" w:cs="Times New Roman"/>
          <w:b/>
          <w:bCs/>
        </w:rPr>
        <w:t>The v1 health index ranks batteries slightly backwards.</w:t>
      </w:r>
      <w:r>
        <w:rPr>
          <w:rFonts w:hint="default" w:ascii="Times New Roman" w:hAnsi="Times New Roman" w:cs="Times New Roman"/>
        </w:rPr>
        <w:t xml:space="preserve"> Spearman rho = âˆ’0.269 against measured fade (n=33, p=0.124). Non-significant, so this is not evidence that it is systematically inverted â€” but it is emphatically not evidence that it works, and it is now stated on the dashboard itself.</w:t>
      </w:r>
    </w:p>
    <w:p w14:paraId="1A036A31">
      <w:pPr>
        <w:pStyle w:val="24"/>
        <w:numPr>
          <w:ilvl w:val="0"/>
          <w:numId w:val="2"/>
        </w:numPr>
        <w:rPr>
          <w:rFonts w:hint="default" w:ascii="Times New Roman" w:hAnsi="Times New Roman" w:cs="Times New Roman"/>
        </w:rPr>
      </w:pPr>
      <w:r>
        <w:rPr>
          <w:rFonts w:hint="default" w:ascii="Times New Roman" w:hAnsi="Times New Roman" w:cs="Times New Roman"/>
          <w:b/>
          <w:bCs/>
        </w:rPr>
        <w:t>v2’s ranking ability does not survive a protocol change.</w:t>
      </w:r>
      <w:r>
        <w:rPr>
          <w:rFonts w:hint="default" w:ascii="Times New Roman" w:hAnsi="Times New Roman" w:cs="Times New Roman"/>
        </w:rPr>
        <w:t xml:space="preserve"> rho = 0.841 within a known protocol, âˆ’0.295 on an unseen one (Section 4.8). The signal lives in fitted cohort intercepts. Any deployment outside the nine NASA protocols is unsupported by this evidence.</w:t>
      </w:r>
    </w:p>
    <w:p w14:paraId="19C4ED9E">
      <w:pPr>
        <w:pStyle w:val="24"/>
        <w:numPr>
          <w:ilvl w:val="0"/>
          <w:numId w:val="2"/>
        </w:numPr>
        <w:rPr>
          <w:rFonts w:hint="default" w:ascii="Times New Roman" w:hAnsi="Times New Roman" w:cs="Times New Roman"/>
        </w:rPr>
      </w:pPr>
      <w:r>
        <w:rPr>
          <w:rFonts w:hint="default" w:ascii="Times New Roman" w:hAnsi="Times New Roman" w:cs="Times New Roman"/>
          <w:b/>
          <w:bCs/>
        </w:rPr>
        <w:t>Attribution is exact with respect to the score, not to reality.</w:t>
      </w:r>
      <w:r>
        <w:rPr>
          <w:rFonts w:hint="default" w:ascii="Times New Roman" w:hAnsi="Times New Roman" w:cs="Times New Roman"/>
        </w:rPr>
        <w:t xml:space="preserve"> The Shapley decomposition in Section 4.9 is provably consistent with the number it explains. Since that number is not a validated fade predictor, the explanation is a faithful account of the rules and not an account of degradation physics.</w:t>
      </w:r>
    </w:p>
    <w:p w14:paraId="59DC4A83">
      <w:pPr>
        <w:pStyle w:val="24"/>
        <w:numPr>
          <w:ilvl w:val="0"/>
          <w:numId w:val="2"/>
        </w:numPr>
        <w:rPr>
          <w:rFonts w:hint="default" w:ascii="Times New Roman" w:hAnsi="Times New Roman" w:cs="Times New Roman"/>
        </w:rPr>
      </w:pPr>
      <w:r>
        <w:rPr>
          <w:rFonts w:hint="default" w:ascii="Times New Roman" w:hAnsi="Times New Roman" w:cs="Times New Roman"/>
          <w:b/>
          <w:bCs/>
        </w:rPr>
        <w:t>The SHAP importance ranking is not usable as evidence.</w:t>
      </w:r>
      <w:r>
        <w:rPr>
          <w:rFonts w:hint="default" w:ascii="Times New Roman" w:hAnsi="Times New Roman" w:cs="Times New Roman"/>
        </w:rPr>
        <w:t xml:space="preserve"> The model underlying it fails its out-of-sample gate (Section 4.9). It is reported for completeness and explicitly barred from supporting claims about degradation drivers.</w:t>
      </w:r>
    </w:p>
    <w:p w14:paraId="51928EDD">
      <w:pPr>
        <w:pStyle w:val="24"/>
        <w:numPr>
          <w:ilvl w:val="0"/>
          <w:numId w:val="2"/>
        </w:numPr>
        <w:rPr>
          <w:rFonts w:hint="default" w:ascii="Times New Roman" w:hAnsi="Times New Roman" w:cs="Times New Roman"/>
        </w:rPr>
      </w:pPr>
      <w:r>
        <w:rPr>
          <w:rFonts w:hint="default" w:ascii="Times New Roman" w:hAnsi="Times New Roman" w:cs="Times New Roman"/>
          <w:b/>
          <w:bCs/>
        </w:rPr>
        <w:t>Cross-dataset validation was not performed and could not be.</w:t>
      </w:r>
      <w:r>
        <w:rPr>
          <w:rFonts w:hint="default" w:ascii="Times New Roman" w:hAnsi="Times New Roman" w:cs="Times New Roman"/>
        </w:rPr>
        <w:t xml:space="preserve"> LOCO across NASA protocols was substituted (ADR 0001). It rules out protocol-specific overfitting; it does not rule out NASA-specific overfitting.</w:t>
      </w:r>
    </w:p>
    <w:p w14:paraId="7F5E79CF">
      <w:pPr>
        <w:pStyle w:val="24"/>
        <w:numPr>
          <w:ilvl w:val="0"/>
          <w:numId w:val="2"/>
        </w:numPr>
        <w:rPr>
          <w:rFonts w:hint="default" w:ascii="Times New Roman" w:hAnsi="Times New Roman" w:cs="Times New Roman"/>
        </w:rPr>
      </w:pPr>
      <w:r>
        <w:rPr>
          <w:rFonts w:hint="default" w:ascii="Times New Roman" w:hAnsi="Times New Roman" w:cs="Times New Roman"/>
          <w:b/>
          <w:bCs/>
        </w:rPr>
        <w:t>Single dataset carries the entire quantitative case.</w:t>
      </w:r>
      <w:r>
        <w:rPr>
          <w:rFonts w:hint="default" w:ascii="Times New Roman" w:hAnsi="Times New Roman" w:cs="Times New Roman"/>
        </w:rPr>
        <w:t xml:space="preserve"> Every significant result in this report comes from NASA. Independent replication on a second cycling dataset (Stanford/Severson, or CALCE CS2/CX2) is the single highest-value next step for credibility.</w:t>
      </w:r>
    </w:p>
    <w:p w14:paraId="5F3D5DD6">
      <w:pPr>
        <w:pStyle w:val="24"/>
        <w:numPr>
          <w:ilvl w:val="0"/>
          <w:numId w:val="2"/>
        </w:numPr>
        <w:rPr>
          <w:rFonts w:hint="default" w:ascii="Times New Roman" w:hAnsi="Times New Roman" w:cs="Times New Roman"/>
        </w:rPr>
      </w:pPr>
      <w:r>
        <w:rPr>
          <w:rFonts w:hint="default" w:ascii="Times New Roman" w:hAnsi="Times New Roman" w:cs="Times New Roman"/>
          <w:b/>
          <w:bCs/>
        </w:rPr>
        <w:t>Sections 4.1â€“4.6 are scoped to a target that is 96% noise.</w:t>
      </w:r>
      <w:r>
        <w:rPr>
          <w:rFonts w:hint="default" w:ascii="Times New Roman" w:hAnsi="Times New Roman" w:cs="Times New Roman"/>
        </w:rPr>
        <w:t xml:space="preserve"> Their numbers are correct; the conclusions drawn from them are narrower than originally stated (Section 4.10). Any of those analyses is worth re-running against </w:t>
      </w:r>
      <w:r>
        <w:rPr>
          <w:rStyle w:val="48"/>
          <w:rFonts w:hint="default" w:ascii="Times New Roman" w:hAnsi="Times New Roman" w:cs="Times New Roman"/>
        </w:rPr>
        <w:t>cumulative_fade</w:t>
      </w:r>
      <w:r>
        <w:rPr>
          <w:rFonts w:hint="default" w:ascii="Times New Roman" w:hAnsi="Times New Roman" w:cs="Times New Roman"/>
        </w:rPr>
        <w:t>, and none has been.</w:t>
      </w:r>
    </w:p>
    <w:p w14:paraId="25692F07">
      <w:pPr>
        <w:pStyle w:val="24"/>
        <w:numPr>
          <w:ilvl w:val="0"/>
          <w:numId w:val="2"/>
        </w:numPr>
        <w:rPr>
          <w:rFonts w:hint="default" w:ascii="Times New Roman" w:hAnsi="Times New Roman" w:cs="Times New Roman"/>
        </w:rPr>
      </w:pPr>
      <w:r>
        <w:rPr>
          <w:rFonts w:hint="default" w:ascii="Times New Roman" w:hAnsi="Times New Roman" w:cs="Times New Roman"/>
          <w:b/>
          <w:bCs/>
        </w:rPr>
        <w:t>The SOH target rests on a screen, and the screen has thresholds.</w:t>
      </w:r>
      <w:r>
        <w:rPr>
          <w:rFonts w:hint="default" w:ascii="Times New Roman" w:hAnsi="Times New Roman" w:cs="Times New Roman"/>
        </w:rPr>
        <w:t xml:space="preserve"> 32 of 34 cells are admitted by criteria with hand-chosen cut points (Section 4.10). The separation on NASA is wide enough that the exact values do not matter here â€” 2.2% versus 28.3% median step â€” but that margin is a property of this dataset, not a guarantee, and the thresholds have not been tested against a second archive.</w:t>
      </w:r>
    </w:p>
    <w:p w14:paraId="700D57B8">
      <w:pPr>
        <w:pStyle w:val="24"/>
        <w:numPr>
          <w:ilvl w:val="0"/>
          <w:numId w:val="2"/>
        </w:numPr>
        <w:rPr>
          <w:rFonts w:hint="default" w:ascii="Times New Roman" w:hAnsi="Times New Roman" w:cs="Times New Roman"/>
        </w:rPr>
      </w:pPr>
      <w:r>
        <w:rPr>
          <w:rFonts w:hint="default" w:ascii="Times New Roman" w:hAnsi="Times New Roman" w:cs="Times New Roman"/>
          <w:b/>
          <w:bCs/>
        </w:rPr>
        <w:t>The thermal correction is first-order and does not fix the problem.</w:t>
      </w:r>
      <w:r>
        <w:rPr>
          <w:rFonts w:hint="default" w:ascii="Times New Roman" w:hAnsi="Times New Roman" w:cs="Times New Roman"/>
        </w:rPr>
        <w:t xml:space="preserve"> </w:t>
      </w:r>
      <w:r>
        <w:rPr>
          <w:rStyle w:val="48"/>
          <w:rFonts w:hint="default" w:ascii="Times New Roman" w:hAnsi="Times New Roman" w:cs="Times New Roman"/>
        </w:rPr>
        <w:t>thermal_confound.correct_thermal_measurement</w:t>
      </w:r>
      <w:r>
        <w:rPr>
          <w:rFonts w:hint="default" w:ascii="Times New Roman" w:hAnsi="Times New Roman" w:cs="Times New Roman"/>
        </w:rPr>
        <w:t xml:space="preserve"> divides out a per-ambient-level offset estimated from early cycles. It assumes the offset is multiplicative and constant over life, which is wrong â€” internal resistance grows with age, so the low-temperature penalty grows too â€” and it cannot distinguish a genuine early-life difference from the artifact. It did not rescue the Arrhenius fit (Section 4.11).</w:t>
      </w:r>
    </w:p>
    <w:p w14:paraId="7E1A2682">
      <w:pPr>
        <w:pStyle w:val="24"/>
        <w:numPr>
          <w:ilvl w:val="0"/>
          <w:numId w:val="2"/>
        </w:numPr>
        <w:rPr>
          <w:rFonts w:hint="default" w:ascii="Times New Roman" w:hAnsi="Times New Roman" w:cs="Times New Roman"/>
        </w:rPr>
      </w:pPr>
      <w:r>
        <w:rPr>
          <w:rFonts w:hint="default" w:ascii="Times New Roman" w:hAnsi="Times New Roman" w:cs="Times New Roman"/>
          <w:b/>
          <w:bCs/>
        </w:rPr>
        <w:t>An activation energy is not identifiable from this data at all.</w:t>
      </w:r>
      <w:r>
        <w:rPr>
          <w:rFonts w:hint="default" w:ascii="Times New Roman" w:hAnsi="Times New Roman" w:cs="Times New Roman"/>
        </w:rPr>
        <w:t xml:space="preserve"> Not poorly estimated â€” unidentifiable, for three independent reasons (Section 4.11). The Arrhenius module ships gated and refusing.</w:t>
      </w:r>
    </w:p>
    <w:p w14:paraId="36A4029E">
      <w:pPr>
        <w:pStyle w:val="24"/>
        <w:numPr>
          <w:ilvl w:val="0"/>
          <w:numId w:val="2"/>
        </w:numPr>
        <w:rPr>
          <w:rFonts w:hint="default" w:ascii="Times New Roman" w:hAnsi="Times New Roman" w:cs="Times New Roman"/>
        </w:rPr>
      </w:pPr>
      <w:r>
        <w:rPr>
          <w:rFonts w:hint="default" w:ascii="Times New Roman" w:hAnsi="Times New Roman" w:cs="Times New Roman"/>
          <w:b/>
          <w:bCs/>
        </w:rPr>
        <w:t>The capacity-versus-transfer relationship is underpowered.</w:t>
      </w:r>
      <w:r>
        <w:rPr>
          <w:rFonts w:hint="default" w:ascii="Times New Roman" w:hAnsi="Times New Roman" w:cs="Times New Roman"/>
        </w:rPr>
        <w:t xml:space="preserve"> Spearman(LOBO, LOCO) = âˆ’0.490 at p = 0.106 with n = 12 methods (Section 4.12). The concrete selection failure it accompanies does not depend on that p-value, but the general ordering claim does and should not be cited as established.</w:t>
      </w:r>
    </w:p>
    <w:p w14:paraId="7E77CE54">
      <w:pPr>
        <w:pStyle w:val="24"/>
        <w:numPr>
          <w:ilvl w:val="0"/>
          <w:numId w:val="2"/>
        </w:numPr>
        <w:rPr>
          <w:rFonts w:hint="default" w:ascii="Times New Roman" w:hAnsi="Times New Roman" w:cs="Times New Roman"/>
        </w:rPr>
      </w:pPr>
      <w:r>
        <w:rPr>
          <w:rFonts w:hint="default" w:ascii="Times New Roman" w:hAnsi="Times New Roman" w:cs="Times New Roman"/>
          <w:b/>
          <w:bCs/>
        </w:rPr>
        <w:t>Conformal coverage was measured on two methods, not all twelve.</w:t>
      </w:r>
      <w:r>
        <w:rPr>
          <w:rFonts w:hint="default" w:ascii="Times New Roman" w:hAnsi="Times New Roman" w:cs="Times New Roman"/>
        </w:rPr>
        <w:t xml:space="preserve"> </w:t>
      </w:r>
      <w:r>
        <w:rPr>
          <w:rStyle w:val="48"/>
          <w:rFonts w:hint="default" w:ascii="Times New Roman" w:hAnsi="Times New Roman" w:cs="Times New Roman"/>
        </w:rPr>
        <w:t>elasticnet</w:t>
      </w:r>
      <w:r>
        <w:rPr>
          <w:rFonts w:hint="default" w:ascii="Times New Roman" w:hAnsi="Times New Roman" w:cs="Times New Roman"/>
        </w:rPr>
        <w:t xml:space="preserve"> and </w:t>
      </w:r>
      <w:r>
        <w:rPr>
          <w:rStyle w:val="48"/>
          <w:rFonts w:hint="default" w:ascii="Times New Roman" w:hAnsi="Times New Roman" w:cs="Times New Roman"/>
        </w:rPr>
        <w:t>age_linear</w:t>
      </w:r>
      <w:r>
        <w:rPr>
          <w:rFonts w:hint="default" w:ascii="Times New Roman" w:hAnsi="Times New Roman" w:cs="Times New Roman"/>
        </w:rPr>
        <w:t xml:space="preserve"> (Section 4.12). The per-cohort coverage collapse may or may not be as severe for the others.</w:t>
      </w:r>
    </w:p>
    <w:bookmarkEnd w:id="31"/>
    <w:p w14:paraId="54146A53">
      <w:pPr>
        <w:pStyle w:val="4"/>
        <w:rPr>
          <w:rFonts w:hint="default" w:ascii="Times New Roman" w:hAnsi="Times New Roman" w:cs="Times New Roman"/>
        </w:rPr>
      </w:pPr>
      <w:bookmarkStart w:id="32" w:name="future-work-in-priority-order"/>
      <w:r>
        <w:rPr>
          <w:rFonts w:hint="default" w:ascii="Times New Roman" w:hAnsi="Times New Roman" w:cs="Times New Roman"/>
        </w:rPr>
        <w:t>6. Future Work, in priority order</w:t>
      </w:r>
    </w:p>
    <w:p w14:paraId="7B00687C">
      <w:pPr>
        <w:pStyle w:val="14"/>
        <w:rPr>
          <w:rFonts w:hint="default" w:ascii="Times New Roman" w:hAnsi="Times New Roman" w:cs="Times New Roman"/>
        </w:rPr>
      </w:pPr>
      <w:r>
        <w:rPr>
          <w:rFonts w:hint="default" w:ascii="Times New Roman" w:hAnsi="Times New Roman" w:cs="Times New Roman"/>
          <w:b/>
          <w:bCs/>
        </w:rPr>
        <w:t>Reprioritised 2026-08-21.</w:t>
      </w:r>
      <w:r>
        <w:rPr>
          <w:rFonts w:hint="default" w:ascii="Times New Roman" w:hAnsi="Times New Roman" w:cs="Times New Roman"/>
        </w:rPr>
        <w:t xml:space="preserve"> Item 1 is unchanged and remains first, but the commensurability screen now answers </w:t>
      </w:r>
      <w:r>
        <w:rPr>
          <w:rFonts w:hint="default" w:ascii="Times New Roman" w:hAnsi="Times New Roman" w:cs="Times New Roman"/>
          <w:i/>
          <w:iCs/>
        </w:rPr>
        <w:t>which</w:t>
      </w:r>
      <w:r>
        <w:rPr>
          <w:rFonts w:hint="default" w:ascii="Times New Roman" w:hAnsi="Times New Roman" w:cs="Times New Roman"/>
        </w:rPr>
        <w:t xml:space="preserve"> dataset, and items 0aâ€“0c below were added by Sections 4.10â€“4.12. Item 0a is cheap and should precede everything.</w:t>
      </w:r>
    </w:p>
    <w:p w14:paraId="5150417C">
      <w:pPr>
        <w:pStyle w:val="23"/>
        <w:rPr>
          <w:rFonts w:hint="default" w:ascii="Times New Roman" w:hAnsi="Times New Roman" w:cs="Times New Roman"/>
        </w:rPr>
      </w:pPr>
      <w:r>
        <w:rPr>
          <w:rFonts w:hint="default" w:ascii="Times New Roman" w:hAnsi="Times New Roman" w:cs="Times New Roman"/>
        </w:rPr>
        <w:t xml:space="preserve">0a. </w:t>
      </w:r>
      <w:r>
        <w:rPr>
          <w:rFonts w:hint="default" w:ascii="Times New Roman" w:hAnsi="Times New Roman" w:cs="Times New Roman"/>
          <w:b/>
          <w:bCs/>
        </w:rPr>
        <w:t xml:space="preserve">Re-run Sections 4.1, 4.3, 4.7 and 4.8 against </w:t>
      </w:r>
      <w:r>
        <w:rPr>
          <w:rStyle w:val="48"/>
          <w:rFonts w:hint="default" w:ascii="Times New Roman" w:hAnsi="Times New Roman" w:cs="Times New Roman"/>
          <w:b/>
          <w:bCs/>
        </w:rPr>
        <w:t>cumulative_fade</w:t>
      </w:r>
      <w:r>
        <w:rPr>
          <w:rFonts w:hint="default" w:ascii="Times New Roman" w:hAnsi="Times New Roman" w:cs="Times New Roman"/>
          <w:b/>
          <w:bCs/>
        </w:rPr>
        <w:t>.</w:t>
      </w:r>
      <w:r>
        <w:rPr>
          <w:rFonts w:hint="default" w:ascii="Times New Roman" w:hAnsi="Times New Roman" w:cs="Times New Roman"/>
        </w:rPr>
        <w:t xml:space="preserve"> They are currently scoped to a target with a 0.044 ceiling (Section 4.10). No new data is required and the harness already exists â€” </w:t>
      </w:r>
      <w:r>
        <w:rPr>
          <w:rStyle w:val="48"/>
          <w:rFonts w:hint="default" w:ascii="Times New Roman" w:hAnsi="Times New Roman" w:cs="Times New Roman"/>
        </w:rPr>
        <w:t>make study</w:t>
      </w:r>
      <w:r>
        <w:rPr>
          <w:rFonts w:hint="default" w:ascii="Times New Roman" w:hAnsi="Times New Roman" w:cs="Times New Roman"/>
        </w:rPr>
        <w:t>. This is the highest value-per-hour item in the list and it may materially change several conclusions in this report.</w:t>
      </w:r>
    </w:p>
    <w:p w14:paraId="13BC6FBC">
      <w:pPr>
        <w:pStyle w:val="3"/>
        <w:rPr>
          <w:rFonts w:hint="default" w:ascii="Times New Roman" w:hAnsi="Times New Roman" w:cs="Times New Roman"/>
        </w:rPr>
      </w:pPr>
      <w:r>
        <w:rPr>
          <w:rFonts w:hint="default" w:ascii="Times New Roman" w:hAnsi="Times New Roman" w:cs="Times New Roman"/>
        </w:rPr>
        <w:t xml:space="preserve">0b. </w:t>
      </w:r>
      <w:r>
        <w:rPr>
          <w:rFonts w:hint="default" w:ascii="Times New Roman" w:hAnsi="Times New Roman" w:cs="Times New Roman"/>
          <w:b/>
          <w:bCs/>
        </w:rPr>
        <w:t>Re-run the adaptive CLI on the better-conditioned target.</w:t>
      </w:r>
      <w:r>
        <w:rPr>
          <w:rFonts w:hint="default" w:ascii="Times New Roman" w:hAnsi="Times New Roman" w:cs="Times New Roman"/>
        </w:rPr>
        <w:t xml:space="preserve"> </w:t>
      </w:r>
      <w:r>
        <w:rPr>
          <w:rStyle w:val="48"/>
          <w:rFonts w:hint="default" w:ascii="Times New Roman" w:hAnsi="Times New Roman" w:cs="Times New Roman"/>
        </w:rPr>
        <w:t>python -m     src.bms.adaptive calibrate</w:t>
      </w:r>
      <w:r>
        <w:rPr>
          <w:rFonts w:hint="default" w:ascii="Times New Roman" w:hAnsi="Times New Roman" w:cs="Times New Roman"/>
        </w:rPr>
        <w:t xml:space="preserve"> still defaults to </w:t>
      </w:r>
      <w:r>
        <w:rPr>
          <w:rStyle w:val="48"/>
          <w:rFonts w:hint="default" w:ascii="Times New Roman" w:hAnsi="Times New Roman" w:cs="Times New Roman"/>
        </w:rPr>
        <w:t>capacity_loss</w:t>
      </w:r>
      <w:r>
        <w:rPr>
          <w:rFonts w:hint="default" w:ascii="Times New Roman" w:hAnsi="Times New Roman" w:cs="Times New Roman"/>
        </w:rPr>
        <w:t xml:space="preserve">, so its “nothing promoted” verdict inherits the same scope limit. Four candidates clear the gate on </w:t>
      </w:r>
      <w:r>
        <w:rPr>
          <w:rStyle w:val="48"/>
          <w:rFonts w:hint="default" w:ascii="Times New Roman" w:hAnsi="Times New Roman" w:cs="Times New Roman"/>
        </w:rPr>
        <w:t>cumulative_fade</w:t>
      </w:r>
      <w:r>
        <w:rPr>
          <w:rFonts w:hint="default" w:ascii="Times New Roman" w:hAnsi="Times New Roman" w:cs="Times New Roman"/>
        </w:rPr>
        <w:t>.</w:t>
      </w:r>
    </w:p>
    <w:p w14:paraId="1FF19C27">
      <w:pPr>
        <w:pStyle w:val="3"/>
        <w:rPr>
          <w:rFonts w:hint="default" w:ascii="Times New Roman" w:hAnsi="Times New Roman" w:cs="Times New Roman"/>
        </w:rPr>
      </w:pPr>
      <w:r>
        <w:rPr>
          <w:rFonts w:hint="default" w:ascii="Times New Roman" w:hAnsi="Times New Roman" w:cs="Times New Roman"/>
        </w:rPr>
        <w:t xml:space="preserve">0c. </w:t>
      </w:r>
      <w:r>
        <w:rPr>
          <w:rFonts w:hint="default" w:ascii="Times New Roman" w:hAnsi="Times New Roman" w:cs="Times New Roman"/>
          <w:b/>
          <w:bCs/>
        </w:rPr>
        <w:t>Measure conformal coverage for the remaining ten benchmark methods.</w:t>
      </w:r>
      <w:r>
        <w:rPr>
          <w:rFonts w:hint="default" w:ascii="Times New Roman" w:hAnsi="Times New Roman" w:cs="Times New Roman"/>
        </w:rPr>
        <w:t xml:space="preserve"> Only </w:t>
      </w:r>
      <w:r>
        <w:rPr>
          <w:rStyle w:val="48"/>
          <w:rFonts w:hint="default" w:ascii="Times New Roman" w:hAnsi="Times New Roman" w:cs="Times New Roman"/>
        </w:rPr>
        <w:t>elasticnet</w:t>
      </w:r>
      <w:r>
        <w:rPr>
          <w:rFonts w:hint="default" w:ascii="Times New Roman" w:hAnsi="Times New Roman" w:cs="Times New Roman"/>
        </w:rPr>
        <w:t xml:space="preserve"> and </w:t>
      </w:r>
      <w:r>
        <w:rPr>
          <w:rStyle w:val="48"/>
          <w:rFonts w:hint="default" w:ascii="Times New Roman" w:hAnsi="Times New Roman" w:cs="Times New Roman"/>
        </w:rPr>
        <w:t>age_linear</w:t>
      </w:r>
      <w:r>
        <w:rPr>
          <w:rFonts w:hint="default" w:ascii="Times New Roman" w:hAnsi="Times New Roman" w:cs="Times New Roman"/>
        </w:rPr>
        <w:t xml:space="preserve"> have been measured (Section 4.12), and the per-cohort collapse is the most deployment-relevant result in the report.</w:t>
      </w:r>
    </w:p>
    <w:p w14:paraId="30A26034">
      <w:pPr>
        <w:numPr>
          <w:ilvl w:val="0"/>
          <w:numId w:val="5"/>
        </w:numPr>
        <w:rPr>
          <w:rFonts w:hint="default" w:ascii="Times New Roman" w:hAnsi="Times New Roman" w:cs="Times New Roman"/>
        </w:rPr>
      </w:pPr>
      <w:r>
        <w:rPr>
          <w:rFonts w:hint="default" w:ascii="Times New Roman" w:hAnsi="Times New Roman" w:cs="Times New Roman"/>
        </w:rPr>
        <w:t>Acquire a genuine multi-cycle dataset with fast-charge-rate variation (Stanford/Severson) or CALCE cycling data (CS2/CX2) to (a) independently replicate the temperature finding and (b) test the fast-charge hypothesis this dataset structurally cannot test.</w:t>
      </w:r>
    </w:p>
    <w:p w14:paraId="19D9DCF1">
      <w:pPr>
        <w:numPr>
          <w:ilvl w:val="0"/>
          <w:numId w:val="6"/>
        </w:numPr>
        <w:rPr>
          <w:rFonts w:hint="default" w:ascii="Times New Roman" w:hAnsi="Times New Roman" w:cs="Times New Roman"/>
        </w:rPr>
      </w:pPr>
      <w:r>
        <w:rPr>
          <w:rFonts w:hint="default" w:ascii="Times New Roman" w:hAnsi="Times New Roman" w:cs="Times New Roman"/>
          <w:b/>
          <w:bCs/>
        </w:rPr>
        <w:t>Now answerable in advance.</w:t>
      </w:r>
      <w:r>
        <w:rPr>
          <w:rFonts w:hint="default" w:ascii="Times New Roman" w:hAnsi="Times New Roman" w:cs="Times New Roman"/>
        </w:rPr>
        <w:t xml:space="preserve"> The commensurability screen (</w:t>
      </w:r>
      <w:r>
        <w:rPr>
          <w:rStyle w:val="48"/>
          <w:rFonts w:hint="default" w:ascii="Times New Roman" w:hAnsi="Times New Roman" w:cs="Times New Roman"/>
        </w:rPr>
        <w:t>python -m src.bms.adaptive feasibility</w:t>
      </w:r>
      <w:r>
        <w:rPr>
          <w:rFonts w:hint="default" w:ascii="Times New Roman" w:hAnsi="Times New Roman" w:cs="Times New Roman"/>
        </w:rPr>
        <w:t xml:space="preserve">) rates NASA â†’ CALCE CS2/CX2 as FEASIBLE on four axes (cutoff voltage, depth of discharge, discharge rate, internal resistance), and NASA â†’ Stanford/Severson and NASA â†’ Oxford as MARGINAL, with internal resistance the only usable axis in both cases. </w:t>
      </w:r>
      <w:r>
        <w:rPr>
          <w:rFonts w:hint="default" w:ascii="Times New Roman" w:hAnsi="Times New Roman" w:cs="Times New Roman"/>
          <w:b/>
          <w:bCs/>
        </w:rPr>
        <w:t>CALCE is the download that matters</w:t>
      </w:r>
      <w:r>
        <w:rPr>
          <w:rFonts w:hint="default" w:ascii="Times New Roman" w:hAnsi="Times New Roman" w:cs="Times New Roman"/>
        </w:rPr>
        <w:t>; Severson cannot receive a NASA temperature coefficient and NASA cannot fit Severson’s charge-rate axis.</w:t>
      </w:r>
    </w:p>
    <w:p w14:paraId="6743DC3D">
      <w:pPr>
        <w:numPr>
          <w:ilvl w:val="0"/>
          <w:numId w:val="6"/>
        </w:numPr>
        <w:rPr>
          <w:rFonts w:hint="default" w:ascii="Times New Roman" w:hAnsi="Times New Roman" w:cs="Times New Roman"/>
        </w:rPr>
      </w:pPr>
      <w:r>
        <w:rPr>
          <w:rFonts w:hint="default" w:ascii="Times New Roman" w:hAnsi="Times New Roman" w:cs="Times New Roman"/>
        </w:rPr>
        <w:t xml:space="preserve">The scientific value is specifically that CS2’s groupings vary </w:t>
      </w:r>
      <w:r>
        <w:rPr>
          <w:rFonts w:hint="default" w:ascii="Times New Roman" w:hAnsi="Times New Roman" w:cs="Times New Roman"/>
          <w:i/>
          <w:iCs/>
        </w:rPr>
        <w:t>depth of discharge and discharge rate</w:t>
      </w:r>
      <w:r>
        <w:rPr>
          <w:rFonts w:hint="default" w:ascii="Times New Roman" w:hAnsi="Times New Roman" w:cs="Times New Roman"/>
        </w:rPr>
        <w:t>, not temperature. If the LOBO-to-LOCO collapse in Section 4.12 reproduces on a different axis in a different laboratory, it is a property of protocol shift rather than of NASA.</w:t>
      </w:r>
    </w:p>
    <w:p w14:paraId="6FEA35E4">
      <w:pPr>
        <w:numPr>
          <w:ilvl w:val="0"/>
          <w:numId w:val="6"/>
        </w:numPr>
        <w:rPr>
          <w:rFonts w:hint="default" w:ascii="Times New Roman" w:hAnsi="Times New Roman" w:cs="Times New Roman"/>
        </w:rPr>
      </w:pPr>
      <w:r>
        <w:rPr>
          <w:rFonts w:hint="default" w:ascii="Times New Roman" w:hAnsi="Times New Roman" w:cs="Times New Roman"/>
        </w:rPr>
        <w:t>Loaders and registry adapters for CALCE cycling and Oxford now exist (</w:t>
      </w:r>
      <w:r>
        <w:rPr>
          <w:rStyle w:val="48"/>
          <w:rFonts w:hint="default" w:ascii="Times New Roman" w:hAnsi="Times New Roman" w:cs="Times New Roman"/>
        </w:rPr>
        <w:t>src/bms/adaptive/loaders.py</w:t>
      </w:r>
      <w:r>
        <w:rPr>
          <w:rFonts w:hint="default" w:ascii="Times New Roman" w:hAnsi="Times New Roman" w:cs="Times New Roman"/>
        </w:rPr>
        <w:t xml:space="preserve">) and are tested against format fixtures, so this item is a download rather than a build. Note that neither dataset ships a protocol label; cohorts are derived from measured discharge rate and cutoff voltage and marked </w:t>
      </w:r>
      <w:r>
        <w:rPr>
          <w:rStyle w:val="48"/>
          <w:rFonts w:hint="default" w:ascii="Times New Roman" w:hAnsi="Times New Roman" w:cs="Times New Roman"/>
        </w:rPr>
        <w:t>DERIVED_</w:t>
      </w:r>
      <w:r>
        <w:rPr>
          <w:rFonts w:hint="default" w:ascii="Times New Roman" w:hAnsi="Times New Roman" w:cs="Times New Roman"/>
        </w:rPr>
        <w:t xml:space="preserve">, and an authoritative CALCE Type-1..6 mapping supplied via </w:t>
      </w:r>
      <w:r>
        <w:rPr>
          <w:rStyle w:val="48"/>
          <w:rFonts w:hint="default" w:ascii="Times New Roman" w:hAnsi="Times New Roman" w:cs="Times New Roman"/>
        </w:rPr>
        <w:t>cohort_map</w:t>
      </w:r>
      <w:r>
        <w:rPr>
          <w:rFonts w:hint="default" w:ascii="Times New Roman" w:hAnsi="Times New Roman" w:cs="Times New Roman"/>
        </w:rPr>
        <w:t xml:space="preserve"> would be strictly better.</w:t>
      </w:r>
    </w:p>
    <w:p w14:paraId="4B1B3F24">
      <w:pPr>
        <w:numPr>
          <w:ilvl w:val="0"/>
          <w:numId w:val="6"/>
        </w:numPr>
        <w:rPr>
          <w:rFonts w:hint="default" w:ascii="Times New Roman" w:hAnsi="Times New Roman" w:cs="Times New Roman"/>
        </w:rPr>
      </w:pPr>
      <w:r>
        <w:rPr>
          <w:rFonts w:hint="default" w:ascii="Times New Roman" w:hAnsi="Times New Roman" w:cs="Times New Roman"/>
        </w:rPr>
        <w:t xml:space="preserve">The acceptance criteria are now concrete: ~8â€“10+ cells per cohort (Section 4.6), </w:t>
      </w:r>
      <w:r>
        <w:rPr>
          <w:rFonts w:hint="default" w:ascii="Times New Roman" w:hAnsi="Times New Roman" w:cs="Times New Roman"/>
          <w:b/>
          <w:bCs/>
        </w:rPr>
        <w:t>and</w:t>
      </w:r>
      <w:r>
        <w:rPr>
          <w:rFonts w:hint="default" w:ascii="Times New Roman" w:hAnsi="Times New Roman" w:cs="Times New Roman"/>
        </w:rPr>
        <w:t xml:space="preserve"> reference discharges at a common temperature with temperature varied within protocol (Section 4.11).</w:t>
      </w:r>
    </w:p>
    <w:p w14:paraId="4F8EF934">
      <w:pPr>
        <w:numPr>
          <w:ilvl w:val="0"/>
          <w:numId w:val="5"/>
        </w:numPr>
        <w:rPr>
          <w:rFonts w:hint="default" w:ascii="Times New Roman" w:hAnsi="Times New Roman" w:cs="Times New Roman"/>
        </w:rPr>
      </w:pPr>
      <w:r>
        <w:rPr>
          <w:rFonts w:hint="default" w:ascii="Times New Roman" w:hAnsi="Times New Roman" w:cs="Times New Roman"/>
          <w:strike/>
        </w:rPr>
        <w:t>Change the Level 3 regression target from noisy per-cycle capacity differences to a longer-horizon target</w:t>
      </w:r>
      <w:r>
        <w:rPr>
          <w:rFonts w:hint="default" w:ascii="Times New Roman" w:hAnsi="Times New Roman" w:cs="Times New Roman"/>
        </w:rPr>
        <w:t xml:space="preserve"> â€” </w:t>
      </w:r>
      <w:r>
        <w:rPr>
          <w:rFonts w:hint="default" w:ascii="Times New Roman" w:hAnsi="Times New Roman" w:cs="Times New Roman"/>
          <w:b/>
          <w:bCs/>
        </w:rPr>
        <w:t>done, see Section 4.5.</w:t>
      </w:r>
      <w:r>
        <w:rPr>
          <w:rFonts w:hint="default" w:ascii="Times New Roman" w:hAnsi="Times New Roman" w:cs="Times New Roman"/>
        </w:rPr>
        <w:t xml:space="preserve"> Result: rank correlation improved and generalized better; RÂ² against a naive baseline did not improve and got worse at longer horizons, most likely because the fixed cohort intercept generalizes worse as cumulative-loss magnitude grows. </w:t>
      </w:r>
      <w:r>
        <w:rPr>
          <w:rFonts w:hint="default" w:ascii="Times New Roman" w:hAnsi="Times New Roman" w:cs="Times New Roman"/>
          <w:strike/>
        </w:rPr>
        <w:t>Move from a hard cohort fixed effect to a per-battery random effect</w:t>
      </w:r>
      <w:r>
        <w:rPr>
          <w:rFonts w:hint="default" w:ascii="Times New Roman" w:hAnsi="Times New Roman" w:cs="Times New Roman"/>
        </w:rPr>
        <w:t xml:space="preserve"> â€” </w:t>
      </w:r>
      <w:r>
        <w:rPr>
          <w:rFonts w:hint="default" w:ascii="Times New Roman" w:hAnsi="Times New Roman" w:cs="Times New Roman"/>
          <w:b/>
          <w:bCs/>
        </w:rPr>
        <w:t>attempted, see Section 4.6.</w:t>
      </w:r>
      <w:r>
        <w:rPr>
          <w:rFonts w:hint="default" w:ascii="Times New Roman" w:hAnsi="Times New Roman" w:cs="Times New Roman"/>
        </w:rPr>
        <w:t xml:space="preserve"> Closed: not identifiable with 3-4 batteries per cohort (the random-effect variance estimate is either boundary-zero or optimizer-dependent and non-converged). Concrete output: any future dataset intended to support a random-effects approach needs ~8-10+ batteries per protocol cohort, which becomes an explicit acceptance criterion for item 1 below rather than a vague “more data” ask.</w:t>
      </w:r>
    </w:p>
    <w:p w14:paraId="7A7AA4D5">
      <w:pPr>
        <w:numPr>
          <w:ilvl w:val="0"/>
          <w:numId w:val="5"/>
        </w:numPr>
        <w:rPr>
          <w:rFonts w:hint="default" w:ascii="Times New Roman" w:hAnsi="Times New Roman" w:cs="Times New Roman"/>
        </w:rPr>
      </w:pPr>
      <w:r>
        <w:rPr>
          <w:rFonts w:hint="default" w:ascii="Times New Roman" w:hAnsi="Times New Roman" w:cs="Times New Roman"/>
        </w:rPr>
        <w:t>Estimate DC internal resistance directly from the raw 4Â°C charge/discharge V-I curves (voltage step / current step at transitions) to properly resolve the Section 4.3 interaction hypothesis with in-situ data, rather than the indirect 43Â°C-cohort proxy used here.</w:t>
      </w:r>
    </w:p>
    <w:p w14:paraId="52AD8E36">
      <w:pPr>
        <w:numPr>
          <w:ilvl w:val="0"/>
          <w:numId w:val="5"/>
        </w:numPr>
        <w:rPr>
          <w:rFonts w:hint="default" w:ascii="Times New Roman" w:hAnsi="Times New Roman" w:cs="Times New Roman"/>
        </w:rPr>
      </w:pPr>
      <w:r>
        <w:rPr>
          <w:rFonts w:hint="default" w:ascii="Times New Roman" w:hAnsi="Times New Roman" w:cs="Times New Roman"/>
        </w:rPr>
        <w:t xml:space="preserve">Once a model clears cross-validation against a naive baseline (not just in-sample significance), replace the bucketed </w:t>
      </w:r>
      <w:r>
        <w:rPr>
          <w:rStyle w:val="48"/>
          <w:rFonts w:hint="default" w:ascii="Times New Roman" w:hAnsi="Times New Roman" w:cs="Times New Roman"/>
        </w:rPr>
        <w:t>health_index</w:t>
      </w:r>
      <w:r>
        <w:rPr>
          <w:rFonts w:hint="default" w:ascii="Times New Roman" w:hAnsi="Times New Roman" w:cs="Times New Roman"/>
        </w:rPr>
        <w:t>/</w:t>
      </w:r>
      <w:r>
        <w:rPr>
          <w:rStyle w:val="48"/>
          <w:rFonts w:hint="default" w:ascii="Times New Roman" w:hAnsi="Times New Roman" w:cs="Times New Roman"/>
        </w:rPr>
        <w:t>risk_score</w:t>
      </w:r>
      <w:r>
        <w:rPr>
          <w:rFonts w:hint="default" w:ascii="Times New Roman" w:hAnsi="Times New Roman" w:cs="Times New Roman"/>
        </w:rPr>
        <w:t xml:space="preserve"> rules with it, and only then revisit the dashboard’s presentation of these scores.</w:t>
      </w:r>
    </w:p>
    <w:p w14:paraId="7CC5A3AF">
      <w:pPr>
        <w:numPr>
          <w:ilvl w:val="0"/>
          <w:numId w:val="5"/>
        </w:numPr>
        <w:rPr>
          <w:rFonts w:hint="default" w:ascii="Times New Roman" w:hAnsi="Times New Roman" w:cs="Times New Roman"/>
        </w:rPr>
      </w:pPr>
      <w:r>
        <w:rPr>
          <w:rFonts w:hint="default" w:ascii="Times New Roman" w:hAnsi="Times New Roman" w:cs="Times New Roman"/>
        </w:rPr>
        <w:t>Resolve the RUL double-counting using the validated model’s actual coefficient structure rather than another hand-picked adjustment.</w:t>
      </w:r>
    </w:p>
    <w:p w14:paraId="1034AECE">
      <w:pPr>
        <w:numPr>
          <w:ilvl w:val="0"/>
          <w:numId w:val="5"/>
        </w:numPr>
        <w:rPr>
          <w:rFonts w:hint="default" w:ascii="Times New Roman" w:hAnsi="Times New Roman" w:cs="Times New Roman"/>
        </w:rPr>
      </w:pPr>
      <w:r>
        <w:rPr>
          <w:rFonts w:hint="default" w:ascii="Times New Roman" w:hAnsi="Times New Roman" w:cs="Times New Roman"/>
        </w:rPr>
        <w:t>Design and validate a calendar-aging module as a separate feature, using data that can actually support it (not the CALCE files evaluated here).</w:t>
      </w:r>
    </w:p>
    <w:bookmarkEnd w:id="32"/>
    <w:p w14:paraId="793B8BC3">
      <w:pPr>
        <w:pStyle w:val="4"/>
        <w:rPr>
          <w:rFonts w:hint="default" w:ascii="Times New Roman" w:hAnsi="Times New Roman" w:cs="Times New Roman"/>
        </w:rPr>
      </w:pPr>
      <w:bookmarkStart w:id="33" w:name="conclusion"/>
      <w:r>
        <w:rPr>
          <w:rFonts w:hint="default" w:ascii="Times New Roman" w:hAnsi="Times New Roman" w:cs="Times New Roman"/>
        </w:rPr>
        <w:t>7. Conclusion</w:t>
      </w:r>
    </w:p>
    <w:p w14:paraId="02628DC6">
      <w:pPr>
        <w:pStyle w:val="23"/>
        <w:rPr>
          <w:rFonts w:hint="default" w:ascii="Times New Roman" w:hAnsi="Times New Roman" w:cs="Times New Roman"/>
        </w:rPr>
      </w:pPr>
      <w:r>
        <w:rPr>
          <w:rFonts w:hint="default" w:ascii="Times New Roman" w:hAnsi="Times New Roman" w:cs="Times New Roman"/>
        </w:rPr>
        <w:t>The system’s engineering â€” ingestion, feature extraction, pipeline orchestration, dashboard, tests â€” works end-to-end and is documented. The scientific claim the project originally implied (“this health index reflects real degradation risk”) did not hold up under testing, and this report treats that as the central finding rather than something to minimize. What survived rigorous, cohort-controlled, cross-validated testing is narrower than the original scope: temperature exposure is a real signal; the current-based heuristic isn’t validated and doesn’t transfer across thermal conditions.</w:t>
      </w:r>
    </w:p>
    <w:p w14:paraId="02B978EC">
      <w:pPr>
        <w:pStyle w:val="3"/>
        <w:rPr>
          <w:rFonts w:hint="default" w:ascii="Times New Roman" w:hAnsi="Times New Roman" w:cs="Times New Roman"/>
        </w:rPr>
      </w:pPr>
      <w:r>
        <w:rPr>
          <w:rFonts w:hint="default" w:ascii="Times New Roman" w:hAnsi="Times New Roman" w:cs="Times New Roman"/>
        </w:rPr>
        <w:t xml:space="preserve">Three linear-model extensions were then evaluated as ways to close that gap on the existing NASA subset: a fixed cohort-intercept regression (Section 4.3), the same regression on a longer prediction horizon (Section 4.5), and a random-intercept mixed-effects version of it (Section 4.6). Stated precisely, to avoid claiming more than the evidence supports: </w:t>
      </w:r>
      <w:r>
        <w:rPr>
          <w:rFonts w:hint="default" w:ascii="Times New Roman" w:hAnsi="Times New Roman" w:cs="Times New Roman"/>
          <w:b/>
          <w:bCs/>
        </w:rPr>
        <w:t>within this NASA subset and this class of linear models, no statistically supported improvement in leave-one-battery-out generalization was identified.</w:t>
      </w:r>
      <w:r>
        <w:rPr>
          <w:rFonts w:hint="default" w:ascii="Times New Roman" w:hAnsi="Times New Roman" w:cs="Times New Roman"/>
        </w:rPr>
        <w:t xml:space="preserve"> Each attempt narrowed the diagnosis rather than repeating the same negative result â€” the horizon experiment showed the model has real, generalizing rank information it just can’t convert into calibrated magnitude; the mixed-effects attempt showed why the natural fix for that (a per-battery random intercept) isn’t identifiable with only 3-4 batteries per cohort, converting “more data would help” into a specific acceptance criterion for the next dataset. On the strength of that â€” three independent extensions tried and diagnosed rather than one attempt abandoned after a single disappointing number â€” this report treats the current NASA-only modeling work as complete for now. Any further improvement requires either a dataset that meets the Section 4.6 batteries-per-cohort criterion or a fundamentally different predictor (Section 6, item 3: in-situ internal resistance), not further tuning of what’s already been tried here. That is a legitimate, if modest, research result, and the path to a stronger one is specific and actionable (Section 6), not vague.</w:t>
      </w:r>
    </w:p>
    <w:p w14:paraId="6C93DEE6">
      <w:pPr>
        <w:pStyle w:val="5"/>
        <w:rPr>
          <w:rFonts w:hint="default" w:ascii="Times New Roman" w:hAnsi="Times New Roman" w:cs="Times New Roman"/>
        </w:rPr>
      </w:pPr>
      <w:bookmarkStart w:id="34" w:name="addendum-2026-08-21"/>
      <w:r>
        <w:rPr>
          <w:rFonts w:hint="default" w:ascii="Times New Roman" w:hAnsi="Times New Roman" w:cs="Times New Roman"/>
        </w:rPr>
        <w:t>Addendum, 2026-08-21</w:t>
      </w:r>
    </w:p>
    <w:p w14:paraId="2582D7AF">
      <w:pPr>
        <w:pStyle w:val="23"/>
        <w:rPr>
          <w:rFonts w:hint="default" w:ascii="Times New Roman" w:hAnsi="Times New Roman" w:cs="Times New Roman"/>
        </w:rPr>
      </w:pPr>
      <w:r>
        <w:rPr>
          <w:rFonts w:hint="default" w:ascii="Times New Roman" w:hAnsi="Times New Roman" w:cs="Times New Roman"/>
        </w:rPr>
        <w:t>The paragraph above is more pessimistic than the evidence now supports, and the reason is instructive rather than embarrassing.</w:t>
      </w:r>
    </w:p>
    <w:p w14:paraId="0624FB8C">
      <w:pPr>
        <w:pStyle w:val="3"/>
        <w:rPr>
          <w:rFonts w:hint="default" w:ascii="Times New Roman" w:hAnsi="Times New Roman" w:cs="Times New Roman"/>
        </w:rPr>
      </w:pPr>
      <w:r>
        <w:rPr>
          <w:rFonts w:hint="default" w:ascii="Times New Roman" w:hAnsi="Times New Roman" w:cs="Times New Roman"/>
        </w:rPr>
        <w:t xml:space="preserve">“No statistically supported improvement in generalization was identified” remains true </w:t>
      </w:r>
      <w:r>
        <w:rPr>
          <w:rFonts w:hint="default" w:ascii="Times New Roman" w:hAnsi="Times New Roman" w:cs="Times New Roman"/>
          <w:b/>
          <w:bCs/>
        </w:rPr>
        <w:t xml:space="preserve">against </w:t>
      </w:r>
      <w:r>
        <w:rPr>
          <w:rStyle w:val="48"/>
          <w:rFonts w:hint="default" w:ascii="Times New Roman" w:hAnsi="Times New Roman" w:cs="Times New Roman"/>
          <w:b/>
          <w:bCs/>
        </w:rPr>
        <w:t>capacity_loss</w:t>
      </w:r>
      <w:r>
        <w:rPr>
          <w:rFonts w:hint="default" w:ascii="Times New Roman" w:hAnsi="Times New Roman" w:cs="Times New Roman"/>
        </w:rPr>
        <w:t xml:space="preserve">. Section 4.10 shows that target has a maximum attainable RÂ² of 0.044, so all three linear extensions were competing for a band forty times narrower than anyone realised. Against </w:t>
      </w:r>
      <w:r>
        <w:rPr>
          <w:rStyle w:val="48"/>
          <w:rFonts w:hint="default" w:ascii="Times New Roman" w:hAnsi="Times New Roman" w:cs="Times New Roman"/>
        </w:rPr>
        <w:t>cumulative_fade</w:t>
      </w:r>
      <w:r>
        <w:rPr>
          <w:rFonts w:hint="default" w:ascii="Times New Roman" w:hAnsi="Times New Roman" w:cs="Times New Roman"/>
        </w:rPr>
        <w:t>, a plain penalised linear model reaches LOCO RÂ² = 0.295 and clears the promotion gate. The NASA-only modelling work was not complete; it was measuring the wrong thing.</w:t>
      </w:r>
    </w:p>
    <w:p w14:paraId="05698FF5">
      <w:pPr>
        <w:pStyle w:val="3"/>
        <w:rPr>
          <w:rFonts w:hint="default" w:ascii="Times New Roman" w:hAnsi="Times New Roman" w:cs="Times New Roman"/>
        </w:rPr>
      </w:pPr>
      <w:r>
        <w:rPr>
          <w:rFonts w:hint="default" w:ascii="Times New Roman" w:hAnsi="Times New Roman" w:cs="Times New Roman"/>
        </w:rPr>
        <w:t>Two of the three diagnoses survive intact and one gains a mechanism. The horizon result (Section 4.5) is partly explained by horizon length and signal fraction rising together. The mixed-effects identifiability limit (Section 4.6) is unaffected. And the cross-protocol collapse (Section 4.8) now has a physical cause: a reversible thermal offset in measured capacity that is constant within a cohort and sign-reversing across cohorts (Section 4.11).</w:t>
      </w:r>
    </w:p>
    <w:p w14:paraId="20A87613">
      <w:pPr>
        <w:pStyle w:val="3"/>
        <w:rPr>
          <w:rFonts w:hint="default" w:ascii="Times New Roman" w:hAnsi="Times New Roman" w:cs="Times New Roman"/>
        </w:rPr>
      </w:pPr>
      <w:r>
        <w:rPr>
          <w:rFonts w:hint="default" w:ascii="Times New Roman" w:hAnsi="Times New Roman" w:cs="Times New Roman"/>
        </w:rPr>
        <w:t xml:space="preserve">What replaces the original conclusion is a sharper claim, and a more transferable one. This project’s contribution is not a battery model. It is evidence that </w:t>
      </w:r>
      <w:r>
        <w:rPr>
          <w:rFonts w:hint="default" w:ascii="Times New Roman" w:hAnsi="Times New Roman" w:cs="Times New Roman"/>
          <w:b/>
          <w:bCs/>
        </w:rPr>
        <w:t>the validation protocol standard in this field cannot support the claims made on it</w:t>
      </w:r>
      <w:r>
        <w:rPr>
          <w:rFonts w:hint="default" w:ascii="Times New Roman" w:hAnsi="Times New Roman" w:cs="Times New Roman"/>
        </w:rPr>
        <w:t xml:space="preserve"> â€” not because it is biased, but because at these sample sizes it is too </w:t>
      </w:r>
      <w:r>
        <w:rPr>
          <w:rFonts w:hint="default" w:ascii="Times New Roman" w:hAnsi="Times New Roman" w:cs="Times New Roman"/>
          <w:i/>
          <w:iCs/>
        </w:rPr>
        <w:t>noisy</w:t>
      </w:r>
      <w:r>
        <w:rPr>
          <w:rFonts w:hint="default" w:ascii="Times New Roman" w:hAnsi="Times New Roman" w:cs="Times New Roman"/>
        </w:rPr>
        <w:t>. Section 4.14 measures the leave-one-cohort-out estimate’s interquartile range across cohort draws at 0.724 RÂ², against a median between-method difference of 0.351. A single LOCO number is a draw from a distribution wider than the gaps it is used to rank.</w:t>
      </w:r>
    </w:p>
    <w:p w14:paraId="413374E2">
      <w:pPr>
        <w:pStyle w:val="3"/>
        <w:rPr>
          <w:rFonts w:hint="default" w:ascii="Times New Roman" w:hAnsi="Times New Roman" w:cs="Times New Roman"/>
        </w:rPr>
      </w:pPr>
      <w:r>
        <w:rPr>
          <w:rFonts w:hint="default" w:ascii="Times New Roman" w:hAnsi="Times New Roman" w:cs="Times New Roman"/>
        </w:rPr>
        <w:t>This project is its own demonstration. Five ranking claims were made from single-frame LOCO runs and all five were withdrawn â€” one reversed by excluding a single pathological cell, one by adding a second cell family, one by a control the author added to test his own hypothesis. None of the individual runs was wrong; the estimator does not resolve what it was asked to resolve.</w:t>
      </w:r>
    </w:p>
    <w:p w14:paraId="500FAF2C">
      <w:pPr>
        <w:pStyle w:val="3"/>
        <w:rPr>
          <w:rFonts w:hint="default" w:ascii="Times New Roman" w:hAnsi="Times New Roman" w:cs="Times New Roman"/>
        </w:rPr>
      </w:pPr>
      <w:r>
        <w:rPr>
          <w:rFonts w:hint="default" w:ascii="Times New Roman" w:hAnsi="Times New Roman" w:cs="Times New Roman"/>
        </w:rPr>
        <w:t>That result does not depend on batteries. It is testable by anyone with two protocols and a held-out group, and the prescription is concrete: report the interval over cohort draws, not the point estimate.</w:t>
      </w:r>
    </w:p>
    <w:p w14:paraId="5D8BB211">
      <w:pPr>
        <w:pStyle w:val="3"/>
        <w:rPr>
          <w:rFonts w:hint="default" w:ascii="Times New Roman" w:hAnsi="Times New Roman" w:cs="Times New Roman"/>
        </w:rPr>
      </w:pPr>
      <w:r>
        <w:rPr>
          <w:rFonts w:hint="default" w:ascii="Times New Roman" w:hAnsi="Times New Roman" w:cs="Times New Roman"/>
        </w:rPr>
        <w:t xml:space="preserve">The correct next step is therefore not “acquire more data” in general, but specifically </w:t>
      </w:r>
      <w:r>
        <w:rPr>
          <w:rFonts w:hint="default" w:ascii="Times New Roman" w:hAnsi="Times New Roman" w:cs="Times New Roman"/>
          <w:b/>
          <w:bCs/>
        </w:rPr>
        <w:t>more cohorts per dataset</w:t>
      </w:r>
      <w:r>
        <w:rPr>
          <w:rFonts w:hint="default" w:ascii="Times New Roman" w:hAnsi="Times New Roman" w:cs="Times New Roman"/>
        </w:rPr>
        <w:t xml:space="preserve"> â€” the only thing that narrows this interval â€” together with the reporting change above.</w:t>
      </w:r>
    </w:p>
    <w:bookmarkEnd w:id="34"/>
    <w:p w14:paraId="79EB738E">
      <w:pPr>
        <w:pStyle w:val="5"/>
        <w:rPr>
          <w:rFonts w:hint="default" w:ascii="Times New Roman" w:hAnsi="Times New Roman" w:cs="Times New Roman"/>
        </w:rPr>
      </w:pPr>
      <w:bookmarkStart w:id="35" w:name="addendum-2026-09-09"/>
      <w:r>
        <w:rPr>
          <w:rFonts w:hint="default" w:ascii="Times New Roman" w:hAnsi="Times New Roman" w:cs="Times New Roman"/>
        </w:rPr>
        <w:t>Addendum, 2026-09-09</w:t>
      </w:r>
    </w:p>
    <w:p w14:paraId="3114835A">
      <w:pPr>
        <w:pStyle w:val="23"/>
        <w:rPr>
          <w:rFonts w:hint="default" w:ascii="Times New Roman" w:hAnsi="Times New Roman" w:cs="Times New Roman"/>
        </w:rPr>
      </w:pPr>
      <w:r>
        <w:rPr>
          <w:rFonts w:hint="default" w:ascii="Times New Roman" w:hAnsi="Times New Roman" w:cs="Times New Roman"/>
        </w:rPr>
        <w:t xml:space="preserve">The addendum above quotes an interquartile range of 0.724 RÂ² against a median between-method difference of 0.351. </w:t>
      </w:r>
      <w:r>
        <w:rPr>
          <w:rFonts w:hint="default" w:ascii="Times New Roman" w:hAnsi="Times New Roman" w:cs="Times New Roman"/>
          <w:b/>
          <w:bCs/>
        </w:rPr>
        <w:t>Both figures are inflated by roughly threefold</w:t>
      </w:r>
      <w:r>
        <w:rPr>
          <w:rFonts w:hint="default" w:ascii="Times New Roman" w:hAnsi="Times New Roman" w:cs="Times New Roman"/>
        </w:rPr>
        <w:t>, and Section 4.15.2 replaces them.</w:t>
      </w:r>
    </w:p>
    <w:p w14:paraId="5A88D261">
      <w:pPr>
        <w:pStyle w:val="3"/>
        <w:rPr>
          <w:rFonts w:hint="default" w:ascii="Times New Roman" w:hAnsi="Times New Roman" w:cs="Times New Roman"/>
        </w:rPr>
      </w:pPr>
      <w:r>
        <w:rPr>
          <w:rFonts w:hint="default" w:ascii="Times New Roman" w:hAnsi="Times New Roman" w:cs="Times New Roman"/>
        </w:rPr>
        <w:t xml:space="preserve">The sweep behind them pooled two frames, one being the CALCE </w:t>
      </w:r>
      <w:r>
        <w:rPr>
          <w:rStyle w:val="48"/>
          <w:rFonts w:hint="default" w:ascii="Times New Roman" w:hAnsi="Times New Roman" w:cs="Times New Roman"/>
        </w:rPr>
        <w:t>Cycle_Index</w:t>
      </w:r>
      <w:r>
        <w:rPr>
          <w:rFonts w:hint="default" w:ascii="Times New Roman" w:hAnsi="Times New Roman" w:cs="Times New Roman"/>
        </w:rPr>
        <w:t xml:space="preserve"> derivation that ADR 0012 subsequently showed to be a measurement artifact â€” and the artifact is specifically one that a flexible model can partially fit and a smooth function of cycle count cannot, which is exactly the contrast the sweep was measuring. Re-running it on the corrected derivation gives an IQR of 0.296 against an effect of 0.110.</w:t>
      </w:r>
    </w:p>
    <w:p w14:paraId="3A02144D">
      <w:pPr>
        <w:pStyle w:val="3"/>
        <w:rPr>
          <w:rFonts w:hint="default" w:ascii="Times New Roman" w:hAnsi="Times New Roman" w:cs="Times New Roman"/>
        </w:rPr>
      </w:pPr>
      <w:r>
        <w:rPr>
          <w:rFonts w:hint="default" w:ascii="Times New Roman" w:hAnsi="Times New Roman" w:cs="Times New Roman"/>
          <w:b/>
          <w:bCs/>
        </w:rPr>
        <w:t>What survives is the claim, in its ratio form.</w:t>
      </w:r>
      <w:r>
        <w:rPr>
          <w:rFonts w:hint="default" w:ascii="Times New Roman" w:hAnsi="Times New Roman" w:cs="Times New Roman"/>
        </w:rPr>
        <w:t xml:space="preserve"> The estimator’s spread is 2.70Ã— the between-method difference on the corrected target against 2.66Ã— on the artifact target. The measurement being several times noisier than the effect it is used to detect is </w:t>
      </w:r>
      <w:r>
        <w:rPr>
          <w:rFonts w:hint="default" w:ascii="Times New Roman" w:hAnsi="Times New Roman" w:cs="Times New Roman"/>
          <w:i/>
          <w:iCs/>
        </w:rPr>
        <w:t>not</w:t>
      </w:r>
      <w:r>
        <w:rPr>
          <w:rFonts w:hint="default" w:ascii="Times New Roman" w:hAnsi="Times New Roman" w:cs="Times New Roman"/>
        </w:rPr>
        <w:t xml:space="preserve"> a property of the flawed derivation, and the conclusion above stands with its magnitude restated:</w:t>
      </w:r>
    </w:p>
    <w:p w14:paraId="3E13BA25">
      <w:pPr>
        <w:pStyle w:val="14"/>
        <w:rPr>
          <w:rFonts w:hint="default" w:ascii="Times New Roman" w:hAnsi="Times New Roman" w:cs="Times New Roman"/>
        </w:rPr>
      </w:pPr>
      <w:r>
        <w:rPr>
          <w:rFonts w:hint="default" w:ascii="Times New Roman" w:hAnsi="Times New Roman" w:cs="Times New Roman"/>
          <w:i/>
          <w:iCs/>
        </w:rPr>
        <w:t>At the sample sizes standard battery datasets provide, a single leave-one-cohort-out estimate cannot distinguish between candidate methods and must be reported as an interval over cohort draws.</w:t>
      </w:r>
    </w:p>
    <w:p w14:paraId="531591BB">
      <w:pPr>
        <w:pStyle w:val="23"/>
        <w:rPr>
          <w:rFonts w:hint="default" w:ascii="Times New Roman" w:hAnsi="Times New Roman" w:cs="Times New Roman"/>
        </w:rPr>
      </w:pPr>
      <w:r>
        <w:rPr>
          <w:rFonts w:hint="default" w:ascii="Times New Roman" w:hAnsi="Times New Roman" w:cs="Times New Roman"/>
        </w:rPr>
        <w:t xml:space="preserve">Two further consequences. The count of withdrawn ranking claims rises from five to </w:t>
      </w:r>
      <w:r>
        <w:rPr>
          <w:rFonts w:hint="default" w:ascii="Times New Roman" w:hAnsi="Times New Roman" w:cs="Times New Roman"/>
          <w:b/>
          <w:bCs/>
        </w:rPr>
        <w:t>six</w:t>
      </w:r>
      <w:r>
        <w:rPr>
          <w:rFonts w:hint="default" w:ascii="Times New Roman" w:hAnsi="Times New Roman" w:cs="Times New Roman"/>
        </w:rPr>
        <w:t xml:space="preserve"> â€” the correction killed </w:t>
      </w:r>
      <w:r>
        <w:rPr>
          <w:rFonts w:hint="default" w:ascii="Times New Roman" w:hAnsi="Times New Roman" w:cs="Times New Roman"/>
          <w:i/>
          <w:iCs/>
        </w:rPr>
        <w:t>“learned models add enormously over cycle count”</w:t>
      </w:r>
      <w:r>
        <w:rPr>
          <w:rFonts w:hint="default" w:ascii="Times New Roman" w:hAnsi="Times New Roman" w:cs="Times New Roman"/>
        </w:rPr>
        <w:t xml:space="preserve"> (Â§4.15.1) and </w:t>
      </w:r>
      <w:r>
        <w:rPr>
          <w:rFonts w:hint="default" w:ascii="Times New Roman" w:hAnsi="Times New Roman" w:cs="Times New Roman"/>
          <w:i/>
          <w:iCs/>
        </w:rPr>
        <w:t>“the flexible method transfers worst”</w:t>
      </w:r>
      <w:r>
        <w:rPr>
          <w:rFonts w:hint="default" w:ascii="Times New Roman" w:hAnsi="Times New Roman" w:cs="Times New Roman"/>
        </w:rPr>
        <w:t xml:space="preserve"> (Â§4.15.2), in opposite directions, from the same cause. And the withdrawal pattern itself sharpens into the clearest statement of this project’s finding:</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1F46522C">
        <w:tblPrEx>
          <w:tblCellMar>
            <w:top w:w="0" w:type="dxa"/>
            <w:left w:w="108" w:type="dxa"/>
            <w:bottom w:w="0" w:type="dxa"/>
            <w:right w:w="108" w:type="dxa"/>
          </w:tblCellMar>
        </w:tblPrEx>
        <w:trPr>
          <w:tblHeader/>
        </w:trPr>
        <w:tc>
          <w:p w14:paraId="73085AA5">
            <w:pPr>
              <w:pStyle w:val="24"/>
              <w:rPr>
                <w:rFonts w:hint="default" w:ascii="Times New Roman" w:hAnsi="Times New Roman" w:cs="Times New Roman"/>
              </w:rPr>
            </w:pPr>
            <w:r>
              <w:rPr>
                <w:rFonts w:hint="default" w:ascii="Times New Roman" w:hAnsi="Times New Roman" w:cs="Times New Roman"/>
              </w:rPr>
              <w:t>#</w:t>
            </w:r>
          </w:p>
        </w:tc>
        <w:tc>
          <w:p w14:paraId="4394FBFB">
            <w:pPr>
              <w:pStyle w:val="24"/>
              <w:rPr>
                <w:rFonts w:hint="default" w:ascii="Times New Roman" w:hAnsi="Times New Roman" w:cs="Times New Roman"/>
              </w:rPr>
            </w:pPr>
            <w:r>
              <w:rPr>
                <w:rFonts w:hint="default" w:ascii="Times New Roman" w:hAnsi="Times New Roman" w:cs="Times New Roman"/>
              </w:rPr>
              <w:t>Claim</w:t>
            </w:r>
          </w:p>
        </w:tc>
        <w:tc>
          <w:p w14:paraId="6259DE78">
            <w:pPr>
              <w:pStyle w:val="24"/>
              <w:rPr>
                <w:rFonts w:hint="default" w:ascii="Times New Roman" w:hAnsi="Times New Roman" w:cs="Times New Roman"/>
              </w:rPr>
            </w:pPr>
            <w:r>
              <w:rPr>
                <w:rFonts w:hint="default" w:ascii="Times New Roman" w:hAnsi="Times New Roman" w:cs="Times New Roman"/>
              </w:rPr>
              <w:t>What varied</w:t>
            </w:r>
          </w:p>
        </w:tc>
        <w:tc>
          <w:p w14:paraId="4D73353C">
            <w:pPr>
              <w:pStyle w:val="24"/>
              <w:rPr>
                <w:rFonts w:hint="default" w:ascii="Times New Roman" w:hAnsi="Times New Roman" w:cs="Times New Roman"/>
              </w:rPr>
            </w:pPr>
            <w:r>
              <w:rPr>
                <w:rFonts w:hint="default" w:ascii="Times New Roman" w:hAnsi="Times New Roman" w:cs="Times New Roman"/>
              </w:rPr>
              <w:t>How it died</w:t>
            </w:r>
          </w:p>
        </w:tc>
      </w:tr>
      <w:tr w14:paraId="14118866">
        <w:tblPrEx>
          <w:tblCellMar>
            <w:top w:w="0" w:type="dxa"/>
            <w:left w:w="108" w:type="dxa"/>
            <w:bottom w:w="0" w:type="dxa"/>
            <w:right w:w="108" w:type="dxa"/>
          </w:tblCellMar>
        </w:tblPrEx>
        <w:tc>
          <w:p w14:paraId="226B5E7C">
            <w:pPr>
              <w:pStyle w:val="24"/>
              <w:rPr>
                <w:rFonts w:hint="default" w:ascii="Times New Roman" w:hAnsi="Times New Roman" w:cs="Times New Roman"/>
              </w:rPr>
            </w:pPr>
            <w:r>
              <w:rPr>
                <w:rFonts w:hint="default" w:ascii="Times New Roman" w:hAnsi="Times New Roman" w:cs="Times New Roman"/>
              </w:rPr>
              <w:t>1</w:t>
            </w:r>
          </w:p>
        </w:tc>
        <w:tc>
          <w:p w14:paraId="0FC5E748">
            <w:pPr>
              <w:pStyle w:val="24"/>
              <w:rPr>
                <w:rFonts w:hint="default" w:ascii="Times New Roman" w:hAnsi="Times New Roman" w:cs="Times New Roman"/>
              </w:rPr>
            </w:pPr>
            <w:r>
              <w:rPr>
                <w:rFonts w:hint="default" w:ascii="Times New Roman" w:hAnsi="Times New Roman" w:cs="Times New Roman"/>
              </w:rPr>
              <w:t>High-capacity models transfer worse</w:t>
            </w:r>
          </w:p>
        </w:tc>
        <w:tc>
          <w:p w14:paraId="1C08FDC4">
            <w:pPr>
              <w:pStyle w:val="24"/>
              <w:rPr>
                <w:rFonts w:hint="default" w:ascii="Times New Roman" w:hAnsi="Times New Roman" w:cs="Times New Roman"/>
              </w:rPr>
            </w:pPr>
            <w:r>
              <w:rPr>
                <w:rFonts w:hint="default" w:ascii="Times New Roman" w:hAnsi="Times New Roman" w:cs="Times New Roman"/>
              </w:rPr>
              <w:t>Method set</w:t>
            </w:r>
          </w:p>
        </w:tc>
        <w:tc>
          <w:p w14:paraId="651A9DE0">
            <w:pPr>
              <w:pStyle w:val="24"/>
              <w:rPr>
                <w:rFonts w:hint="default" w:ascii="Times New Roman" w:hAnsi="Times New Roman" w:cs="Times New Roman"/>
              </w:rPr>
            </w:pPr>
            <w:r>
              <w:rPr>
                <w:rFonts w:hint="default" w:ascii="Times New Roman" w:hAnsi="Times New Roman" w:cs="Times New Roman"/>
              </w:rPr>
              <w:t>XGBoost was a counterexample</w:t>
            </w:r>
          </w:p>
        </w:tc>
      </w:tr>
      <w:tr w14:paraId="1B692AEB">
        <w:tblPrEx>
          <w:tblCellMar>
            <w:top w:w="0" w:type="dxa"/>
            <w:left w:w="108" w:type="dxa"/>
            <w:bottom w:w="0" w:type="dxa"/>
            <w:right w:w="108" w:type="dxa"/>
          </w:tblCellMar>
        </w:tblPrEx>
        <w:tc>
          <w:p w14:paraId="68BB1D54">
            <w:pPr>
              <w:pStyle w:val="24"/>
              <w:rPr>
                <w:rFonts w:hint="default" w:ascii="Times New Roman" w:hAnsi="Times New Roman" w:cs="Times New Roman"/>
              </w:rPr>
            </w:pPr>
            <w:r>
              <w:rPr>
                <w:rFonts w:hint="default" w:ascii="Times New Roman" w:hAnsi="Times New Roman" w:cs="Times New Roman"/>
              </w:rPr>
              <w:t>2</w:t>
            </w:r>
          </w:p>
        </w:tc>
        <w:tc>
          <w:p w14:paraId="0E4505D5">
            <w:pPr>
              <w:pStyle w:val="24"/>
              <w:rPr>
                <w:rFonts w:hint="default" w:ascii="Times New Roman" w:hAnsi="Times New Roman" w:cs="Times New Roman"/>
              </w:rPr>
            </w:pPr>
            <w:r>
              <w:rPr>
                <w:rFonts w:hint="default" w:ascii="Times New Roman" w:hAnsi="Times New Roman" w:cs="Times New Roman"/>
              </w:rPr>
              <w:t>Regularisation, not capacity, predicts transfer</w:t>
            </w:r>
          </w:p>
        </w:tc>
        <w:tc>
          <w:p w14:paraId="032FAEB8">
            <w:pPr>
              <w:pStyle w:val="24"/>
              <w:rPr>
                <w:rFonts w:hint="default" w:ascii="Times New Roman" w:hAnsi="Times New Roman" w:cs="Times New Roman"/>
              </w:rPr>
            </w:pPr>
            <w:r>
              <w:rPr>
                <w:rFonts w:hint="default" w:ascii="Times New Roman" w:hAnsi="Times New Roman" w:cs="Times New Roman"/>
              </w:rPr>
              <w:t>Dataset</w:t>
            </w:r>
          </w:p>
        </w:tc>
        <w:tc>
          <w:p w14:paraId="6CB4F8EA">
            <w:pPr>
              <w:pStyle w:val="24"/>
              <w:rPr>
                <w:rFonts w:hint="default" w:ascii="Times New Roman" w:hAnsi="Times New Roman" w:cs="Times New Roman"/>
              </w:rPr>
            </w:pPr>
            <w:r>
              <w:rPr>
                <w:rFonts w:hint="default" w:ascii="Times New Roman" w:hAnsi="Times New Roman" w:cs="Times New Roman"/>
              </w:rPr>
              <w:t>Contradicted on CALCE</w:t>
            </w:r>
          </w:p>
        </w:tc>
      </w:tr>
      <w:tr w14:paraId="7DE200C6">
        <w:tblPrEx>
          <w:tblCellMar>
            <w:top w:w="0" w:type="dxa"/>
            <w:left w:w="108" w:type="dxa"/>
            <w:bottom w:w="0" w:type="dxa"/>
            <w:right w:w="108" w:type="dxa"/>
          </w:tblCellMar>
        </w:tblPrEx>
        <w:tc>
          <w:p w14:paraId="0960FE50">
            <w:pPr>
              <w:pStyle w:val="24"/>
              <w:rPr>
                <w:rFonts w:hint="default" w:ascii="Times New Roman" w:hAnsi="Times New Roman" w:cs="Times New Roman"/>
              </w:rPr>
            </w:pPr>
            <w:r>
              <w:rPr>
                <w:rFonts w:hint="default" w:ascii="Times New Roman" w:hAnsi="Times New Roman" w:cs="Times New Roman"/>
              </w:rPr>
              <w:t>3</w:t>
            </w:r>
          </w:p>
        </w:tc>
        <w:tc>
          <w:p w14:paraId="130188B9">
            <w:pPr>
              <w:pStyle w:val="24"/>
              <w:rPr>
                <w:rFonts w:hint="default" w:ascii="Times New Roman" w:hAnsi="Times New Roman" w:cs="Times New Roman"/>
              </w:rPr>
            </w:pPr>
            <w:r>
              <w:rPr>
                <w:rFonts w:hint="default" w:ascii="Times New Roman" w:hAnsi="Times New Roman" w:cs="Times New Roman"/>
              </w:rPr>
              <w:t>Selecting by LOBO picks the worst method</w:t>
            </w:r>
          </w:p>
        </w:tc>
        <w:tc>
          <w:p w14:paraId="48331B76">
            <w:pPr>
              <w:pStyle w:val="24"/>
              <w:rPr>
                <w:rFonts w:hint="default" w:ascii="Times New Roman" w:hAnsi="Times New Roman" w:cs="Times New Roman"/>
              </w:rPr>
            </w:pPr>
            <w:r>
              <w:rPr>
                <w:rFonts w:hint="default" w:ascii="Times New Roman" w:hAnsi="Times New Roman" w:cs="Times New Roman"/>
              </w:rPr>
              <w:t>Cell set</w:t>
            </w:r>
          </w:p>
        </w:tc>
        <w:tc>
          <w:p w14:paraId="3DB123DD">
            <w:pPr>
              <w:pStyle w:val="24"/>
              <w:rPr>
                <w:rFonts w:hint="default" w:ascii="Times New Roman" w:hAnsi="Times New Roman" w:cs="Times New Roman"/>
              </w:rPr>
            </w:pPr>
            <w:r>
              <w:rPr>
                <w:rFonts w:hint="default" w:ascii="Times New Roman" w:hAnsi="Times New Roman" w:cs="Times New Roman"/>
              </w:rPr>
              <w:t>Rested on one cell (B0041)</w:t>
            </w:r>
          </w:p>
        </w:tc>
      </w:tr>
      <w:tr w14:paraId="49230B90">
        <w:tblPrEx>
          <w:tblCellMar>
            <w:top w:w="0" w:type="dxa"/>
            <w:left w:w="108" w:type="dxa"/>
            <w:bottom w:w="0" w:type="dxa"/>
            <w:right w:w="108" w:type="dxa"/>
          </w:tblCellMar>
        </w:tblPrEx>
        <w:tc>
          <w:p w14:paraId="62019FF7">
            <w:pPr>
              <w:pStyle w:val="24"/>
              <w:rPr>
                <w:rFonts w:hint="default" w:ascii="Times New Roman" w:hAnsi="Times New Roman" w:cs="Times New Roman"/>
              </w:rPr>
            </w:pPr>
            <w:r>
              <w:rPr>
                <w:rFonts w:hint="default" w:ascii="Times New Roman" w:hAnsi="Times New Roman" w:cs="Times New Roman"/>
              </w:rPr>
              <w:t>4</w:t>
            </w:r>
          </w:p>
        </w:tc>
        <w:tc>
          <w:p w14:paraId="6F1B888A">
            <w:pPr>
              <w:pStyle w:val="24"/>
              <w:rPr>
                <w:rFonts w:hint="default" w:ascii="Times New Roman" w:hAnsi="Times New Roman" w:cs="Times New Roman"/>
              </w:rPr>
            </w:pPr>
            <w:r>
              <w:rPr>
                <w:rFonts w:hint="default" w:ascii="Times New Roman" w:hAnsi="Times New Roman" w:cs="Times New Roman"/>
              </w:rPr>
              <w:t>The LSTM transfers worst on both datasets</w:t>
            </w:r>
          </w:p>
        </w:tc>
        <w:tc>
          <w:p w14:paraId="4E4BB342">
            <w:pPr>
              <w:pStyle w:val="24"/>
              <w:rPr>
                <w:rFonts w:hint="default" w:ascii="Times New Roman" w:hAnsi="Times New Roman" w:cs="Times New Roman"/>
              </w:rPr>
            </w:pPr>
            <w:r>
              <w:rPr>
                <w:rFonts w:hint="default" w:ascii="Times New Roman" w:hAnsi="Times New Roman" w:cs="Times New Roman"/>
              </w:rPr>
              <w:t>Cohort coverage</w:t>
            </w:r>
          </w:p>
        </w:tc>
        <w:tc>
          <w:p w14:paraId="69E2541D">
            <w:pPr>
              <w:pStyle w:val="24"/>
              <w:rPr>
                <w:rFonts w:hint="default" w:ascii="Times New Roman" w:hAnsi="Times New Roman" w:cs="Times New Roman"/>
              </w:rPr>
            </w:pPr>
            <w:r>
              <w:rPr>
                <w:rFonts w:hint="default" w:ascii="Times New Roman" w:hAnsi="Times New Roman" w:cs="Times New Roman"/>
              </w:rPr>
              <w:t>Reversed when CX2 was added</w:t>
            </w:r>
          </w:p>
        </w:tc>
      </w:tr>
      <w:tr w14:paraId="2814E491">
        <w:tblPrEx>
          <w:tblCellMar>
            <w:top w:w="0" w:type="dxa"/>
            <w:left w:w="108" w:type="dxa"/>
            <w:bottom w:w="0" w:type="dxa"/>
            <w:right w:w="108" w:type="dxa"/>
          </w:tblCellMar>
        </w:tblPrEx>
        <w:tc>
          <w:p w14:paraId="284C58F9">
            <w:pPr>
              <w:pStyle w:val="24"/>
              <w:rPr>
                <w:rFonts w:hint="default" w:ascii="Times New Roman" w:hAnsi="Times New Roman" w:cs="Times New Roman"/>
              </w:rPr>
            </w:pPr>
            <w:r>
              <w:rPr>
                <w:rFonts w:hint="default" w:ascii="Times New Roman" w:hAnsi="Times New Roman" w:cs="Times New Roman"/>
              </w:rPr>
              <w:t>5</w:t>
            </w:r>
          </w:p>
        </w:tc>
        <w:tc>
          <w:p w14:paraId="05F009BF">
            <w:pPr>
              <w:pStyle w:val="24"/>
              <w:rPr>
                <w:rFonts w:hint="default" w:ascii="Times New Roman" w:hAnsi="Times New Roman" w:cs="Times New Roman"/>
              </w:rPr>
            </w:pPr>
            <w:r>
              <w:rPr>
                <w:rFonts w:hint="default" w:ascii="Times New Roman" w:hAnsi="Times New Roman" w:cs="Times New Roman"/>
              </w:rPr>
              <w:t>Learned models add enormously over cycle count</w:t>
            </w:r>
          </w:p>
        </w:tc>
        <w:tc>
          <w:p w14:paraId="271E9038">
            <w:pPr>
              <w:pStyle w:val="24"/>
              <w:rPr>
                <w:rFonts w:hint="default" w:ascii="Times New Roman" w:hAnsi="Times New Roman" w:cs="Times New Roman"/>
              </w:rPr>
            </w:pPr>
            <w:r>
              <w:rPr>
                <w:rFonts w:hint="default" w:ascii="Times New Roman" w:hAnsi="Times New Roman" w:cs="Times New Roman"/>
              </w:rPr>
              <w:t>Target derivation</w:t>
            </w:r>
          </w:p>
        </w:tc>
        <w:tc>
          <w:p w14:paraId="6E5EAFA2">
            <w:pPr>
              <w:pStyle w:val="24"/>
              <w:rPr>
                <w:rFonts w:hint="default" w:ascii="Times New Roman" w:hAnsi="Times New Roman" w:cs="Times New Roman"/>
              </w:rPr>
            </w:pPr>
            <w:r>
              <w:rPr>
                <w:rFonts w:hint="default" w:ascii="Times New Roman" w:hAnsi="Times New Roman" w:cs="Times New Roman"/>
              </w:rPr>
              <w:t>Reversed by the corrected target</w:t>
            </w:r>
          </w:p>
        </w:tc>
      </w:tr>
      <w:tr w14:paraId="57357159">
        <w:tblPrEx>
          <w:tblCellMar>
            <w:top w:w="0" w:type="dxa"/>
            <w:left w:w="108" w:type="dxa"/>
            <w:bottom w:w="0" w:type="dxa"/>
            <w:right w:w="108" w:type="dxa"/>
          </w:tblCellMar>
        </w:tblPrEx>
        <w:tc>
          <w:p w14:paraId="5400524C">
            <w:pPr>
              <w:pStyle w:val="24"/>
              <w:rPr>
                <w:rFonts w:hint="default" w:ascii="Times New Roman" w:hAnsi="Times New Roman" w:cs="Times New Roman"/>
              </w:rPr>
            </w:pPr>
            <w:r>
              <w:rPr>
                <w:rFonts w:hint="default" w:ascii="Times New Roman" w:hAnsi="Times New Roman" w:cs="Times New Roman"/>
              </w:rPr>
              <w:t>6</w:t>
            </w:r>
          </w:p>
        </w:tc>
        <w:tc>
          <w:p w14:paraId="6632E963">
            <w:pPr>
              <w:pStyle w:val="24"/>
              <w:rPr>
                <w:rFonts w:hint="default" w:ascii="Times New Roman" w:hAnsi="Times New Roman" w:cs="Times New Roman"/>
              </w:rPr>
            </w:pPr>
            <w:r>
              <w:rPr>
                <w:rFonts w:hint="default" w:ascii="Times New Roman" w:hAnsi="Times New Roman" w:cs="Times New Roman"/>
              </w:rPr>
              <w:t>The flexible method transfers worst</w:t>
            </w:r>
          </w:p>
        </w:tc>
        <w:tc>
          <w:p w14:paraId="3DDF854E">
            <w:pPr>
              <w:pStyle w:val="24"/>
              <w:rPr>
                <w:rFonts w:hint="default" w:ascii="Times New Roman" w:hAnsi="Times New Roman" w:cs="Times New Roman"/>
              </w:rPr>
            </w:pPr>
            <w:r>
              <w:rPr>
                <w:rFonts w:hint="default" w:ascii="Times New Roman" w:hAnsi="Times New Roman" w:cs="Times New Roman"/>
              </w:rPr>
              <w:t>Target derivation</w:t>
            </w:r>
          </w:p>
        </w:tc>
        <w:tc>
          <w:p w14:paraId="02261477">
            <w:pPr>
              <w:pStyle w:val="24"/>
              <w:rPr>
                <w:rFonts w:hint="default" w:ascii="Times New Roman" w:hAnsi="Times New Roman" w:cs="Times New Roman"/>
              </w:rPr>
            </w:pPr>
            <w:r>
              <w:rPr>
                <w:rFonts w:hint="default" w:ascii="Times New Roman" w:hAnsi="Times New Roman" w:cs="Times New Roman"/>
              </w:rPr>
              <w:t>Ordering inverted on the corrected target</w:t>
            </w:r>
          </w:p>
        </w:tc>
      </w:tr>
    </w:tbl>
    <w:p w14:paraId="6DA6A50D">
      <w:pPr>
        <w:pStyle w:val="3"/>
        <w:rPr>
          <w:rFonts w:hint="default" w:ascii="Times New Roman" w:hAnsi="Times New Roman" w:cs="Times New Roman"/>
        </w:rPr>
      </w:pPr>
      <w:r>
        <w:rPr>
          <w:rFonts w:hint="default" w:ascii="Times New Roman" w:hAnsi="Times New Roman" w:cs="Times New Roman"/>
          <w:b/>
          <w:bCs/>
        </w:rPr>
        <w:t>In no case did the model change.</w:t>
      </w:r>
      <w:r>
        <w:rPr>
          <w:rFonts w:hint="default" w:ascii="Times New Roman" w:hAnsi="Times New Roman" w:cs="Times New Roman"/>
        </w:rPr>
        <w:t xml:space="preserve"> Every claim was overturned by varying something the field routinely treats as a fixed preliminary â€” which methods were compared, which dataset, which cells were admitted, how many cohorts, and how the target was derived from raw records. That third column is this project’s argument in one place.</w:t>
      </w:r>
    </w:p>
    <w:p w14:paraId="5713F379">
      <w:pPr>
        <w:pStyle w:val="3"/>
        <w:rPr>
          <w:rFonts w:hint="default" w:ascii="Times New Roman" w:hAnsi="Times New Roman" w:cs="Times New Roman"/>
        </w:rPr>
      </w:pPr>
      <w:r>
        <w:rPr>
          <w:rFonts w:hint="default" w:ascii="Times New Roman" w:hAnsi="Times New Roman" w:cs="Times New Roman"/>
        </w:rPr>
        <w:t>That the sixth claim was found by re-running the project’s own central experiment against its own later finding â€” rather than by a reviewer â€” is the strongest available evidence that the reporting discipline described in Â§3.4 works.</w:t>
      </w:r>
    </w:p>
    <w:bookmarkEnd w:id="33"/>
    <w:bookmarkEnd w:id="35"/>
    <w:p w14:paraId="15383016">
      <w:pPr>
        <w:pStyle w:val="4"/>
        <w:rPr>
          <w:rFonts w:hint="default" w:ascii="Times New Roman" w:hAnsi="Times New Roman" w:cs="Times New Roman"/>
        </w:rPr>
      </w:pPr>
      <w:bookmarkStart w:id="36" w:name="references"/>
      <w:r>
        <w:rPr>
          <w:rFonts w:hint="default" w:ascii="Times New Roman" w:hAnsi="Times New Roman" w:cs="Times New Roman"/>
        </w:rPr>
        <w:t>References</w:t>
      </w:r>
    </w:p>
    <w:p w14:paraId="133185A3">
      <w:pPr>
        <w:pStyle w:val="14"/>
        <w:rPr>
          <w:rFonts w:hint="default" w:ascii="Times New Roman" w:hAnsi="Times New Roman" w:cs="Times New Roman"/>
        </w:rPr>
      </w:pPr>
      <w:r>
        <w:rPr>
          <w:rFonts w:hint="default" w:ascii="Times New Roman" w:hAnsi="Times New Roman" w:cs="Times New Roman"/>
        </w:rPr>
        <w:t xml:space="preserve">Every entry below has been verified against the publisher’s or repository’s own record. No reference in this report was filled in from memory. Entries 4â€“6 were added in the 2026-09-09 revision and correspond to verified rows in </w:t>
      </w:r>
      <w:r>
        <w:rPr>
          <w:rStyle w:val="48"/>
          <w:rFonts w:hint="default" w:ascii="Times New Roman" w:hAnsi="Times New Roman" w:cs="Times New Roman"/>
        </w:rPr>
        <w:t>docs/manuscript/survey/extraction.csv</w:t>
      </w:r>
      <w:r>
        <w:rPr>
          <w:rFonts w:hint="default" w:ascii="Times New Roman" w:hAnsi="Times New Roman" w:cs="Times New Roman"/>
        </w:rPr>
        <w:t>.</w:t>
      </w:r>
    </w:p>
    <w:p w14:paraId="52A4F4CD">
      <w:pPr>
        <w:pStyle w:val="24"/>
        <w:numPr>
          <w:ilvl w:val="0"/>
          <w:numId w:val="7"/>
        </w:numPr>
        <w:rPr>
          <w:rFonts w:hint="default" w:ascii="Times New Roman" w:hAnsi="Times New Roman" w:cs="Times New Roman"/>
        </w:rPr>
      </w:pPr>
      <w:r>
        <w:rPr>
          <w:rFonts w:hint="default" w:ascii="Times New Roman" w:hAnsi="Times New Roman" w:cs="Times New Roman"/>
        </w:rPr>
        <w:t>B. Saha and K. Goebel (2007). “Battery Data Set”, NASA Prognostics Data Repository, NASA Ames Research Center, Moffett Field, CA. The primary calibration dataset for this report (Sections 3.2, 4.1-4.3, 4.5, 4.6): 34 Li-ion cells, 7.24M telemetry rows, real per-cycle measured discharge capacity across 9 documented experimental protocols.</w:t>
      </w:r>
    </w:p>
    <w:p w14:paraId="4980668F">
      <w:pPr>
        <w:pStyle w:val="24"/>
        <w:numPr>
          <w:ilvl w:val="0"/>
          <w:numId w:val="7"/>
        </w:numPr>
        <w:rPr>
          <w:rFonts w:hint="default" w:ascii="Times New Roman" w:hAnsi="Times New Roman" w:cs="Times New Roman"/>
        </w:rPr>
      </w:pPr>
      <w:r>
        <w:rPr>
          <w:rFonts w:hint="default" w:ascii="Times New Roman" w:hAnsi="Times New Roman" w:cs="Times New Roman"/>
        </w:rPr>
        <w:t xml:space="preserve">CALCE Battery Research Group, University of Maryland. PL pouch cell calendar-aging and capacity-characterization data. Evaluated in Section 4.4 and </w:t>
      </w:r>
      <w:r>
        <w:rPr>
          <w:rStyle w:val="48"/>
          <w:rFonts w:hint="default" w:ascii="Times New Roman" w:hAnsi="Times New Roman" w:cs="Times New Roman"/>
        </w:rPr>
        <w:t>docs/calce_dataset_note.md</w:t>
      </w:r>
      <w:r>
        <w:rPr>
          <w:rFonts w:hint="default" w:ascii="Times New Roman" w:hAnsi="Times New Roman" w:cs="Times New Roman"/>
        </w:rPr>
        <w:t>; found unsuitable for either calibration question attempted, for reasons specific to the files supplied, not the dataset’s value in general â€” CALCE’s separate CS2/CX2 cycling series remains a reasonable candidate for Section 6, item 1.</w:t>
      </w:r>
    </w:p>
    <w:p w14:paraId="0BF9352B">
      <w:pPr>
        <w:pStyle w:val="24"/>
        <w:numPr>
          <w:ilvl w:val="0"/>
          <w:numId w:val="7"/>
        </w:numPr>
        <w:rPr>
          <w:rFonts w:hint="default" w:ascii="Times New Roman" w:hAnsi="Times New Roman" w:cs="Times New Roman"/>
        </w:rPr>
      </w:pPr>
      <w:r>
        <w:rPr>
          <w:rFonts w:hint="default" w:ascii="Times New Roman" w:hAnsi="Times New Roman" w:cs="Times New Roman"/>
        </w:rPr>
        <w:t xml:space="preserve">K. A. Severson, P. M. Attia, N. Jin, N. Perkins, B. Jiang, Z. Yang, M. H. Chen, M. Aykol, P. K. Herring, D. Fraggedakis, M. Z. Bazant, S. J. Harris, W. C. Chueh and R. D. Braatz (2019). “Data-driven prediction of battery cycle life before capacity degradation”, </w:t>
      </w:r>
      <w:r>
        <w:rPr>
          <w:rFonts w:hint="default" w:ascii="Times New Roman" w:hAnsi="Times New Roman" w:cs="Times New Roman"/>
          <w:i/>
          <w:iCs/>
        </w:rPr>
        <w:t>Nature Energy</w:t>
      </w:r>
      <w:r>
        <w:rPr>
          <w:rFonts w:hint="default" w:ascii="Times New Roman" w:hAnsi="Times New Roman" w:cs="Times New Roman"/>
        </w:rPr>
        <w:t>, 4(5), 383â€“391. https://doi.org/10.1038/s41560-019-0356-8 Anchor for curve-based SOH features (Section 1.1); identified as the right dataset for fast-charge-specific validation (Section 3.2), not acquired at time of writing.</w:t>
      </w:r>
    </w:p>
    <w:p w14:paraId="75125F03">
      <w:pPr>
        <w:pStyle w:val="24"/>
        <w:numPr>
          <w:ilvl w:val="0"/>
          <w:numId w:val="7"/>
        </w:numPr>
        <w:rPr>
          <w:rFonts w:hint="default" w:ascii="Times New Roman" w:hAnsi="Times New Roman" w:cs="Times New Roman"/>
        </w:rPr>
      </w:pPr>
      <w:r>
        <w:rPr>
          <w:rFonts w:hint="default" w:ascii="Times New Roman" w:hAnsi="Times New Roman" w:cs="Times New Roman"/>
        </w:rPr>
        <w:t xml:space="preserve">K. Maher and N. Yerken (2025). “Comprehensive machine learning for lithium-ion battery state-of-health estimation using group-wise cross-validation”, </w:t>
      </w:r>
      <w:r>
        <w:rPr>
          <w:rFonts w:hint="default" w:ascii="Times New Roman" w:hAnsi="Times New Roman" w:cs="Times New Roman"/>
          <w:i/>
          <w:iCs/>
        </w:rPr>
        <w:t>14th International Conference on Renewable Energy Research and Applications (ICRERA 2025)</w:t>
      </w:r>
      <w:r>
        <w:rPr>
          <w:rFonts w:hint="default" w:ascii="Times New Roman" w:hAnsi="Times New Roman" w:cs="Times New Roman"/>
        </w:rPr>
        <w:t xml:space="preserve">, pp. 1465â€“1468, IEEE. https://doi.org/10.1109/ICRERA66237.2025.11283788 The closest prior work to this project’s methodological contribution (Section 1.1): compares random splitting against cell-wise </w:t>
      </w:r>
      <w:r>
        <w:rPr>
          <w:rStyle w:val="48"/>
          <w:rFonts w:hint="default" w:ascii="Times New Roman" w:hAnsi="Times New Roman" w:cs="Times New Roman"/>
        </w:rPr>
        <w:t>GroupKFold</w:t>
      </w:r>
      <w:r>
        <w:rPr>
          <w:rFonts w:hint="default" w:ascii="Times New Roman" w:hAnsi="Times New Roman" w:cs="Times New Roman"/>
        </w:rPr>
        <w:t xml:space="preserve"> across seven models and reports RÂ² falling from 0.9999 to â‰ˆ0.91. Establishes the rung of the validation ladder immediately below the one this report addresses.</w:t>
      </w:r>
    </w:p>
    <w:p w14:paraId="2EC2B15B">
      <w:pPr>
        <w:pStyle w:val="24"/>
        <w:numPr>
          <w:ilvl w:val="0"/>
          <w:numId w:val="7"/>
        </w:numPr>
        <w:rPr>
          <w:rFonts w:hint="default" w:ascii="Times New Roman" w:hAnsi="Times New Roman" w:cs="Times New Roman"/>
        </w:rPr>
      </w:pPr>
      <w:r>
        <w:rPr>
          <w:rFonts w:hint="default" w:ascii="Times New Roman" w:hAnsi="Times New Roman" w:cs="Times New Roman"/>
        </w:rPr>
        <w:t xml:space="preserve">H. H. Le and K.-A. Nguyen (2026). “Charging phase health indicators for battery state-of-health estimation: a systematic comparison of CC, CV, and combined approaches under cross-battery validation”, </w:t>
      </w:r>
      <w:r>
        <w:rPr>
          <w:rFonts w:hint="default" w:ascii="Times New Roman" w:hAnsi="Times New Roman" w:cs="Times New Roman"/>
          <w:i/>
          <w:iCs/>
        </w:rPr>
        <w:t>arXiv:2607.23482</w:t>
      </w:r>
      <w:r>
        <w:rPr>
          <w:rFonts w:hint="default" w:ascii="Times New Roman" w:hAnsi="Times New Roman" w:cs="Times New Roman"/>
        </w:rPr>
        <w:t xml:space="preserve">. Independent corroboration of Section 4.8’s first step: a 119% performance gap between 5-fold cross-validation and leave-one-battery-out validation on the NASA dataset. </w:t>
      </w:r>
      <w:r>
        <w:rPr>
          <w:rFonts w:hint="default" w:ascii="Times New Roman" w:hAnsi="Times New Roman" w:cs="Times New Roman"/>
          <w:i/>
          <w:iCs/>
        </w:rPr>
        <w:t>Cited from the abstract; confirm against the full text before quoting the figure elsewhere.</w:t>
      </w:r>
    </w:p>
    <w:p w14:paraId="10B8D9D9">
      <w:pPr>
        <w:pStyle w:val="24"/>
        <w:numPr>
          <w:ilvl w:val="0"/>
          <w:numId w:val="7"/>
        </w:numPr>
        <w:rPr>
          <w:rFonts w:hint="default" w:ascii="Times New Roman" w:hAnsi="Times New Roman" w:cs="Times New Roman"/>
        </w:rPr>
      </w:pPr>
      <w:r>
        <w:rPr>
          <w:rFonts w:hint="default" w:ascii="Times New Roman" w:hAnsi="Times New Roman" w:cs="Times New Roman"/>
        </w:rPr>
        <w:t>Y. Liu, S. Saxena, M. Pecht et al. CALCE CS2 and CX2 prismatic cell cycling series, Center for Advanced Life Cycle Engineering, University of Maryland. The replication dataset for Sections 4.13 and 4.15: 22 cells across 10 cohorts under the corrected full-discharge derivation (ADR 0012), spanning two cell families and a depth-of-discharge cohort axis rather than a thermal one. Distinct from the PL pouch-cell data of entry 2.</w:t>
      </w:r>
    </w:p>
    <w:bookmarkEnd w:id="36"/>
    <w:p w14:paraId="477600EA">
      <w:pPr>
        <w:pStyle w:val="4"/>
        <w:rPr>
          <w:rFonts w:hint="default" w:ascii="Times New Roman" w:hAnsi="Times New Roman" w:cs="Times New Roman"/>
        </w:rPr>
      </w:pPr>
      <w:bookmarkStart w:id="37" w:name="appendix-reproducing-all-results"/>
      <w:r>
        <w:rPr>
          <w:rFonts w:hint="default" w:ascii="Times New Roman" w:hAnsi="Times New Roman" w:cs="Times New Roman"/>
        </w:rPr>
        <w:t>Appendix: Reproducing all results</w:t>
      </w:r>
    </w:p>
    <w:p w14:paraId="1AD12EC5">
      <w:pPr>
        <w:pStyle w:val="49"/>
        <w:rPr>
          <w:rFonts w:hint="default" w:ascii="Times New Roman" w:hAnsi="Times New Roman" w:cs="Times New Roman"/>
        </w:rPr>
      </w:pPr>
      <w:r>
        <w:rPr>
          <w:rStyle w:val="64"/>
          <w:rFonts w:hint="default" w:ascii="Times New Roman" w:hAnsi="Times New Roman" w:cs="Times New Roman"/>
        </w:rPr>
        <w:t># Full pipeline on simulated data</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main.py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Test suite</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-m</w:t>
      </w:r>
      <w:r>
        <w:rPr>
          <w:rStyle w:val="82"/>
          <w:rFonts w:hint="default" w:ascii="Times New Roman" w:hAnsi="Times New Roman" w:cs="Times New Roman"/>
        </w:rPr>
        <w:t xml:space="preserve"> pytest tests/ </w:t>
      </w:r>
      <w:r>
        <w:rPr>
          <w:rStyle w:val="76"/>
          <w:rFonts w:hint="default" w:ascii="Times New Roman" w:hAnsi="Times New Roman" w:cs="Times New Roman"/>
        </w:rPr>
        <w:t>-v</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NASA calibration, Level 1 (battery-level, pooled)</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scripts/calibrate_against_nasa.py </w:t>
      </w:r>
      <w:r>
        <w:rPr>
          <w:rStyle w:val="76"/>
          <w:rFonts w:hint="default" w:ascii="Times New Roman" w:hAnsi="Times New Roman" w:cs="Times New Roman"/>
        </w:rPr>
        <w:t>--nasa-dir</w:t>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path</w:t>
      </w:r>
      <w:r>
        <w:rPr>
          <w:rStyle w:val="72"/>
          <w:rFonts w:hint="default" w:ascii="Times New Roman" w:hAnsi="Times New Roman" w:cs="Times New Roman"/>
        </w:rPr>
        <w:t>&gt;</w:t>
      </w:r>
      <w:r>
        <w:rPr>
          <w:rStyle w:val="82"/>
          <w:rFonts w:hint="default" w:ascii="Times New Roman" w:hAnsi="Times New Roman" w:cs="Times New Roman"/>
        </w:rPr>
        <w:t xml:space="preserve"> --cache-parquet </w:t>
      </w:r>
      <w:r>
        <w:rPr>
          <w:rStyle w:val="72"/>
          <w:rFonts w:hint="default" w:ascii="Times New Roman" w:hAnsi="Times New Roman" w:cs="Times New Roman"/>
        </w:rPr>
        <w:t>&lt;</w:t>
      </w:r>
      <w:r>
        <w:rPr>
          <w:rStyle w:val="82"/>
          <w:rFonts w:hint="default" w:ascii="Times New Roman" w:hAnsi="Times New Roman" w:cs="Times New Roman"/>
        </w:rPr>
        <w:t>cache.parquet</w:t>
      </w:r>
      <w:r>
        <w:rPr>
          <w:rStyle w:val="72"/>
          <w:rFonts w:hint="default" w:ascii="Times New Roman" w:hAnsi="Times New Roman" w:cs="Times New Roman"/>
        </w:rPr>
        <w:t>&gt;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NASA calibration, Level 2 (cohort-controlled, cycle-level)</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scripts/calibrate_cohort_cycle_level.py </w:t>
      </w:r>
      <w:r>
        <w:rPr>
          <w:rStyle w:val="76"/>
          <w:rFonts w:hint="default" w:ascii="Times New Roman" w:hAnsi="Times New Roman" w:cs="Times New Roman"/>
        </w:rPr>
        <w:t>--cache-parquet</w:t>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cache.parquet</w:t>
      </w:r>
      <w:r>
        <w:rPr>
          <w:rStyle w:val="72"/>
          <w:rFonts w:hint="default" w:ascii="Times New Roman" w:hAnsi="Times New Roman" w:cs="Times New Roman"/>
        </w:rPr>
        <w:t>&gt;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NASA calibration, Level 3 (fitted regression, leave-one-battery-out CV)</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scripts/fit_continuous_health_model.py </w:t>
      </w:r>
      <w:r>
        <w:rPr>
          <w:rStyle w:val="76"/>
          <w:rFonts w:hint="default" w:ascii="Times New Roman" w:hAnsi="Times New Roman" w:cs="Times New Roman"/>
        </w:rPr>
        <w:t>--cache-parquet</w:t>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cache.parquet</w:t>
      </w:r>
      <w:r>
        <w:rPr>
          <w:rStyle w:val="72"/>
          <w:rFonts w:hint="default" w:ascii="Times New Roman" w:hAnsi="Times New Roman" w:cs="Times New Roman"/>
        </w:rPr>
        <w:t>&gt;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NASA calibration, Level 3b (longer prediction horizons, Section 4.5)</w:t>
      </w:r>
      <w:r>
        <w:rPr>
          <w:rFonts w:hint="default" w:ascii="Times New Roman" w:hAnsi="Times New Roman" w:cs="Times New Roman"/>
        </w:rPr>
        <w:br w:type="textWrapping"/>
      </w:r>
      <w:r>
        <w:rPr>
          <w:rStyle w:val="64"/>
          <w:rFonts w:hint="default" w:ascii="Times New Roman" w:hAnsi="Times New Roman" w:cs="Times New Roman"/>
        </w:rPr>
        <w:t># Reuses reports/metrics/continuous_model_training_data.csv from the Level 3</w:t>
      </w:r>
      <w:r>
        <w:rPr>
          <w:rFonts w:hint="default" w:ascii="Times New Roman" w:hAnsi="Times New Roman" w:cs="Times New Roman"/>
        </w:rPr>
        <w:br w:type="textWrapping"/>
      </w:r>
      <w:r>
        <w:rPr>
          <w:rStyle w:val="64"/>
          <w:rFonts w:hint="default" w:ascii="Times New Roman" w:hAnsi="Times New Roman" w:cs="Times New Roman"/>
        </w:rPr>
        <w:t># run above -- no raw-telemetry cache needed.</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scripts/fit_horizon_regression_model.py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NASA calibration, Level 3c (mixed-effects diagnostic, Section 4.6)</w:t>
      </w:r>
      <w:r>
        <w:rPr>
          <w:rFonts w:hint="default" w:ascii="Times New Roman" w:hAnsi="Times New Roman" w:cs="Times New Roman"/>
        </w:rPr>
        <w:br w:type="textWrapping"/>
      </w:r>
      <w:r>
        <w:rPr>
          <w:rStyle w:val="64"/>
          <w:rFonts w:hint="default" w:ascii="Times New Roman" w:hAnsi="Times New Roman" w:cs="Times New Roman"/>
        </w:rPr>
        <w:t># Also reuses the cached table above. Prints why full LOBO CV was not run.</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scripts/fit_mixed_effects_model.py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CALCE integration + capacity characterization loader</w:t>
      </w:r>
      <w:r>
        <w:rPr>
          <w:rFonts w:hint="default" w:ascii="Times New Roman" w:hAnsi="Times New Roman" w:cs="Times New Roman"/>
        </w:rPr>
        <w:br w:type="textWrapping"/>
      </w:r>
      <w:r>
        <w:rPr>
          <w:rStyle w:val="64"/>
          <w:rFonts w:hint="default" w:ascii="Times New Roman" w:hAnsi="Times New Roman" w:cs="Times New Roman"/>
        </w:rPr>
        <w:t># (see src/bms/io/load_calce_capacity.py; the calendar-aging script was</w:t>
      </w:r>
      <w:r>
        <w:rPr>
          <w:rFonts w:hint="default" w:ascii="Times New Roman" w:hAnsi="Times New Roman" w:cs="Times New Roman"/>
        </w:rPr>
        <w:br w:type="textWrapping"/>
      </w:r>
      <w:r>
        <w:rPr>
          <w:rStyle w:val="64"/>
          <w:rFonts w:hint="default" w:ascii="Times New Roman" w:hAnsi="Times New Roman" w:cs="Times New Roman"/>
        </w:rPr>
        <w:t>#  removed after it was found to report a join artifact, not a result â€”</w:t>
      </w:r>
      <w:r>
        <w:rPr>
          <w:rFonts w:hint="default" w:ascii="Times New Roman" w:hAnsi="Times New Roman" w:cs="Times New Roman"/>
        </w:rPr>
        <w:br w:type="textWrapping"/>
      </w:r>
      <w:r>
        <w:rPr>
          <w:rStyle w:val="64"/>
          <w:rFonts w:hint="default" w:ascii="Times New Roman" w:hAnsi="Times New Roman" w:cs="Times New Roman"/>
        </w:rPr>
        <w:t>#  see docs/calce_dataset_note.md)</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Regenerate this report's figures from the already-computed CSVs above</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scripts/generate_report_figures.py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Level 4: threshold reachability audit (Section 4.7)</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scripts/audit_threshold_reachability.py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Health index v1 vs v2, LOBO + LOCO, with the version decision (Section 4.8)</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scripts/validate_health_index_versions.py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SHAP attribution against measured fade, with the skill gate (Section 4.9)</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scripts/fit_shap_attribution_model.py</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 Level 5: target ceilings, benchmark suite, coverage (Sections 4.10-4.12) ---</w:t>
      </w:r>
      <w:r>
        <w:rPr>
          <w:rFonts w:hint="default" w:ascii="Times New Roman" w:hAnsi="Times New Roman" w:cs="Times New Roman"/>
        </w:rPr>
        <w:br w:type="textWrapping"/>
      </w:r>
      <w:r>
        <w:rPr>
          <w:rStyle w:val="64"/>
          <w:rFonts w:hint="default" w:ascii="Times New Roman" w:hAnsi="Times New Roman" w:cs="Times New Roman"/>
        </w:rPr>
        <w:t># All reuse the tracked continuous_model_training_data.csv; no raw cache needed.</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Target noise ceilings, SOH cell screen, and the twelve-method benchmark.</w:t>
      </w:r>
      <w:r>
        <w:rPr>
          <w:rFonts w:hint="default" w:ascii="Times New Roman" w:hAnsi="Times New Roman" w:cs="Times New Roman"/>
        </w:rPr>
        <w:br w:type="textWrapping"/>
      </w:r>
      <w:r>
        <w:rPr>
          <w:rStyle w:val="64"/>
          <w:rFonts w:hint="default" w:ascii="Times New Roman" w:hAnsi="Times New Roman" w:cs="Times New Roman"/>
        </w:rPr>
        <w:t># Writes benchmark_{results,signal_report,cell_screen,registry}.csv.</w:t>
      </w:r>
      <w:r>
        <w:rPr>
          <w:rFonts w:hint="default" w:ascii="Times New Roman" w:hAnsi="Times New Roman" w:cs="Times New Roman"/>
        </w:rPr>
        <w:br w:type="textWrapping"/>
      </w:r>
      <w:r>
        <w:rPr>
          <w:rStyle w:val="64"/>
          <w:rFonts w:hint="default" w:ascii="Times New Roman" w:hAnsi="Times New Roman" w:cs="Times New Roman"/>
        </w:rPr>
        <w:t># Roughly 14 minutes per target: six estimators refitted across 42 folds.</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scripts/run_benchmark_study.py </w:t>
      </w:r>
      <w:r>
        <w:rPr>
          <w:rStyle w:val="76"/>
          <w:rFonts w:hint="default" w:ascii="Times New Roman" w:hAnsi="Times New Roman" w:cs="Times New Roman"/>
        </w:rPr>
        <w:t>--targets</w:t>
      </w:r>
      <w:r>
        <w:rPr>
          <w:rStyle w:val="82"/>
          <w:rFonts w:hint="default" w:ascii="Times New Roman" w:hAnsi="Times New Roman" w:cs="Times New Roman"/>
        </w:rPr>
        <w:t xml:space="preserve"> capacity_loss cumulative_fade</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scripts/run_benchmark_study.py </w:t>
      </w:r>
      <w:r>
        <w:rPr>
          <w:rStyle w:val="76"/>
          <w:rFonts w:hint="default" w:ascii="Times New Roman" w:hAnsi="Times New Roman" w:cs="Times New Roman"/>
        </w:rPr>
        <w:t>--quick</w:t>
      </w:r>
      <w:r>
        <w:rPr>
          <w:rStyle w:val="82"/>
          <w:rFonts w:hint="default" w:ascii="Times New Roman" w:hAnsi="Times New Roman" w:cs="Times New Roman"/>
        </w:rPr>
        <w:t xml:space="preserve">     </w:t>
      </w:r>
      <w:r>
        <w:rPr>
          <w:rStyle w:val="64"/>
          <w:rFonts w:hint="default" w:ascii="Times New Roman" w:hAnsi="Times New Roman" w:cs="Times New Roman"/>
        </w:rPr>
        <w:t># reference methods only, seconds</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Conformal coverage within protocol vs across it (Section 4.12).</w:t>
      </w:r>
      <w:r>
        <w:rPr>
          <w:rFonts w:hint="default" w:ascii="Times New Roman" w:hAnsi="Times New Roman" w:cs="Times New Roman"/>
        </w:rPr>
        <w:br w:type="textWrapping"/>
      </w:r>
      <w:r>
        <w:rPr>
          <w:rStyle w:val="64"/>
          <w:rFonts w:hint="default" w:ascii="Times New Roman" w:hAnsi="Times New Roman" w:cs="Times New Roman"/>
        </w:rPr>
        <w:t># Read min_coverage and worst_group, NOT median_coverage -- see ADR 0007.</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scripts/run_coverage_study.py </w:t>
      </w:r>
      <w:r>
        <w:rPr>
          <w:rStyle w:val="76"/>
          <w:rFonts w:hint="default" w:ascii="Times New Roman" w:hAnsi="Times New Roman" w:cs="Times New Roman"/>
        </w:rPr>
        <w:t>--methods</w:t>
      </w:r>
      <w:r>
        <w:rPr>
          <w:rStyle w:val="82"/>
          <w:rFonts w:hint="default" w:ascii="Times New Roman" w:hAnsi="Times New Roman" w:cs="Times New Roman"/>
        </w:rPr>
        <w:t xml:space="preserve"> age_linear elasticnet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The thermal confound and the Arrhenius identifiability refusal (Section 4.11)</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-c</w:t>
      </w:r>
      <w:r>
        <w:rPr>
          <w:rStyle w:val="82"/>
          <w:rFonts w:hint="default" w:ascii="Times New Roman" w:hAnsi="Times New Roman" w:cs="Times New Roman"/>
        </w:rPr>
        <w:t xml:space="preserve"> </w:t>
      </w:r>
      <w:r>
        <w:rPr>
          <w:rStyle w:val="60"/>
          <w:rFonts w:hint="default" w:ascii="Times New Roman" w:hAnsi="Times New Roman" w:cs="Times New Roman"/>
        </w:rPr>
        <w:t>"</w:t>
      </w:r>
      <w:r>
        <w:rPr>
          <w:rFonts w:hint="default" w:ascii="Times New Roman" w:hAnsi="Times New Roman" w:cs="Times New Roman"/>
        </w:rPr>
        <w:br w:type="textWrapping"/>
      </w:r>
      <w:r>
        <w:rPr>
          <w:rStyle w:val="60"/>
          <w:rFonts w:hint="default" w:ascii="Times New Roman" w:hAnsi="Times New Roman" w:cs="Times New Roman"/>
        </w:rPr>
        <w:t>import pandas as pd</w:t>
      </w:r>
      <w:r>
        <w:rPr>
          <w:rFonts w:hint="default" w:ascii="Times New Roman" w:hAnsi="Times New Roman" w:cs="Times New Roman"/>
        </w:rPr>
        <w:br w:type="textWrapping"/>
      </w:r>
      <w:r>
        <w:rPr>
          <w:rStyle w:val="60"/>
          <w:rFonts w:hint="default" w:ascii="Times New Roman" w:hAnsi="Times New Roman" w:cs="Times New Roman"/>
        </w:rPr>
        <w:t>from src.bms.benchmarks import add_targets</w:t>
      </w:r>
      <w:r>
        <w:rPr>
          <w:rFonts w:hint="default" w:ascii="Times New Roman" w:hAnsi="Times New Roman" w:cs="Times New Roman"/>
        </w:rPr>
        <w:br w:type="textWrapping"/>
      </w:r>
      <w:r>
        <w:rPr>
          <w:rStyle w:val="60"/>
          <w:rFonts w:hint="default" w:ascii="Times New Roman" w:hAnsi="Times New Roman" w:cs="Times New Roman"/>
        </w:rPr>
        <w:t>from src.bms.physics import assess_identifiability, fit_arrhenius, thermal_baseline</w:t>
      </w:r>
      <w:r>
        <w:rPr>
          <w:rFonts w:hint="default" w:ascii="Times New Roman" w:hAnsi="Times New Roman" w:cs="Times New Roman"/>
        </w:rPr>
        <w:br w:type="textWrapping"/>
      </w:r>
      <w:r>
        <w:rPr>
          <w:rStyle w:val="60"/>
          <w:rFonts w:hint="default" w:ascii="Times New Roman" w:hAnsi="Times New Roman" w:cs="Times New Roman"/>
        </w:rPr>
        <w:t>d = add_targets(pd.read_csv('reports/metrics/continuous_model_training_data.csv'))</w:t>
      </w:r>
      <w:r>
        <w:rPr>
          <w:rFonts w:hint="default" w:ascii="Times New Roman" w:hAnsi="Times New Roman" w:cs="Times New Roman"/>
        </w:rPr>
        <w:br w:type="textWrapping"/>
      </w:r>
      <w:r>
        <w:rPr>
          <w:rStyle w:val="60"/>
          <w:rFonts w:hint="default" w:ascii="Times New Roman" w:hAnsi="Times New Roman" w:cs="Times New Roman"/>
        </w:rPr>
        <w:t>print(thermal_baseline(d).to_string(index=False))</w:t>
      </w:r>
      <w:r>
        <w:rPr>
          <w:rFonts w:hint="default" w:ascii="Times New Roman" w:hAnsi="Times New Roman" w:cs="Times New Roman"/>
        </w:rPr>
        <w:br w:type="textWrapping"/>
      </w:r>
      <w:r>
        <w:rPr>
          <w:rStyle w:val="60"/>
          <w:rFonts w:hint="default" w:ascii="Times New Roman" w:hAnsi="Times New Roman" w:cs="Times New Roman"/>
        </w:rPr>
        <w:t>print(fit_arrhenius(d, target='cumulative_fade', temperature_col='trailing_avg_temp').render())</w:t>
      </w:r>
      <w:r>
        <w:rPr>
          <w:rFonts w:hint="default" w:ascii="Times New Roman" w:hAnsi="Times New Roman" w:cs="Times New Roman"/>
        </w:rPr>
        <w:br w:type="textWrapping"/>
      </w:r>
      <w:r>
        <w:rPr>
          <w:rStyle w:val="60"/>
          <w:rFonts w:hint="default" w:ascii="Times New Roman" w:hAnsi="Times New Roman" w:cs="Times New Roman"/>
        </w:rPr>
        <w:t>print(assess_identifiability(d, temperature_col='trailing_avg_temp').render())</w:t>
      </w:r>
      <w:r>
        <w:rPr>
          <w:rFonts w:hint="default" w:ascii="Times New Roman" w:hAnsi="Times New Roman" w:cs="Times New Roman"/>
        </w:rPr>
        <w:br w:type="textWrapping"/>
      </w:r>
      <w:r>
        <w:rPr>
          <w:rStyle w:val="60"/>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Which datasets can answer the question, before downloading any of them</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-m</w:t>
      </w:r>
      <w:r>
        <w:rPr>
          <w:rStyle w:val="82"/>
          <w:rFonts w:hint="default" w:ascii="Times New Roman" w:hAnsi="Times New Roman" w:cs="Times New Roman"/>
        </w:rPr>
        <w:t xml:space="preserve"> src.bms.adaptive feasibility</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-m</w:t>
      </w:r>
      <w:r>
        <w:rPr>
          <w:rStyle w:val="82"/>
          <w:rFonts w:hint="default" w:ascii="Times New Roman" w:hAnsi="Times New Roman" w:cs="Times New Roman"/>
        </w:rPr>
        <w:t xml:space="preserve"> src.bms.adaptive screen</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Explainability + dashboard test suites</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-m</w:t>
      </w:r>
      <w:r>
        <w:rPr>
          <w:rStyle w:val="82"/>
          <w:rFonts w:hint="default" w:ascii="Times New Roman" w:hAnsi="Times New Roman" w:cs="Times New Roman"/>
        </w:rPr>
        <w:t xml:space="preserve"> pytest tests/test_explain.py tests/test_beacon_dashboard.py </w:t>
      </w:r>
      <w:r>
        <w:rPr>
          <w:rStyle w:val="76"/>
          <w:rFonts w:hint="default" w:ascii="Times New Roman" w:hAnsi="Times New Roman" w:cs="Times New Roman"/>
        </w:rPr>
        <w:t>-v</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Level 5 test suites (synthetic recovery of a known activation energy,</w:t>
      </w:r>
      <w:r>
        <w:rPr>
          <w:rFonts w:hint="default" w:ascii="Times New Roman" w:hAnsi="Times New Roman" w:cs="Times New Roman"/>
        </w:rPr>
        <w:br w:type="textWrapping"/>
      </w:r>
      <w:r>
        <w:rPr>
          <w:rStyle w:val="64"/>
          <w:rFonts w:hint="default" w:ascii="Times New Roman" w:hAnsi="Times New Roman" w:cs="Times New Roman"/>
        </w:rPr>
        <w:t># conformal coverage guarantees, benchmark harness self-tests, loaders)</w:t>
      </w:r>
      <w:r>
        <w:rPr>
          <w:rFonts w:hint="default" w:ascii="Times New Roman" w:hAnsi="Times New Roman" w:cs="Times New Roman"/>
        </w:rPr>
        <w:br w:type="textWrapping"/>
      </w:r>
      <w:r>
        <w:rPr>
          <w:rStyle w:val="74"/>
          <w:rFonts w:hint="default" w:ascii="Times New Roman" w:hAnsi="Times New Roman" w:cs="Times New Roman"/>
        </w:rPr>
        <w:t>python</w:t>
      </w:r>
      <w:r>
        <w:rPr>
          <w:rStyle w:val="82"/>
          <w:rFonts w:hint="default" w:ascii="Times New Roman" w:hAnsi="Times New Roman" w:cs="Times New Roman"/>
        </w:rPr>
        <w:t xml:space="preserve"> </w:t>
      </w:r>
      <w:r>
        <w:rPr>
          <w:rStyle w:val="76"/>
          <w:rFonts w:hint="default" w:ascii="Times New Roman" w:hAnsi="Times New Roman" w:cs="Times New Roman"/>
        </w:rPr>
        <w:t>-m</w:t>
      </w:r>
      <w:r>
        <w:rPr>
          <w:rStyle w:val="82"/>
          <w:rFonts w:hint="default" w:ascii="Times New Roman" w:hAnsi="Times New Roman" w:cs="Times New Roman"/>
        </w:rPr>
        <w:t xml:space="preserve"> pytest tests/test_physics.py tests/test_uncertainty.py </w:t>
      </w:r>
      <w:r>
        <w:rPr>
          <w:rStyle w:val="53"/>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tests/test_benchmarks.py tests/test_oxford.py </w:t>
      </w:r>
      <w:r>
        <w:rPr>
          <w:rStyle w:val="53"/>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tests/test_dataset_loaders.py </w:t>
      </w:r>
      <w:r>
        <w:rPr>
          <w:rStyle w:val="76"/>
          <w:rFonts w:hint="default" w:ascii="Times New Roman" w:hAnsi="Times New Roman" w:cs="Times New Roman"/>
        </w:rPr>
        <w:t>-v</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Build the polished .docx version of this report (reports/final_report.docx)</w:t>
      </w:r>
      <w:r>
        <w:rPr>
          <w:rFonts w:hint="default" w:ascii="Times New Roman" w:hAnsi="Times New Roman" w:cs="Times New Roman"/>
        </w:rPr>
        <w:br w:type="textWrapping"/>
      </w:r>
      <w:r>
        <w:rPr>
          <w:rStyle w:val="74"/>
          <w:rFonts w:hint="default" w:ascii="Times New Roman" w:hAnsi="Times New Roman" w:cs="Times New Roman"/>
        </w:rPr>
        <w:t>./scripts/build_report_docx.sh</w:t>
      </w:r>
    </w:p>
    <w:p w14:paraId="5DDF68F4">
      <w:pPr>
        <w:pStyle w:val="23"/>
        <w:rPr>
          <w:rFonts w:hint="default" w:ascii="Times New Roman" w:hAnsi="Times New Roman" w:cs="Times New Roman"/>
        </w:rPr>
      </w:pPr>
      <w:r>
        <w:rPr>
          <w:rFonts w:hint="default" w:ascii="Times New Roman" w:hAnsi="Times New Roman" w:cs="Times New Roman"/>
        </w:rPr>
        <w:t xml:space="preserve">Full technical detail, including all coefficient tables and per-battery results, is in </w:t>
      </w:r>
      <w:r>
        <w:rPr>
          <w:rStyle w:val="48"/>
          <w:rFonts w:hint="default" w:ascii="Times New Roman" w:hAnsi="Times New Roman" w:cs="Times New Roman"/>
        </w:rPr>
        <w:t>docs/calibration_report.md</w:t>
      </w:r>
      <w:r>
        <w:rPr>
          <w:rFonts w:hint="default" w:ascii="Times New Roman" w:hAnsi="Times New Roman" w:cs="Times New Roman"/>
        </w:rPr>
        <w:t xml:space="preserve"> and </w:t>
      </w:r>
      <w:r>
        <w:rPr>
          <w:rStyle w:val="48"/>
          <w:rFonts w:hint="default" w:ascii="Times New Roman" w:hAnsi="Times New Roman" w:cs="Times New Roman"/>
        </w:rPr>
        <w:t>docs/calce_dataset_note.md</w:t>
      </w:r>
      <w:r>
        <w:rPr>
          <w:rFonts w:hint="default" w:ascii="Times New Roman" w:hAnsi="Times New Roman" w:cs="Times New Roman"/>
        </w:rPr>
        <w:t>.</w:t>
      </w:r>
    </w:p>
    <w:bookmarkEnd w:id="3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E1A2D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557</Words>
  <Characters>3231</Characters>
  <Lines>12</Lines>
  <Paragraphs>8</Paragraphs>
  <TotalTime>8</TotalTime>
  <ScaleCrop>false</ScaleCrop>
  <LinksUpToDate>false</LinksUpToDate>
  <CharactersWithSpaces>3779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2026-09-16T08:30:00Z</dcterms:created>
  <dc:creator>Naveen Vaidyanathan</dc:creator>
  <cp:lastModifiedBy>Navee</cp:lastModifiedBy>
  <dcterms:modified xsi:type="dcterms:W3CDTF">2026-09-18T15:59:32Z</dcterms:modified>
  <dc:title>Behavior-Aware EV Battery Health Monitoring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2026-09-09</vt:lpwstr>
  </property>
  <property fmtid="{D5CDD505-2E9C-101B-9397-08002B2CF9AE}" pid="3" name="subtitle">
    <vt:lpwstr>Final Report</vt:lpwstr>
  </property>
  <property fmtid="{D5CDD505-2E9C-101B-9397-08002B2CF9AE}" pid="4" name="KSOTemplateDocerSaveRecord">
    <vt:lpwstr>eyJoZGlkIjoiMzk3ZmMwMzE5NDliMzMxNzc2ODNkOGE0YmEyZTcxMmUiLCJ1c2VySWQiOiI1Njc1NjkyNjI0MzUifQ==</vt:lpwstr>
  </property>
  <property fmtid="{D5CDD505-2E9C-101B-9397-08002B2CF9AE}" pid="5" name="KSOProductBuildVer">
    <vt:lpwstr>1033-12.1.0.25242</vt:lpwstr>
  </property>
  <property fmtid="{D5CDD505-2E9C-101B-9397-08002B2CF9AE}" pid="6" name="ICV">
    <vt:lpwstr>5FCCC417ECE941A59D8ABB4DE5A1DD30_12</vt:lpwstr>
  </property>
</Properties>
</file>