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117" name="Picture 117"/>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118" name="Picture 118"/>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[DESIGNATION]</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tc>
        <w:tc>
          <w:tcPr>
            <w:tcW w:type="dxa" w:w="4153"/>
          </w:tcPr>
          <w:p>
            <w:pPr>
              <w:spacing w:after="40" w:line="240" w:lineRule="auto"/>
            </w:pPr>
            <w:r/>
            <w:r>
              <w:rPr>
                <w:b/>
                <w:sz w:val="22"/>
              </w:rPr>
              <w:t>EXTERNAL EXAMINER</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27" w:name="introduction"/>
    <w:p>
      <w:pPr>
        <w:pStyle w:val="Heading1"/>
      </w:pPr>
      <w:r>
        <w:rPr>
          <w:b/>
        </w:rPr>
        <w:t>CHAPTER 1</w:t>
        <w:br/>
      </w:r>
      <w:r>
        <w:rPr>
          <w:b/>
        </w:rPr>
        <w:t>INTRODUCTION</w:t>
      </w:r>
    </w:p>
    <w:bookmarkStart w:id="20" w:name="background"/>
    <w:p>
      <w:pPr>
        <w:pStyle w:val="Heading2"/>
      </w:pPr>
      <w:r>
        <w:rPr>
          <w:rStyle w:val="SectionNumber"/>
        </w:rPr>
        <w:t>1.1</w:t>
      </w:r>
      <w:r>
        <w:tab/>
      </w: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rPr>
          <w:rStyle w:val="SectionNumber"/>
        </w:rPr>
        <w:t>1.2</w:t>
      </w:r>
      <w:r>
        <w:tab/>
      </w: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rPr>
          <w:rStyle w:val="SectionNumber"/>
        </w:rPr>
        <w:t>1.3</w:t>
      </w:r>
      <w:r>
        <w:tab/>
      </w: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rPr>
          <w:rStyle w:val="SectionNumber"/>
        </w:rPr>
        <w:t>1.4</w:t>
      </w:r>
      <w:r>
        <w:tab/>
      </w: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rPr>
          <w:rStyle w:val="SectionNumber"/>
        </w:rPr>
        <w:t>1.5</w:t>
      </w:r>
      <w:r>
        <w:tab/>
      </w: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5" w:name="key-contributions"/>
    <w:p>
      <w:pPr>
        <w:pStyle w:val="Heading2"/>
      </w:pPr>
      <w:r>
        <w:rPr>
          <w:rStyle w:val="SectionNumber"/>
        </w:rPr>
        <w:t>1.6</w:t>
      </w:r>
      <w:r>
        <w:tab/>
      </w:r>
      <w:r>
        <w:t>KEY CONTRIBUTIONS</w:t>
      </w:r>
    </w:p>
    <w:p>
      <w:pPr>
        <w:pStyle w:val="FirstParagraph"/>
      </w:pPr>
      <w:r>
        <w:t xml:space="preserve">The main contributions of this work are as follows.</w:t>
      </w:r>
    </w:p>
    <w:p>
      <w:pPr>
        <w:numPr>
          <w:ilvl w:val="0"/>
          <w:numId w:val="1003"/>
        </w:numPr>
      </w:pPr>
      <w:r>
        <w:rPr>
          <w:bCs/>
          <w:b/>
        </w:rPr>
        <w:t xml:space="preserve">A three-tier telemetry system</w:t>
      </w:r>
      <w:r>
        <w:t xml:space="preserve"> </w:t>
      </w:r>
      <w:r>
        <w:t xml:space="preserve">(CAN/serial/dataset ingestion, a shared scoring pipeline, and a FastAPI, Express and React service tier) in which every output is labelled measured, estimated or heuristic and carries its error band, or is refused with a reason.</w:t>
      </w:r>
    </w:p>
    <w:p>
      <w:pPr>
        <w:numPr>
          <w:ilvl w:val="0"/>
          <w:numId w:val="1003"/>
        </w:numPr>
      </w:pPr>
      <w:r>
        <w:rPr>
          <w:bCs/>
          <w:b/>
        </w:rPr>
        <w:t xml:space="preserve">A field-realisable SOH estimator</w:t>
      </w:r>
      <w:r>
        <w:t xml:space="preserve"> </w:t>
      </w:r>
      <w:r>
        <w:t xml:space="preserve">validated from voltage, current and time alone, in which the ohmic correction uses a resistance identified from the voltage step at each load onset. Relative to no correction, it raises coverage from 12 to 17 of 22 cells and lowers median error from 4.3% to 1.7%.</w:t>
      </w:r>
    </w:p>
    <w:p>
      <w:pPr>
        <w:numPr>
          <w:ilvl w:val="0"/>
          <w:numId w:val="1003"/>
        </w:numPr>
      </w:pPr>
      <w:r>
        <w:rPr>
          <w:bCs/>
          <w:b/>
        </w:rPr>
        <w:t xml:space="preserve">Resistance as a validated second health quantity:</w:t>
      </w:r>
      <w:r>
        <w:t xml:space="preserve"> </w:t>
      </w:r>
      <w:r>
        <w:t xml:space="preserve">the step resistance tracks the laboratory instrument on 19 of 20 cells.</w:t>
      </w:r>
    </w:p>
    <w:p>
      <w:pPr>
        <w:numPr>
          <w:ilvl w:val="0"/>
          <w:numId w:val="1003"/>
        </w:numPr>
      </w:pPr>
      <w:r>
        <w:rPr>
          <w:bCs/>
          <w:b/>
        </w:rPr>
        <w:t xml:space="preserve">SOH from partial discharges</w:t>
      </w:r>
      <w:r>
        <w:t xml:space="preserve"> </w:t>
      </w:r>
      <w:r>
        <w:t xml:space="preserve">via a window learned from the cell’s own early discharges, with a physical refusal rule for windows on the discharge knee whose threshold is not tuned.</w:t>
      </w:r>
    </w:p>
    <w:p>
      <w:pPr>
        <w:numPr>
          <w:ilvl w:val="0"/>
          <w:numId w:val="1003"/>
        </w:numPr>
      </w:pPr>
      <w:r>
        <w:rPr>
          <w:bCs/>
          <w:b/>
        </w:rPr>
        <w:t xml:space="preserve">RUL accuracy reported as a user meets it</w:t>
      </w:r>
      <w:r>
        <w:t xml:space="preserve">, indexed by the prediction, together with a measured correction (88% to 73%) caused by a reference capacity that used the future.</w:t>
      </w:r>
    </w:p>
    <w:p>
      <w:pPr>
        <w:numPr>
          <w:ilvl w:val="0"/>
          <w:numId w:val="1003"/>
        </w:numPr>
      </w:pPr>
      <w:r>
        <w:rPr>
          <w:bCs/>
          <w:b/>
        </w:rPr>
        <w:t xml:space="preserve">Evidence sufficiency measured rather than asserted:</w:t>
      </w:r>
      <w:r>
        <w:t xml:space="preserve"> </w:t>
      </w:r>
      <w:r>
        <w:t xml:space="preserve">confidence follows the consistency of readings, which predicts error, and not the number of discharges, which does not.</w:t>
      </w:r>
    </w:p>
    <w:p>
      <w:pPr>
        <w:numPr>
          <w:ilvl w:val="0"/>
          <w:numId w:val="1003"/>
        </w:numPr>
      </w:pPr>
      <w:r>
        <w:rPr>
          <w:bCs/>
          <w:b/>
        </w:rPr>
        <w:t xml:space="preserve">External validation without re-tuning</w:t>
      </w:r>
      <w:r>
        <w:t xml:space="preserve"> </w:t>
      </w:r>
      <w:r>
        <w:t xml:space="preserve">on a second dataset of a different chemistry, manufacturer, format and temperature, and a documented failure on a third.</w:t>
      </w:r>
    </w:p>
    <w:p>
      <w:pPr>
        <w:numPr>
          <w:ilvl w:val="0"/>
          <w:numId w:val="1003"/>
        </w:numPr>
      </w:pPr>
      <w:r>
        <w:rPr>
          <w:bCs/>
          <w:b/>
        </w:rPr>
        <w:t xml:space="preserve">A working bench rig and software contract:</w:t>
      </w:r>
      <w:r>
        <w:t xml:space="preserve"> </w:t>
      </w:r>
      <w:r>
        <w:t xml:space="preserve">a serial wire protocol with checksums and refusal gates, firmware, and a physical bring-up on an ESP8266 board, with fault injection tests.</w:t>
      </w:r>
    </w:p>
    <w:p>
      <w:pPr>
        <w:numPr>
          <w:ilvl w:val="0"/>
          <w:numId w:val="1003"/>
        </w:numPr>
      </w:pPr>
      <w:r>
        <w:rPr>
          <w:bCs/>
          <w:b/>
        </w:rPr>
        <w:t xml:space="preserve">Negative results retained:</w:t>
      </w:r>
      <w:r>
        <w:t xml:space="preserve"> </w:t>
      </w:r>
      <w:r>
        <w:t xml:space="preserve">fitted models across protocols and four routes to RUL from sparse complete discharges.</w:t>
      </w:r>
    </w:p>
    <w:bookmarkEnd w:id="25"/>
    <w:bookmarkStart w:id="26" w:name="scope-and-organisation-of-the-report"/>
    <w:p>
      <w:pPr>
        <w:pStyle w:val="Heading2"/>
      </w:pPr>
      <w:r>
        <w:rPr>
          <w:rStyle w:val="SectionNumber"/>
        </w:rPr>
        <w:t>1.7</w:t>
      </w:r>
      <w:r>
        <w:tab/>
      </w: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bookmarkEnd w:id="26"/>
    <w:bookmarkEnd w:id="27"/>
    <w:bookmarkStart w:id="36" w:name="literature-review"/>
    <w:p>
      <w:pPr>
        <w:pStyle w:val="Heading1"/>
      </w:pPr>
      <w:r>
        <w:rPr>
          <w:b/>
        </w:rPr>
        <w:t>CHAPTER 2</w:t>
        <w:br/>
      </w:r>
      <w:r>
        <w:rPr>
          <w:b/>
        </w:rPr>
        <w:t>LITERATURE REVIEW</w:t>
      </w:r>
    </w:p>
    <w:bookmarkStart w:id="28" w:name="X1259210b64423408c35b18caed52eb52e45b504"/>
    <w:p>
      <w:pPr>
        <w:pStyle w:val="Heading2"/>
      </w:pPr>
      <w:r>
        <w:rPr>
          <w:rStyle w:val="SectionNumber"/>
        </w:rPr>
        <w:t>2.1</w:t>
      </w:r>
      <w:r>
        <w:tab/>
      </w: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28"/>
    <w:bookmarkStart w:id="29" w:name="X9e9831f21f9c5525e7acb34f922108bfd4d6755"/>
    <w:p>
      <w:pPr>
        <w:pStyle w:val="Heading2"/>
      </w:pPr>
      <w:r>
        <w:rPr>
          <w:rStyle w:val="SectionNumber"/>
        </w:rPr>
        <w:t>2.2</w:t>
      </w:r>
      <w:r>
        <w:tab/>
      </w: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29"/>
    <w:bookmarkStart w:id="30" w:name="discharge-curve-analysis"/>
    <w:p>
      <w:pPr>
        <w:pStyle w:val="Heading2"/>
      </w:pPr>
      <w:r>
        <w:rPr>
          <w:rStyle w:val="SectionNumber"/>
        </w:rPr>
        <w:t>2.3</w:t>
      </w:r>
      <w:r>
        <w:tab/>
      </w: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0"/>
    <w:bookmarkStart w:id="31" w:name="remaining-useful-life-prognostics"/>
    <w:p>
      <w:pPr>
        <w:pStyle w:val="Heading2"/>
      </w:pPr>
      <w:r>
        <w:rPr>
          <w:rStyle w:val="SectionNumber"/>
        </w:rPr>
        <w:t>2.4</w:t>
      </w:r>
      <w:r>
        <w:tab/>
      </w: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1"/>
    <w:bookmarkStart w:id="32" w:name="public-datasets-used"/>
    <w:p>
      <w:pPr>
        <w:pStyle w:val="Heading2"/>
      </w:pPr>
      <w:r>
        <w:rPr>
          <w:rStyle w:val="SectionNumber"/>
        </w:rPr>
        <w:t>2.5</w:t>
      </w:r>
      <w:r>
        <w:tab/>
      </w:r>
      <w:r>
        <w:t>PUBLIC DATASETS USED</w:t>
      </w:r>
    </w:p>
    <w:p>
      <w:pPr>
        <w:pStyle w:val="FirstParagraph"/>
      </w:pPr>
      <w:r>
        <w:t xml:space="preserve">Three public datasets are used, chosen because they differ in chemistry, format, temperature and protocol.</w:t>
      </w:r>
    </w:p>
    <w:p>
      <w:pPr>
        <w:numPr>
          <w:ilvl w:val="0"/>
          <w:numId w:val="1004"/>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4"/>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4"/>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2"/>
    <w:bookmarkStart w:id="33" w:name="Xa011e95ed21bbcdac3cbe7e6ae007553a5206cb"/>
    <w:p>
      <w:pPr>
        <w:pStyle w:val="Heading2"/>
      </w:pPr>
      <w:r>
        <w:rPr>
          <w:rStyle w:val="SectionNumber"/>
        </w:rPr>
        <w:t>2.6</w:t>
      </w:r>
      <w:r>
        <w:tab/>
      </w: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3"/>
    <w:bookmarkStart w:id="34" w:name="positioning-of-this-work"/>
    <w:p>
      <w:pPr>
        <w:pStyle w:val="Heading2"/>
      </w:pPr>
      <w:r>
        <w:rPr>
          <w:rStyle w:val="SectionNumber"/>
        </w:rPr>
        <w:t>2.7</w:t>
      </w:r>
      <w:r>
        <w:tab/>
      </w:r>
      <w:r>
        <w:t>POSITIONING OF THIS WORK</w:t>
      </w:r>
    </w:p>
    <w:p>
      <w:pPr>
        <w:pStyle w:val="FirstParagraph"/>
      </w:pPr>
      <w:r>
        <w:t xml:space="preserve">Table 2.1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2.1: Approach Families and the Properties That Matter for a Deployed Layer</w:t>
      </w:r>
    </w:p>
    <w:tbl>
      <w:tblPr>
        <w:tblStyle w:val="Table"/>
        <w:tblW w:type="pct" w:w="4000"/>
        <w:tblLook w:firstRow="1" w:lastRow="0" w:firstColumn="0" w:lastColumn="0" w:noHBand="0" w:noVBand="0" w:val="0020"/>
        <w:jc w:val="start"/>
        <w:tblCaption w:val="Table 2.1: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34"/>
    <w:bookmarkStart w:id="35" w:name="summary"/>
    <w:p>
      <w:pPr>
        <w:pStyle w:val="Heading2"/>
      </w:pPr>
      <w:r>
        <w:rPr>
          <w:rStyle w:val="SectionNumber"/>
        </w:rPr>
        <w:t>2.8</w:t>
      </w:r>
      <w:r>
        <w:tab/>
      </w: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35"/>
    <w:bookmarkEnd w:id="36"/>
    <w:bookmarkStart w:id="59" w:name="methodology-system-design"/>
    <w:p>
      <w:pPr>
        <w:pStyle w:val="Heading1"/>
      </w:pPr>
      <w:r>
        <w:rPr>
          <w:b/>
        </w:rPr>
        <w:t>CHAPTER 3</w:t>
        <w:br/>
      </w:r>
      <w:r>
        <w:rPr>
          <w:b/>
        </w:rP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38" w:name="problem-and-design-objective"/>
    <w:p>
      <w:pPr>
        <w:pStyle w:val="Heading2"/>
      </w:pPr>
      <w:r>
        <w:rPr>
          <w:rStyle w:val="SectionNumber"/>
        </w:rPr>
        <w:t>3.1</w:t>
      </w:r>
      <w:r>
        <w:tab/>
      </w: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5"/>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5"/>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37" w:name="research-variables"/>
    <w:p>
      <w:pPr>
        <w:pStyle w:val="Heading3"/>
      </w:pPr>
      <w:r>
        <w:rPr>
          <w:rStyle w:val="SectionNumber"/>
        </w:rPr>
        <w:t xml:space="preserve">3.1.1</w:t>
      </w:r>
      <w:r>
        <w:tab/>
      </w:r>
      <w:r>
        <w:t xml:space="preserve">Research Variables</w:t>
      </w:r>
    </w:p>
    <w:p>
      <w:pPr>
        <w:numPr>
          <w:ilvl w:val="0"/>
          <w:numId w:val="1006"/>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6"/>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6"/>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37"/>
    <w:bookmarkEnd w:id="38"/>
    <w:bookmarkStart w:id="43" w:name="overall-system-framework"/>
    <w:p>
      <w:pPr>
        <w:pStyle w:val="Heading2"/>
      </w:pPr>
      <w:r>
        <w:rPr>
          <w:rStyle w:val="SectionNumber"/>
        </w:rPr>
        <w:t>3.2</w:t>
      </w:r>
      <w:r>
        <w:tab/>
      </w: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40" name="Picture"/>
            <a:graphic>
              <a:graphicData uri="http://schemas.openxmlformats.org/drawingml/2006/picture">
                <pic:pic>
                  <pic:nvPicPr>
                    <pic:cNvPr descr="fig/t1.png" id="41" name="Picture"/>
                    <pic:cNvPicPr>
                      <a:picLocks noChangeArrowheads="1" noChangeAspect="1"/>
                    </pic:cNvPicPr>
                  </pic:nvPicPr>
                  <pic:blipFill>
                    <a:blip r:embed="rId39"/>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42" w:name="X406dce0d5cebebbc4b223faee15a711381eaf7d"/>
    <w:p>
      <w:pPr>
        <w:pStyle w:val="Heading3"/>
      </w:pPr>
      <w:r>
        <w:rPr>
          <w:rStyle w:val="SectionNumber"/>
        </w:rPr>
        <w:t xml:space="preserve">3.2.1</w:t>
      </w:r>
      <w:r>
        <w:tab/>
      </w:r>
      <w:r>
        <w:t xml:space="preserve">One Scoring Path, Extracted Rather Than Copied</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42"/>
    <w:bookmarkEnd w:id="43"/>
    <w:bookmarkStart w:id="44" w:name="datasets"/>
    <w:p>
      <w:pPr>
        <w:pStyle w:val="Heading2"/>
      </w:pPr>
      <w:r>
        <w:rPr>
          <w:rStyle w:val="SectionNumber"/>
        </w:rPr>
        <w:t>3.3</w:t>
      </w:r>
      <w:r>
        <w:tab/>
      </w:r>
      <w:r>
        <w:t>DATASETS</w:t>
      </w:r>
    </w:p>
    <w:p>
      <w:pPr>
        <w:pStyle w:val="FirstParagraph"/>
      </w:pPr>
      <w:r>
        <w:t xml:space="preserve">Four sources are used (Table 3.1). They were chosen because they differ in chemistry, format, temperature and protocol.</w:t>
      </w:r>
    </w:p>
    <w:p>
      <w:pPr>
        <w:pStyle w:val="TableCaption"/>
      </w:pPr>
      <w:r>
        <w:t xml:space="preserve">Table 3.1: Data Sources and Their Role</w:t>
      </w:r>
    </w:p>
    <w:tbl>
      <w:tblPr>
        <w:tblStyle w:val="Table"/>
        <w:tblW w:type="pct" w:w="4400"/>
        <w:tblLook w:firstRow="1" w:lastRow="0" w:firstColumn="0" w:lastColumn="0" w:noHBand="0" w:noVBand="0" w:val="0020"/>
        <w:jc w:val="start"/>
        <w:tblCaption w:val="Table 3.1: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44"/>
    <w:bookmarkStart w:id="45" w:name="from-telemetry-to-discharges"/>
    <w:p>
      <w:pPr>
        <w:pStyle w:val="Heading2"/>
      </w:pPr>
      <w:r>
        <w:rPr>
          <w:rStyle w:val="SectionNumber"/>
        </w:rPr>
        <w:t>3.4</w:t>
      </w:r>
      <w:r>
        <w:tab/>
      </w: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45"/>
    <w:bookmarkStart w:id="49" w:name="voltage-window-state-of-health"/>
    <w:p>
      <w:pPr>
        <w:pStyle w:val="Heading2"/>
      </w:pPr>
      <w:r>
        <w:rPr>
          <w:rStyle w:val="SectionNumber"/>
        </w:rPr>
        <w:t>3.5</w:t>
      </w:r>
      <w:r>
        <w:tab/>
      </w: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 3.2 summarises the estimator.</w:t>
      </w:r>
    </w:p>
    <w:p>
      <w:pPr>
        <w:pStyle w:val="CaptionedFigure"/>
      </w:pPr>
      <w:r>
        <w:drawing>
          <wp:inline>
            <wp:extent cx="2145853" cy="4126287"/>
            <wp:effectExtent b="0" l="0" r="0" t="0"/>
            <wp:docPr descr="" title="" id="47" name="Picture"/>
            <a:graphic>
              <a:graphicData uri="http://schemas.openxmlformats.org/drawingml/2006/picture">
                <pic:pic>
                  <pic:nvPicPr>
                    <pic:cNvPr descr="fig/t2.png" id="48" name="Picture"/>
                    <pic:cNvPicPr>
                      <a:picLocks noChangeArrowheads="1" noChangeAspect="1"/>
                    </pic:cNvPicPr>
                  </pic:nvPicPr>
                  <pic:blipFill>
                    <a:blip r:embed="rId46"/>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49"/>
    <w:bookmarkStart w:id="50" w:name="X67f8cf879d277e0ff2db2a9f13519561af31b7f"/>
    <w:p>
      <w:pPr>
        <w:pStyle w:val="Heading2"/>
      </w:pPr>
      <w:r>
        <w:rPr>
          <w:rStyle w:val="SectionNumber"/>
        </w:rPr>
        <w:t>3.6</w:t>
      </w:r>
      <w:r>
        <w:tab/>
      </w: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50"/>
    <w:bookmarkStart w:id="51" w:name="gates"/>
    <w:p>
      <w:pPr>
        <w:pStyle w:val="Heading2"/>
      </w:pPr>
      <w:r>
        <w:rPr>
          <w:rStyle w:val="SectionNumber"/>
        </w:rPr>
        <w:t>3.7</w:t>
      </w:r>
      <w:r>
        <w:tab/>
      </w:r>
      <w:r>
        <w:t>GATES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51"/>
    <w:bookmarkStart w:id="52" w:name="learned-windows-for-partial-discharges"/>
    <w:p>
      <w:pPr>
        <w:pStyle w:val="Heading2"/>
      </w:pPr>
      <w:r>
        <w:rPr>
          <w:rStyle w:val="SectionNumber"/>
        </w:rPr>
        <w:t>3.8</w:t>
      </w:r>
      <w:r>
        <w:tab/>
      </w:r>
      <w:r>
        <w:t>LEARNED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52"/>
    <w:bookmarkStart w:id="53" w:name="X0e0bdbba195aee1eca36e6f4abd4b64afa8add6"/>
    <w:p>
      <w:pPr>
        <w:pStyle w:val="Heading2"/>
      </w:pPr>
      <w:r>
        <w:rPr>
          <w:rStyle w:val="SectionNumber"/>
        </w:rPr>
        <w:t>3.9</w:t>
      </w:r>
      <w:r>
        <w:tab/>
      </w:r>
      <w:r>
        <w:t>REMAINING USEFUL LIFE FROM THE CELL’S OWN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53"/>
    <w:bookmarkStart w:id="54" w:name="evidence-sufficiency"/>
    <w:p>
      <w:pPr>
        <w:pStyle w:val="Heading2"/>
      </w:pPr>
      <w:r>
        <w:rPr>
          <w:rStyle w:val="SectionNumber"/>
        </w:rPr>
        <w:t>3.10</w:t>
      </w:r>
      <w:r>
        <w:tab/>
      </w: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54"/>
    <w:bookmarkStart w:id="55" w:name="behaviour-scoring-layer-heuristic"/>
    <w:p>
      <w:pPr>
        <w:pStyle w:val="Heading2"/>
      </w:pPr>
      <w:r>
        <w:rPr>
          <w:rStyle w:val="SectionNumber"/>
        </w:rPr>
        <w:t>3.11</w:t>
      </w:r>
      <w:r>
        <w:tab/>
      </w: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3.2: Risk Categories of the Rule-Based Layer</w:t>
      </w:r>
    </w:p>
    <w:tbl>
      <w:tblPr>
        <w:tblStyle w:val="Table"/>
        <w:tblW w:type="pct" w:w="2500"/>
        <w:tblLook w:firstRow="1" w:lastRow="0" w:firstColumn="0" w:lastColumn="0" w:noHBand="0" w:noVBand="0" w:val="0020"/>
        <w:jc w:val="start"/>
        <w:tblCaption w:val="Table 3.2: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3.3: Health Index, Battery State and Digital-Twin State</w:t>
      </w:r>
    </w:p>
    <w:tbl>
      <w:tblPr>
        <w:tblStyle w:val="Table"/>
        <w:tblW w:type="pct" w:w="3600"/>
        <w:tblLook w:firstRow="1" w:lastRow="0" w:firstColumn="0" w:lastColumn="0" w:noHBand="0" w:noVBand="0" w:val="0020"/>
        <w:jc w:val="start"/>
        <w:tblCaption w:val="Table 3.3: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3.2 and 3.3).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55"/>
    <w:bookmarkStart w:id="56" w:name="validation-protocol"/>
    <w:p>
      <w:pPr>
        <w:pStyle w:val="Heading2"/>
      </w:pPr>
      <w:r>
        <w:rPr>
          <w:rStyle w:val="SectionNumber"/>
        </w:rPr>
        <w:t>3.12</w:t>
      </w:r>
      <w:r>
        <w:tab/>
      </w: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56"/>
    <w:bookmarkStart w:id="57" w:name="evaluation-metrics"/>
    <w:p>
      <w:pPr>
        <w:pStyle w:val="Heading2"/>
      </w:pPr>
      <w:r>
        <w:rPr>
          <w:rStyle w:val="SectionNumber"/>
        </w:rPr>
        <w:t>3.13</w:t>
      </w:r>
      <w:r>
        <w:tab/>
      </w: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57"/>
    <w:bookmarkStart w:id="58" w:name="X9488bfda7dec3ab9246fabbcfd71c2a744e6000"/>
    <w:p>
      <w:pPr>
        <w:pStyle w:val="Heading2"/>
      </w:pPr>
      <w:r>
        <w:rPr>
          <w:rStyle w:val="SectionNumber"/>
        </w:rPr>
        <w:t>3.14</w:t>
      </w:r>
      <w:r>
        <w:tab/>
      </w: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58"/>
    <w:bookmarkEnd w:id="59"/>
    <w:bookmarkStart w:id="89" w:name="implementation-and-deployment"/>
    <w:p>
      <w:pPr>
        <w:pStyle w:val="Heading1"/>
      </w:pPr>
      <w:r>
        <w:rPr>
          <w:b/>
        </w:rPr>
        <w:t>CHAPTER 4</w:t>
        <w:br/>
      </w:r>
      <w:r>
        <w:rPr>
          <w:b/>
        </w:rPr>
        <w:t>IMPLEMENTATION AND DEPLOYMENT</w:t>
      </w:r>
    </w:p>
    <w:bookmarkStart w:id="60" w:name="implementation-overview"/>
    <w:p>
      <w:pPr>
        <w:pStyle w:val="Heading2"/>
      </w:pPr>
      <w:r>
        <w:rPr>
          <w:rStyle w:val="SectionNumber"/>
        </w:rPr>
        <w:t>4.1</w:t>
      </w:r>
      <w:r>
        <w:tab/>
      </w: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4.6).</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4.7).</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4.8 to 4.11).</w:t>
      </w:r>
    </w:p>
    <w:bookmarkEnd w:id="60"/>
    <w:bookmarkStart w:id="61" w:name="development-environment-and-tools"/>
    <w:p>
      <w:pPr>
        <w:pStyle w:val="Heading2"/>
      </w:pPr>
      <w:r>
        <w:rPr>
          <w:rStyle w:val="SectionNumber"/>
        </w:rPr>
        <w:t>4.2</w:t>
      </w:r>
      <w:r>
        <w:tab/>
      </w: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61"/>
    <w:bookmarkStart w:id="62" w:name="code-organisation"/>
    <w:p>
      <w:pPr>
        <w:pStyle w:val="Heading2"/>
      </w:pPr>
      <w:r>
        <w:rPr>
          <w:rStyle w:val="SectionNumber"/>
        </w:rPr>
        <w:t>4.3</w:t>
      </w:r>
      <w:r>
        <w:tab/>
      </w: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62"/>
    <w:bookmarkStart w:id="64" w:name="X78cf532366139ad8e3483c48ac03aee0be1935a"/>
    <w:p>
      <w:pPr>
        <w:pStyle w:val="Heading2"/>
      </w:pPr>
      <w:r>
        <w:rPr>
          <w:rStyle w:val="SectionNumber"/>
        </w:rPr>
        <w:t>4.4</w:t>
      </w:r>
      <w:r>
        <w:tab/>
      </w:r>
      <w:r>
        <w:t>TELEMETRY ACQUISITION: THREE TRANSPORTS, ONE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4.5).</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63" w:name="the-seam-is-narrow"/>
    <w:p>
      <w:pPr>
        <w:pStyle w:val="Heading3"/>
      </w:pPr>
      <w:r>
        <w:rPr>
          <w:rStyle w:val="SectionNumber"/>
        </w:rPr>
        <w:t xml:space="preserve">4.4.1</w:t>
      </w:r>
      <w:r>
        <w:tab/>
      </w:r>
      <w:r>
        <w:t xml:space="preserve">The Seam Is Narrow</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63"/>
    <w:bookmarkEnd w:id="64"/>
    <w:bookmarkStart w:id="68" w:name="serial-wire-protocol"/>
    <w:p>
      <w:pPr>
        <w:pStyle w:val="Heading2"/>
      </w:pPr>
      <w:r>
        <w:rPr>
          <w:rStyle w:val="SectionNumber"/>
        </w:rPr>
        <w:t>4.5</w:t>
      </w:r>
      <w:r>
        <w:tab/>
      </w: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65" w:name="framing-by-sentinel"/>
    <w:p>
      <w:pPr>
        <w:pStyle w:val="Heading3"/>
      </w:pPr>
      <w:r>
        <w:rPr>
          <w:rStyle w:val="SectionNumber"/>
        </w:rPr>
        <w:t xml:space="preserve">4.5.1</w:t>
      </w:r>
      <w:r>
        <w:tab/>
      </w:r>
      <w:r>
        <w:t xml:space="preserve">Framing by Sentinel</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65"/>
    <w:bookmarkStart w:id="66" w:name="error-detection"/>
    <w:p>
      <w:pPr>
        <w:pStyle w:val="Heading3"/>
      </w:pPr>
      <w:r>
        <w:rPr>
          <w:rStyle w:val="SectionNumber"/>
        </w:rPr>
        <w:t xml:space="preserve">4.5.2</w:t>
      </w:r>
      <w:r>
        <w:tab/>
      </w: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66"/>
    <w:bookmarkStart w:id="67" w:name="channel-utilisation"/>
    <w:p>
      <w:pPr>
        <w:pStyle w:val="Heading3"/>
      </w:pPr>
      <w:r>
        <w:rPr>
          <w:rStyle w:val="SectionNumber"/>
        </w:rPr>
        <w:t xml:space="preserve">4.5.3</w:t>
      </w:r>
      <w:r>
        <w:tab/>
      </w: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67"/>
    <w:bookmarkEnd w:id="68"/>
    <w:bookmarkStart w:id="69" w:name="refusal-gates"/>
    <w:p>
      <w:pPr>
        <w:pStyle w:val="Heading2"/>
      </w:pPr>
      <w:r>
        <w:rPr>
          <w:rStyle w:val="SectionNumber"/>
        </w:rPr>
        <w:t>4.6</w:t>
      </w:r>
      <w:r>
        <w:tab/>
      </w: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69"/>
    <w:bookmarkStart w:id="77" w:name="hardware-bench-rig"/>
    <w:p>
      <w:pPr>
        <w:pStyle w:val="Heading2"/>
      </w:pPr>
      <w:r>
        <w:rPr>
          <w:rStyle w:val="SectionNumber"/>
        </w:rPr>
        <w:t>4.7</w:t>
      </w:r>
      <w:r>
        <w:tab/>
      </w:r>
      <w:r>
        <w:t>HARDWARE BENCH RIG</w:t>
      </w:r>
    </w:p>
    <w:bookmarkStart w:id="70" w:name="requirement-and-design-calculations"/>
    <w:p>
      <w:pPr>
        <w:pStyle w:val="Heading3"/>
      </w:pPr>
      <w:r>
        <w:rPr>
          <w:rStyle w:val="SectionNumber"/>
        </w:rPr>
        <w:t xml:space="preserve">4.7.1</w:t>
      </w:r>
      <w:r>
        <w:tab/>
      </w: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70"/>
    <w:bookmarkStart w:id="74" w:name="as-built-rig"/>
    <w:p>
      <w:pPr>
        <w:pStyle w:val="Heading3"/>
      </w:pPr>
      <w:r>
        <w:rPr>
          <w:rStyle w:val="SectionNumber"/>
        </w:rPr>
        <w:t xml:space="preserve">4.7.2</w:t>
      </w:r>
      <w:r>
        <w:tab/>
      </w: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72" name="Picture"/>
            <a:graphic>
              <a:graphicData uri="http://schemas.openxmlformats.org/drawingml/2006/picture">
                <pic:pic>
                  <pic:nvPicPr>
                    <pic:cNvPr descr="fig/t3.png" id="73" name="Picture"/>
                    <pic:cNvPicPr>
                      <a:picLocks noChangeArrowheads="1" noChangeAspect="1"/>
                    </pic:cNvPicPr>
                  </pic:nvPicPr>
                  <pic:blipFill>
                    <a:blip r:embed="rId7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74"/>
    <w:bookmarkStart w:id="75" w:name="firmware"/>
    <w:p>
      <w:pPr>
        <w:pStyle w:val="Heading3"/>
      </w:pPr>
      <w:r>
        <w:rPr>
          <w:rStyle w:val="SectionNumber"/>
        </w:rPr>
        <w:t xml:space="preserve">4.7.3</w:t>
      </w:r>
      <w:r>
        <w:tab/>
      </w: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75"/>
    <w:bookmarkStart w:id="76" w:name="bring-up-procedure"/>
    <w:p>
      <w:pPr>
        <w:pStyle w:val="Heading3"/>
      </w:pPr>
      <w:r>
        <w:rPr>
          <w:rStyle w:val="SectionNumber"/>
        </w:rPr>
        <w:t xml:space="preserve">4.7.4</w:t>
      </w:r>
      <w:r>
        <w:tab/>
      </w: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76"/>
    <w:bookmarkEnd w:id="77"/>
    <w:bookmarkStart w:id="84" w:name="Xfd48512d5f70e04d50df1141f37bb841ce2dac8"/>
    <w:p>
      <w:pPr>
        <w:pStyle w:val="Heading2"/>
      </w:pPr>
      <w:r>
        <w:rPr>
          <w:rStyle w:val="SectionNumber"/>
        </w:rPr>
        <w:t>4.8</w:t>
      </w:r>
      <w:r>
        <w:tab/>
      </w: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digital-twin sheet with the twin state and its transitions, and a banner stating where the run’s data came from. An earlier version had separate tabs for fleet, CAN replay, thermal and transfer views. They were removed because two parallel dashboards meant two provenance banners that could disagree about the same run. A Guardian explanation is shown next to the run it explains, and refusals are rendered as results and not as errors.</w:t>
      </w:r>
    </w:p>
    <w:p>
      <w:pPr>
        <w:pStyle w:val="BodyText"/>
      </w:pPr>
      <w:r>
        <w:t xml:space="preserve">Fig. 4.3 and Fig. 4.4 show the dashboard. Both are screenshots of the running system, taken on a synthetic fleet, which the interface labels as simulated data; the bench-rig panel below the fleet summary is the only part backed by a physical measurement.</w:t>
      </w:r>
    </w:p>
    <w:p>
      <w:pPr>
        <w:pStyle w:val="CaptionedFigure"/>
      </w:pPr>
      <w:r>
        <w:drawing>
          <wp:inline>
            <wp:extent cx="4937760" cy="4238244"/>
            <wp:effectExtent b="0" l="0" r="0" t="0"/>
            <wp:docPr descr="" title="" id="79" name="Picture"/>
            <a:graphic>
              <a:graphicData uri="http://schemas.openxmlformats.org/drawingml/2006/picture">
                <pic:pic>
                  <pic:nvPicPr>
                    <pic:cNvPr descr="images/ui_overview.png" id="80" name="Picture"/>
                    <pic:cNvPicPr>
                      <a:picLocks noChangeArrowheads="1" noChangeAspect="1"/>
                    </pic:cNvPicPr>
                  </pic:nvPicPr>
                  <pic:blipFill>
                    <a:blip r:embed="rId78"/>
                    <a:stretch>
                      <a:fillRect/>
                    </a:stretch>
                  </pic:blipFill>
                  <pic:spPr bwMode="auto">
                    <a:xfrm>
                      <a:off x="0" y="0"/>
                      <a:ext cx="4937760" cy="4238244"/>
                    </a:xfrm>
                    <a:prstGeom prst="rect">
                      <a:avLst/>
                    </a:prstGeom>
                    <a:noFill/>
                    <a:ln w="9525">
                      <a:noFill/>
                      <a:headEnd/>
                      <a:tailEnd/>
                    </a:ln>
                  </pic:spPr>
                </pic:pic>
              </a:graphicData>
            </a:graphic>
          </wp:inline>
        </w:drawing>
      </w:r>
    </w:p>
    <w:p>
      <w:pPr>
        <w:pStyle w:val="ImageCaption"/>
      </w:pPr>
      <w:r>
        <w:t xml:space="preserve">Figure 4.3: Overview screen of the BEACON dashboard on a synthetic fleet. The banner marks the values as simulated, and the panel at the bottom shows the measured bench-rig readings, with the health index and remaining life refused because no temperature channel exists.</w:t>
      </w:r>
    </w:p>
    <w:p>
      <w:pPr>
        <w:pStyle w:val="CaptionedFigure"/>
      </w:pPr>
      <w:r>
        <w:drawing>
          <wp:inline>
            <wp:extent cx="4937760" cy="3915917"/>
            <wp:effectExtent b="0" l="0" r="0" t="0"/>
            <wp:docPr descr="" title="" id="82" name="Picture"/>
            <a:graphic>
              <a:graphicData uri="http://schemas.openxmlformats.org/drawingml/2006/picture">
                <pic:pic>
                  <pic:nvPicPr>
                    <pic:cNvPr descr="images/ui_health.png" id="83" name="Picture"/>
                    <pic:cNvPicPr>
                      <a:picLocks noChangeArrowheads="1" noChangeAspect="1"/>
                    </pic:cNvPicPr>
                  </pic:nvPicPr>
                  <pic:blipFill>
                    <a:blip r:embed="rId81"/>
                    <a:stretch>
                      <a:fillRect/>
                    </a:stretch>
                  </pic:blipFill>
                  <pic:spPr bwMode="auto">
                    <a:xfrm>
                      <a:off x="0" y="0"/>
                      <a:ext cx="4937760" cy="3915917"/>
                    </a:xfrm>
                    <a:prstGeom prst="rect">
                      <a:avLst/>
                    </a:prstGeom>
                    <a:noFill/>
                    <a:ln w="9525">
                      <a:noFill/>
                      <a:headEnd/>
                      <a:tailEnd/>
                    </a:ln>
                  </pic:spPr>
                </pic:pic>
              </a:graphicData>
            </a:graphic>
          </wp:inline>
        </w:drawing>
      </w:r>
    </w:p>
    <w:p>
      <w:pPr>
        <w:pStyle w:val="ImageCaption"/>
      </w:pPr>
      <w:r>
        <w:t xml:space="preserve">Figure 4.4: Battery health screen: state of health over cycles for one battery, the attribution of its health index to behaviour terms, and its aggregate usage parameters (synthetic fleet).</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84"/>
    <w:bookmarkStart w:id="85" w:name="health-report-card"/>
    <w:p>
      <w:pPr>
        <w:pStyle w:val="Heading2"/>
      </w:pPr>
      <w:r>
        <w:rPr>
          <w:rStyle w:val="SectionNumber"/>
        </w:rPr>
        <w:t>4.9</w:t>
      </w:r>
      <w:r>
        <w:tab/>
      </w: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85"/>
    <w:bookmarkStart w:id="86" w:name="X4ad724ce4bc60d3d774effce658d43aa469ce9a"/>
    <w:p>
      <w:pPr>
        <w:pStyle w:val="Heading2"/>
      </w:pPr>
      <w:r>
        <w:rPr>
          <w:rStyle w:val="SectionNumber"/>
        </w:rPr>
        <w:t>4.10</w:t>
      </w:r>
      <w:r>
        <w:tab/>
      </w: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End w:id="86"/>
    <w:bookmarkStart w:id="87" w:name="containerisation-and-deployment"/>
    <w:p>
      <w:pPr>
        <w:pStyle w:val="Heading2"/>
      </w:pPr>
      <w:r>
        <w:rPr>
          <w:rStyle w:val="SectionNumber"/>
        </w:rPr>
        <w:t>4.11</w:t>
      </w:r>
      <w:r>
        <w:tab/>
      </w: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87"/>
    <w:bookmarkStart w:id="88" w:name="chapter-summary"/>
    <w:p>
      <w:pPr>
        <w:pStyle w:val="Heading2"/>
      </w:pPr>
      <w:r>
        <w:rPr>
          <w:rStyle w:val="SectionNumber"/>
        </w:rPr>
        <w:t>4.12</w:t>
      </w:r>
      <w:r>
        <w:tab/>
      </w: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88"/>
    <w:bookmarkEnd w:id="89"/>
    <w:bookmarkStart w:id="124" w:name="results-and-discussion"/>
    <w:p>
      <w:pPr>
        <w:pStyle w:val="Heading1"/>
      </w:pPr>
      <w:r>
        <w:rPr>
          <w:b/>
        </w:rPr>
        <w:t>CHAPTER 5</w:t>
        <w:br/>
      </w:r>
      <w:r>
        <w:rPr>
          <w:b/>
        </w:rP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93" w:name="X6a03b46872daed9e9da28c7cca3c0a630f99c80"/>
    <w:p>
      <w:pPr>
        <w:pStyle w:val="Heading2"/>
      </w:pPr>
      <w:r>
        <w:rPr>
          <w:rStyle w:val="SectionNumber"/>
        </w:rPr>
        <w:t>5.1</w:t>
      </w:r>
      <w:r>
        <w:tab/>
      </w:r>
      <w:r>
        <w:t>FITTED MODELS DO NOT SURVIVE A CHANGE OF PROTOCOL</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Fig. 5.1 shows the same comparison for all fourteen scored methods: nearly every bar drops from the blue (LOBO) to the red (LOCO) value when the held-out unit changes from a cell to a whole protocol cohort.</w:t>
      </w:r>
    </w:p>
    <w:p>
      <w:pPr>
        <w:pStyle w:val="CaptionedFigure"/>
      </w:pPr>
      <w:r>
        <w:drawing>
          <wp:inline>
            <wp:extent cx="4937760" cy="2468880"/>
            <wp:effectExtent b="0" l="0" r="0" t="0"/>
            <wp:docPr descr="" title="" id="91" name="Picture"/>
            <a:graphic>
              <a:graphicData uri="http://schemas.openxmlformats.org/drawingml/2006/picture">
                <pic:pic>
                  <pic:nvPicPr>
                    <pic:cNvPr descr="images/bench_lobo_loco.png" id="92" name="Picture"/>
                    <pic:cNvPicPr>
                      <a:picLocks noChangeArrowheads="1" noChangeAspect="1"/>
                    </pic:cNvPicPr>
                  </pic:nvPicPr>
                  <pic:blipFill>
                    <a:blip r:embed="rId90"/>
                    <a:stretch>
                      <a:fillRect/>
                    </a:stretch>
                  </pic:blipFill>
                  <pic:spPr bwMode="auto">
                    <a:xfrm>
                      <a:off x="0" y="0"/>
                      <a:ext cx="4937760" cy="2468880"/>
                    </a:xfrm>
                    <a:prstGeom prst="rect">
                      <a:avLst/>
                    </a:prstGeom>
                    <a:noFill/>
                    <a:ln w="9525">
                      <a:noFill/>
                      <a:headEnd/>
                      <a:tailEnd/>
                    </a:ln>
                  </pic:spPr>
                </pic:pic>
              </a:graphicData>
            </a:graphic>
          </wp:inline>
        </w:drawing>
      </w:r>
    </w:p>
    <w:p>
      <w:pPr>
        <w:pStyle w:val="ImageCaption"/>
      </w:pPr>
      <w:r>
        <w:t xml:space="preserve">Figure 5.1: LOBO and LOCO</w:t>
      </w:r>
      <w:r>
        <w:t xml:space="preserve"> </w:t>
      </w:r>
      <m:oMath>
        <m:sSup>
          <m:e>
            <m:r>
              <m:t>R</m:t>
            </m:r>
          </m:e>
          <m:sup>
            <m:r>
              <m:t>2</m:t>
            </m:r>
          </m:sup>
        </m:sSup>
      </m:oMath>
      <w:r>
        <w:t xml:space="preserve"> </w:t>
      </w:r>
      <w:r>
        <w:t xml:space="preserve">for SOH for every scored method on the 31-cell NASA benchmark (data:</w:t>
      </w:r>
      <w:r>
        <w:t xml:space="preserve"> </w:t>
      </w:r>
      <w:r>
        <w:rPr>
          <w:rStyle w:val="VerbatimChar"/>
        </w:rPr>
        <w:t xml:space="preserve">benchmark_results.csv</w:t>
      </w:r>
      <w:r>
        <w:t xml:space="preserve">). Skill measured across cells does not carry over to a new protocol.</w:t>
      </w:r>
    </w:p>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93"/>
    <w:bookmarkStart w:id="100" w:name="field-soh-from-voltage-current-and-time"/>
    <w:p>
      <w:pPr>
        <w:pStyle w:val="Heading2"/>
      </w:pPr>
      <w:r>
        <w:rPr>
          <w:rStyle w:val="SectionNumber"/>
        </w:rPr>
        <w:t>5.2</w:t>
      </w:r>
      <w:r>
        <w:tab/>
      </w:r>
      <w:r>
        <w:t>FIELD SOH FROM VOLTAGE, CURRENT AND TIME</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 5.2 tracks the estimate against every laboratory capacity test, and Fig. 5.3 shows every measured cell.</w:t>
      </w:r>
    </w:p>
    <w:p>
      <w:pPr>
        <w:pStyle w:val="CaptionedFigure"/>
      </w:pPr>
      <w:r>
        <w:drawing>
          <wp:inline>
            <wp:extent cx="4937760" cy="3142210"/>
            <wp:effectExtent b="0" l="0" r="0" t="0"/>
            <wp:docPr descr="" title="" id="95" name="Picture"/>
            <a:graphic>
              <a:graphicData uri="http://schemas.openxmlformats.org/drawingml/2006/picture">
                <pic:pic>
                  <pic:nvPicPr>
                    <pic:cNvPr descr="images/results_soh_tracking.png" id="96" name="Picture"/>
                    <pic:cNvPicPr>
                      <a:picLocks noChangeArrowheads="1" noChangeAspect="1"/>
                    </pic:cNvPicPr>
                  </pic:nvPicPr>
                  <pic:blipFill>
                    <a:blip r:embed="rId94"/>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5.2: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98" name="Picture"/>
            <a:graphic>
              <a:graphicData uri="http://schemas.openxmlformats.org/drawingml/2006/picture">
                <pic:pic>
                  <pic:nvPicPr>
                    <pic:cNvPr descr="images/results_soh_per_cell.png" id="99" name="Picture"/>
                    <pic:cNvPicPr>
                      <a:picLocks noChangeArrowheads="1" noChangeAspect="1"/>
                    </pic:cNvPicPr>
                  </pic:nvPicPr>
                  <pic:blipFill>
                    <a:blip r:embed="rId97"/>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5.3: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100"/>
    <w:bookmarkStart w:id="101" w:name="partial-discharges"/>
    <w:p>
      <w:pPr>
        <w:pStyle w:val="Heading2"/>
      </w:pPr>
      <w:r>
        <w:rPr>
          <w:rStyle w:val="SectionNumber"/>
        </w:rPr>
        <w:t>5.3</w:t>
      </w:r>
      <w:r>
        <w:tab/>
      </w: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101"/>
    <w:bookmarkStart w:id="102" w:name="resistance-tracks-the-instrument"/>
    <w:p>
      <w:pPr>
        <w:pStyle w:val="Heading2"/>
      </w:pPr>
      <w:r>
        <w:rPr>
          <w:rStyle w:val="SectionNumber"/>
        </w:rPr>
        <w:t>5.4</w:t>
      </w:r>
      <w:r>
        <w:tab/>
      </w:r>
      <w:r>
        <w:t>RESISTANCE TRACKS THE INSTRUMENT</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102"/>
    <w:bookmarkStart w:id="106" w:name="remaining-useful-life"/>
    <w:p>
      <w:pPr>
        <w:pStyle w:val="Heading2"/>
      </w:pPr>
      <w:r>
        <w:rPr>
          <w:rStyle w:val="SectionNumber"/>
        </w:rPr>
        <w:t>5.5</w:t>
      </w:r>
      <w:r>
        <w:tab/>
      </w: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 5.4 summarises the result.</w:t>
      </w:r>
    </w:p>
    <w:p>
      <w:pPr>
        <w:pStyle w:val="CaptionedFigure"/>
      </w:pPr>
      <w:r>
        <w:drawing>
          <wp:inline>
            <wp:extent cx="4937760" cy="2064880"/>
            <wp:effectExtent b="0" l="0" r="0" t="0"/>
            <wp:docPr descr="" title="" id="104" name="Picture"/>
            <a:graphic>
              <a:graphicData uri="http://schemas.openxmlformats.org/drawingml/2006/picture">
                <pic:pic>
                  <pic:nvPicPr>
                    <pic:cNvPr descr="images/results_rul.png" id="105" name="Picture"/>
                    <pic:cNvPicPr>
                      <a:picLocks noChangeArrowheads="1" noChangeAspect="1"/>
                    </pic:cNvPicPr>
                  </pic:nvPicPr>
                  <pic:blipFill>
                    <a:blip r:embed="rId103"/>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5.4: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106"/>
    <w:bookmarkStart w:id="107" w:name="rul-when-complete-discharges-are-rare"/>
    <w:p>
      <w:pPr>
        <w:pStyle w:val="Heading2"/>
      </w:pPr>
      <w:r>
        <w:rPr>
          <w:rStyle w:val="SectionNumber"/>
        </w:rPr>
        <w:t>5.6</w:t>
      </w:r>
      <w:r>
        <w:tab/>
      </w:r>
      <w:r>
        <w:t>RUL WHEN COMPLETE DISCHARGES ARE RARE</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107"/>
    <w:bookmarkStart w:id="108" w:name="when-the-evidence-suffices"/>
    <w:p>
      <w:pPr>
        <w:pStyle w:val="Heading2"/>
      </w:pPr>
      <w:r>
        <w:rPr>
          <w:rStyle w:val="SectionNumber"/>
        </w:rPr>
        <w:t>5.7</w:t>
      </w:r>
      <w:r>
        <w:tab/>
      </w:r>
      <w:r>
        <w:t>WHEN THE EVIDENCE SUFFICES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108"/>
    <w:bookmarkStart w:id="109" w:name="external-validation-on-a-second-dataset"/>
    <w:p>
      <w:pPr>
        <w:pStyle w:val="Heading2"/>
      </w:pPr>
      <w:r>
        <w:rPr>
          <w:rStyle w:val="SectionNumber"/>
        </w:rPr>
        <w:t>5.8</w:t>
      </w:r>
      <w:r>
        <w:tab/>
      </w: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A real 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80%.</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09"/>
    <w:bookmarkStart w:id="110" w:name="Xd3eceaa1d102af3c39ecdd10656f2d2a5d3468b"/>
    <w:p>
      <w:pPr>
        <w:pStyle w:val="Heading2"/>
      </w:pPr>
      <w:r>
        <w:rPr>
          <w:rStyle w:val="SectionNumber"/>
        </w:rPr>
        <w:t>5.9</w:t>
      </w:r>
      <w:r>
        <w:tab/>
      </w:r>
      <w:r>
        <w:t>A THIRD DATASET AND KNOWING WHEN TO REFUSE</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10"/>
    <w:bookmarkStart w:id="120" w:name="system-and-hardware-results"/>
    <w:p>
      <w:pPr>
        <w:pStyle w:val="Heading2"/>
      </w:pPr>
      <w:r>
        <w:rPr>
          <w:rStyle w:val="SectionNumber"/>
        </w:rPr>
        <w:t>5.10</w:t>
      </w:r>
      <w:r>
        <w:tab/>
      </w:r>
      <w:r>
        <w:t>SYSTEM AND HARDWARE RESULTS</w:t>
      </w:r>
    </w:p>
    <w:bookmarkStart w:id="117" w:name="bench-rig-captures"/>
    <w:p>
      <w:pPr>
        <w:pStyle w:val="Heading3"/>
      </w:pPr>
      <w:r>
        <w:rPr>
          <w:rStyle w:val="SectionNumber"/>
        </w:rPr>
        <w:t xml:space="preserve">5.10.1</w:t>
      </w:r>
      <w:r>
        <w:tab/>
      </w: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p>
      <w:pPr>
        <w:pStyle w:val="BodyText"/>
      </w:pPr>
      <w:r>
        <w:t xml:space="preserve">Fig. 5.5 plots the Stage B capture and Fig. 5.6 shows how the dashboard presents it.</w:t>
      </w:r>
    </w:p>
    <w:p>
      <w:pPr>
        <w:pStyle w:val="CaptionedFigure"/>
      </w:pPr>
      <w:r>
        <w:drawing>
          <wp:inline>
            <wp:extent cx="4937760" cy="2606039"/>
            <wp:effectExtent b="0" l="0" r="0" t="0"/>
            <wp:docPr descr="" title="" id="112" name="Picture"/>
            <a:graphic>
              <a:graphicData uri="http://schemas.openxmlformats.org/drawingml/2006/picture">
                <pic:pic>
                  <pic:nvPicPr>
                    <pic:cNvPr descr="images/rig_capture.png" id="113" name="Picture"/>
                    <pic:cNvPicPr>
                      <a:picLocks noChangeArrowheads="1" noChangeAspect="1"/>
                    </pic:cNvPicPr>
                  </pic:nvPicPr>
                  <pic:blipFill>
                    <a:blip r:embed="rId111"/>
                    <a:stretch>
                      <a:fillRect/>
                    </a:stretch>
                  </pic:blipFill>
                  <pic:spPr bwMode="auto">
                    <a:xfrm>
                      <a:off x="0" y="0"/>
                      <a:ext cx="4937760" cy="2606039"/>
                    </a:xfrm>
                    <a:prstGeom prst="rect">
                      <a:avLst/>
                    </a:prstGeom>
                    <a:noFill/>
                    <a:ln w="9525">
                      <a:noFill/>
                      <a:headEnd/>
                      <a:tailEnd/>
                    </a:ln>
                  </pic:spPr>
                </pic:pic>
              </a:graphicData>
            </a:graphic>
          </wp:inline>
        </w:drawing>
      </w:r>
    </w:p>
    <w:p>
      <w:pPr>
        <w:pStyle w:val="ImageCaption"/>
      </w:pPr>
      <w:r>
        <w:t xml:space="preserve">Figure 5.5: Stage B capture from the bench rig (83 frames over 82 s, one cell at rest). Voltage moves between 3.984 and 3.992 V in steps of the INA219’s 4 mV LSB, and current stays at the</w:t>
      </w:r>
      <w:r>
        <w:t xml:space="preserve"> </w:t>
      </w:r>
      <m:oMath>
        <m:r>
          <m:rPr>
            <m:sty m:val="p"/>
          </m:rPr>
          <m:t>±</m:t>
        </m:r>
      </m:oMath>
      <w:r>
        <w:t xml:space="preserve">0.4 mA noise floor.</w:t>
      </w:r>
    </w:p>
    <w:p>
      <w:pPr>
        <w:pStyle w:val="CaptionedFigure"/>
      </w:pPr>
      <w:r>
        <w:drawing>
          <wp:inline>
            <wp:extent cx="4937760" cy="3833621"/>
            <wp:effectExtent b="0" l="0" r="0" t="0"/>
            <wp:docPr descr="" title="" id="115" name="Picture"/>
            <a:graphic>
              <a:graphicData uri="http://schemas.openxmlformats.org/drawingml/2006/picture">
                <pic:pic>
                  <pic:nvPicPr>
                    <pic:cNvPr descr="images/ui_evidence.png" id="116" name="Picture"/>
                    <pic:cNvPicPr>
                      <a:picLocks noChangeArrowheads="1" noChangeAspect="1"/>
                    </pic:cNvPicPr>
                  </pic:nvPicPr>
                  <pic:blipFill>
                    <a:blip r:embed="rId114"/>
                    <a:stretch>
                      <a:fillRect/>
                    </a:stretch>
                  </pic:blipFill>
                  <pic:spPr bwMode="auto">
                    <a:xfrm>
                      <a:off x="0" y="0"/>
                      <a:ext cx="4937760" cy="3833621"/>
                    </a:xfrm>
                    <a:prstGeom prst="rect">
                      <a:avLst/>
                    </a:prstGeom>
                    <a:noFill/>
                    <a:ln w="9525">
                      <a:noFill/>
                      <a:headEnd/>
                      <a:tailEnd/>
                    </a:ln>
                  </pic:spPr>
                </pic:pic>
              </a:graphicData>
            </a:graphic>
          </wp:inline>
        </w:drawing>
      </w:r>
    </w:p>
    <w:p>
      <w:pPr>
        <w:pStyle w:val="ImageCaption"/>
      </w:pPr>
      <w:r>
        <w:t xml:space="preserve">Figure 5.6: Evidence view of the BEACON dashboard for the bench rig: 83 of 83 records accepted, voltage and current as measured, temperature reported as not supplied, and the health index, remaining life and state of health refused because coverage is incomplete.</w:t>
      </w:r>
    </w:p>
    <w:bookmarkEnd w:id="117"/>
    <w:bookmarkStart w:id="118" w:name="fault-injection"/>
    <w:p>
      <w:pPr>
        <w:pStyle w:val="Heading3"/>
      </w:pPr>
      <w:r>
        <w:rPr>
          <w:rStyle w:val="SectionNumber"/>
        </w:rPr>
        <w:t xml:space="preserve">5.10.2</w:t>
      </w:r>
      <w:r>
        <w:tab/>
      </w: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18"/>
    <w:bookmarkStart w:id="119" w:name="Xa02a71f04cbfbaee63c846a057c53165dabfc4c"/>
    <w:p>
      <w:pPr>
        <w:pStyle w:val="Heading3"/>
      </w:pPr>
      <w:r>
        <w:rPr>
          <w:rStyle w:val="SectionNumber"/>
        </w:rPr>
        <w:t xml:space="preserve">5.10.3</w:t>
      </w:r>
      <w:r>
        <w:tab/>
      </w: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19"/>
    <w:bookmarkEnd w:id="120"/>
    <w:bookmarkStart w:id="121" w:name="a-worked-example-the-report-card"/>
    <w:p>
      <w:pPr>
        <w:pStyle w:val="Heading2"/>
      </w:pPr>
      <w:r>
        <w:rPr>
          <w:rStyle w:val="SectionNumber"/>
        </w:rPr>
        <w:t>5.11</w:t>
      </w:r>
      <w:r>
        <w:tab/>
      </w:r>
      <w:r>
        <w:t>A WORKED EXAMPLE: THE REPORT CARD</w:t>
      </w:r>
    </w:p>
    <w:p>
      <w:pPr>
        <w:pStyle w:val="FirstParagraph"/>
      </w:pPr>
      <w:r>
        <w:t xml:space="preserve">Fig. 5.7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5.7: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21"/>
    <w:bookmarkStart w:id="122" w:name="discussion"/>
    <w:p>
      <w:pPr>
        <w:pStyle w:val="Heading2"/>
      </w:pPr>
      <w:r>
        <w:rPr>
          <w:rStyle w:val="SectionNumber"/>
        </w:rPr>
        <w:t>5.12</w:t>
      </w:r>
      <w:r>
        <w:tab/>
      </w:r>
      <w:r>
        <w:t>DISCUSSION</w:t>
      </w:r>
    </w:p>
    <w:p>
      <w:pPr>
        <w:pStyle w:val="FirstParagraph"/>
      </w:pPr>
      <w:r>
        <w:rPr>
          <w:bCs/>
          <w:b/>
        </w:rPr>
        <w:t xml:space="preserve">Conditioning moved accuracy; model choice did not.</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Reference definitions change conclusions.</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Threshold crossings amplify small biases.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Sufficiency is measurable.</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22"/>
    <w:bookmarkStart w:id="123" w:name="validation-summary"/>
    <w:p>
      <w:pPr>
        <w:pStyle w:val="Heading2"/>
      </w:pPr>
      <w:r>
        <w:rPr>
          <w:rStyle w:val="SectionNumber"/>
        </w:rPr>
        <w:t>5.13</w:t>
      </w:r>
      <w:r>
        <w:tab/>
      </w: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23"/>
    <w:bookmarkEnd w:id="124"/>
    <w:bookmarkStart w:id="127" w:name="conclusion-and-future-work"/>
    <w:p>
      <w:pPr>
        <w:pStyle w:val="Heading1"/>
      </w:pPr>
      <w:r>
        <w:rPr>
          <w:b/>
        </w:rPr>
        <w:t>CHAPTER 6</w:t>
        <w:br/>
      </w:r>
      <w:r>
        <w:rPr>
          <w:b/>
        </w:rP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25" w:name="limitations"/>
    <w:p>
      <w:pPr>
        <w:pStyle w:val="Heading2"/>
      </w:pPr>
      <w:r>
        <w:rPr>
          <w:rStyle w:val="SectionNumber"/>
        </w:rPr>
        <w:t>6.1</w:t>
      </w:r>
      <w:r>
        <w:tab/>
      </w: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25"/>
    <w:bookmarkStart w:id="126" w:name="future-work"/>
    <w:p>
      <w:pPr>
        <w:pStyle w:val="Heading2"/>
      </w:pPr>
      <w:r>
        <w:rPr>
          <w:rStyle w:val="SectionNumber"/>
        </w:rPr>
        <w:t>6.2</w:t>
      </w:r>
      <w:r>
        <w:tab/>
      </w:r>
      <w:r>
        <w:t>FUTURE WORK</w:t>
      </w:r>
    </w:p>
    <w:p>
      <w:pPr>
        <w:pStyle w:val="FirstParagraph"/>
      </w:pPr>
      <w:r>
        <w:t xml:space="preserve">In order of dependency:</w:t>
      </w:r>
    </w:p>
    <w:p>
      <w:pPr>
        <w:numPr>
          <w:ilvl w:val="0"/>
          <w:numId w:val="1015"/>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5"/>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5"/>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5"/>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5"/>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5"/>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26"/>
    <w:bookmarkEnd w:id="127"/>
    <w:bookmarkStart w:id="128"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A.1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A.1: Artifacts and Scripts Behind Each Results Section</w:t>
      </w:r>
    </w:p>
    <w:tbl>
      <w:tblPr>
        <w:tblStyle w:val="Table"/>
        <w:tblW w:type="pct" w:w="4400"/>
        <w:tblLook w:firstRow="1" w:lastRow="0" w:firstColumn="0" w:lastColumn="0" w:noHBand="0" w:noVBand="0" w:val="0020"/>
        <w:jc w:val="start"/>
        <w:tblCaption w:val="Table A.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5.2, 5.3, 5.4</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28"/>
    <w:bookmarkStart w:id="130"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29">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30"/>
    <w:bookmarkStart w:id="131"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bookmarkEnd w:id="131"/>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6" Type="http://schemas.openxmlformats.org/officeDocument/2006/relationships/image" Target="media/rId46.png"/><Relationship Id="rId71" Type="http://schemas.openxmlformats.org/officeDocument/2006/relationships/image" Target="media/rId71.png"/><Relationship Id="rId90" Type="http://schemas.openxmlformats.org/officeDocument/2006/relationships/image" Target="media/rId90.png"/><Relationship Id="rId103" Type="http://schemas.openxmlformats.org/officeDocument/2006/relationships/image" Target="media/rId103.png"/><Relationship Id="rId97" Type="http://schemas.openxmlformats.org/officeDocument/2006/relationships/image" Target="media/rId97.png"/><Relationship Id="rId94" Type="http://schemas.openxmlformats.org/officeDocument/2006/relationships/image" Target="media/rId94.png"/><Relationship Id="rId111" Type="http://schemas.openxmlformats.org/officeDocument/2006/relationships/image" Target="media/rId111.png"/><Relationship Id="rId114" Type="http://schemas.openxmlformats.org/officeDocument/2006/relationships/image" Target="media/rId114.png"/><Relationship Id="rId81" Type="http://schemas.openxmlformats.org/officeDocument/2006/relationships/image" Target="media/rId81.png"/><Relationship Id="rId78" Type="http://schemas.openxmlformats.org/officeDocument/2006/relationships/image" Target="media/rId78.png"/><Relationship Id="rId129"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29"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2026-10-08T05:11:47Z</dcterms:created>
  <dcterms:modified xsi:type="dcterms:W3CDTF">2026-10-08T05:11:47Z</dcterms:modified>
</cp:coreProperties>
</file>

<file path=docProps/custom.xml><?xml version="1.0" encoding="utf-8"?>
<Properties xmlns="http://schemas.openxmlformats.org/officeDocument/2006/custom-properties" xmlns:vt="http://schemas.openxmlformats.org/officeDocument/2006/docPropsVTypes"/>
</file>