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97" name="Picture 97"/>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98" name="Picture 98"/>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tc>
        <w:tc>
          <w:tcPr>
            <w:tcW w:type="dxa" w:w="4153"/>
          </w:tcPr>
          <w:p>
            <w:pPr>
              <w:spacing w:after="40" w:line="240" w:lineRule="auto"/>
            </w:pPr>
            <w:r/>
            <w:r>
              <w:rPr>
                <w:b/>
                <w:sz w:val="22"/>
              </w:rPr>
              <w:t>EXTERNAL EXAMINER</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7" w:name="introduction"/>
    <w:p>
      <w:pPr>
        <w:pStyle w:val="Heading1"/>
      </w:pPr>
      <w:r>
        <w:rPr>
          <w:b/>
        </w:rPr>
        <w:t>CHAPTER 1</w:t>
        <w:br/>
      </w:r>
      <w:r>
        <w:rPr>
          <w:b/>
        </w:rPr>
        <w:t>INTRODUCTION</w:t>
      </w:r>
    </w:p>
    <w:bookmarkStart w:id="20" w:name="background"/>
    <w:p>
      <w:pPr>
        <w:pStyle w:val="Heading2"/>
      </w:pPr>
      <w:r>
        <w:rPr>
          <w:rStyle w:val="SectionNumber"/>
        </w:rPr>
        <w:t>1.1</w:t>
      </w:r>
      <w:r>
        <w:tab/>
      </w: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rPr>
          <w:rStyle w:val="SectionNumber"/>
        </w:rPr>
        <w:t>1.2</w:t>
      </w:r>
      <w:r>
        <w:tab/>
      </w: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rPr>
          <w:rStyle w:val="SectionNumber"/>
        </w:rPr>
        <w:t>1.3</w:t>
      </w:r>
      <w:r>
        <w:tab/>
      </w: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rPr>
          <w:rStyle w:val="SectionNumber"/>
        </w:rPr>
        <w:t>1.4</w:t>
      </w:r>
      <w:r>
        <w:tab/>
      </w: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rPr>
          <w:rStyle w:val="SectionNumber"/>
        </w:rPr>
        <w:t>1.5</w:t>
      </w:r>
      <w:r>
        <w:tab/>
      </w: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key-contributions"/>
    <w:p>
      <w:pPr>
        <w:pStyle w:val="Heading2"/>
      </w:pPr>
      <w:r>
        <w:rPr>
          <w:rStyle w:val="SectionNumber"/>
        </w:rPr>
        <w:t>1.6</w:t>
      </w:r>
      <w:r>
        <w:tab/>
      </w:r>
      <w:r>
        <w:t>KEY CONTRIBUTIONS</w:t>
      </w:r>
    </w:p>
    <w:p>
      <w:pPr>
        <w:pStyle w:val="FirstParagraph"/>
      </w:pPr>
      <w:r>
        <w:t xml:space="preserve">The main contributions of this work are as follows.</w:t>
      </w:r>
    </w:p>
    <w:p>
      <w:pPr>
        <w:numPr>
          <w:ilvl w:val="0"/>
          <w:numId w:val="1003"/>
        </w:numPr>
      </w:pPr>
      <w:r>
        <w:rPr>
          <w:bCs/>
          <w:b/>
        </w:rPr>
        <w:t xml:space="preserve">A three-tier telemetry system</w:t>
      </w:r>
      <w:r>
        <w:t xml:space="preserve"> </w:t>
      </w:r>
      <w:r>
        <w:t xml:space="preserve">(CAN/serial/dataset ingestion, a shared scoring pipeline, and a FastAPI, Express and React service tier) in which every output is labelled measured, estimated or heuristic and carries its error band, or is refused with a reason.</w:t>
      </w:r>
    </w:p>
    <w:p>
      <w:pPr>
        <w:numPr>
          <w:ilvl w:val="0"/>
          <w:numId w:val="1003"/>
        </w:numPr>
      </w:pPr>
      <w:r>
        <w:rPr>
          <w:bCs/>
          <w:b/>
        </w:rPr>
        <w:t xml:space="preserve">A field-realisable SOH estimator</w:t>
      </w:r>
      <w:r>
        <w:t xml:space="preserve"> </w:t>
      </w:r>
      <w:r>
        <w:t xml:space="preserve">validated from voltage, current and time alone, in which the ohmic correction uses a resistance identified from the voltage step at each load onset. Relative to no correction, it raises coverage from 12 to 17 of 22 cells and lowers median error from 4.3% to 1.7%.</w:t>
      </w:r>
    </w:p>
    <w:p>
      <w:pPr>
        <w:numPr>
          <w:ilvl w:val="0"/>
          <w:numId w:val="1003"/>
        </w:numPr>
      </w:pPr>
      <w:r>
        <w:rPr>
          <w:bCs/>
          <w:b/>
        </w:rPr>
        <w:t xml:space="preserve">Resistance as a validated second health quantity:</w:t>
      </w:r>
      <w:r>
        <w:t xml:space="preserve"> </w:t>
      </w:r>
      <w:r>
        <w:t xml:space="preserve">the step resistance tracks the laboratory instrument on 19 of 20 cells.</w:t>
      </w:r>
    </w:p>
    <w:p>
      <w:pPr>
        <w:numPr>
          <w:ilvl w:val="0"/>
          <w:numId w:val="1003"/>
        </w:numPr>
      </w:pPr>
      <w:r>
        <w:rPr>
          <w:bCs/>
          <w:b/>
        </w:rPr>
        <w:t xml:space="preserve">SOH from partial discharges</w:t>
      </w:r>
      <w:r>
        <w:t xml:space="preserve"> </w:t>
      </w:r>
      <w:r>
        <w:t xml:space="preserve">via a window learned from the cell’s own early discharges, with a physical refusal rule for windows on the discharge knee whose threshold is not tuned.</w:t>
      </w:r>
    </w:p>
    <w:p>
      <w:pPr>
        <w:numPr>
          <w:ilvl w:val="0"/>
          <w:numId w:val="1003"/>
        </w:numPr>
      </w:pPr>
      <w:r>
        <w:rPr>
          <w:bCs/>
          <w:b/>
        </w:rPr>
        <w:t xml:space="preserve">RUL accuracy reported as a user meets it</w:t>
      </w:r>
      <w:r>
        <w:t xml:space="preserve">, indexed by the prediction, together with a measured correction (88% to 73%) caused by a reference capacity that used the future.</w:t>
      </w:r>
    </w:p>
    <w:p>
      <w:pPr>
        <w:numPr>
          <w:ilvl w:val="0"/>
          <w:numId w:val="1003"/>
        </w:numPr>
      </w:pPr>
      <w:r>
        <w:rPr>
          <w:bCs/>
          <w:b/>
        </w:rPr>
        <w:t xml:space="preserve">Evidence sufficiency measured rather than asserted:</w:t>
      </w:r>
      <w:r>
        <w:t xml:space="preserve"> </w:t>
      </w:r>
      <w:r>
        <w:t xml:space="preserve">confidence follows the consistency of readings, which predicts error, and not the number of discharges, which does not.</w:t>
      </w:r>
    </w:p>
    <w:p>
      <w:pPr>
        <w:numPr>
          <w:ilvl w:val="0"/>
          <w:numId w:val="1003"/>
        </w:numPr>
      </w:pPr>
      <w:r>
        <w:rPr>
          <w:bCs/>
          <w:b/>
        </w:rPr>
        <w:t xml:space="preserve">External validation without re-tuning</w:t>
      </w:r>
      <w:r>
        <w:t xml:space="preserve"> </w:t>
      </w:r>
      <w:r>
        <w:t xml:space="preserve">on a second dataset of a different chemistry, manufacturer, format and temperature, and a documented failure on a third.</w:t>
      </w:r>
    </w:p>
    <w:p>
      <w:pPr>
        <w:numPr>
          <w:ilvl w:val="0"/>
          <w:numId w:val="1003"/>
        </w:numPr>
      </w:pPr>
      <w:r>
        <w:rPr>
          <w:bCs/>
          <w:b/>
        </w:rPr>
        <w:t xml:space="preserve">A working bench rig and software contract:</w:t>
      </w:r>
      <w:r>
        <w:t xml:space="preserve"> </w:t>
      </w:r>
      <w:r>
        <w:t xml:space="preserve">a serial wire protocol with checksums and refusal gates, firmware, and a physical bring-up on an ESP8266 board, with fault injection tests.</w:t>
      </w:r>
    </w:p>
    <w:p>
      <w:pPr>
        <w:numPr>
          <w:ilvl w:val="0"/>
          <w:numId w:val="1003"/>
        </w:numPr>
      </w:pPr>
      <w:r>
        <w:rPr>
          <w:bCs/>
          <w:b/>
        </w:rPr>
        <w:t xml:space="preserve">Negative results retained:</w:t>
      </w:r>
      <w:r>
        <w:t xml:space="preserve"> </w:t>
      </w:r>
      <w:r>
        <w:t xml:space="preserve">fitted models across protocols and four routes to RUL from sparse complete discharges.</w:t>
      </w:r>
    </w:p>
    <w:bookmarkEnd w:id="25"/>
    <w:bookmarkStart w:id="26" w:name="scope-and-organisation-of-the-report"/>
    <w:p>
      <w:pPr>
        <w:pStyle w:val="Heading2"/>
      </w:pPr>
      <w:r>
        <w:rPr>
          <w:rStyle w:val="SectionNumber"/>
        </w:rPr>
        <w:t>1.7</w:t>
      </w:r>
      <w:r>
        <w:tab/>
      </w: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6"/>
    <w:bookmarkEnd w:id="27"/>
    <w:bookmarkStart w:id="36" w:name="literature-review"/>
    <w:p>
      <w:pPr>
        <w:pStyle w:val="Heading1"/>
      </w:pPr>
      <w:r>
        <w:rPr>
          <w:b/>
        </w:rPr>
        <w:t>CHAPTER 2</w:t>
        <w:br/>
      </w:r>
      <w:r>
        <w:rPr>
          <w:b/>
        </w:rPr>
        <w:t>LITERATURE REVIEW</w:t>
      </w:r>
    </w:p>
    <w:bookmarkStart w:id="28" w:name="X1259210b64423408c35b18caed52eb52e45b504"/>
    <w:p>
      <w:pPr>
        <w:pStyle w:val="Heading2"/>
      </w:pPr>
      <w:r>
        <w:rPr>
          <w:rStyle w:val="SectionNumber"/>
        </w:rPr>
        <w:t>2.1</w:t>
      </w:r>
      <w:r>
        <w:tab/>
      </w: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8"/>
    <w:bookmarkStart w:id="29" w:name="X9e9831f21f9c5525e7acb34f922108bfd4d6755"/>
    <w:p>
      <w:pPr>
        <w:pStyle w:val="Heading2"/>
      </w:pPr>
      <w:r>
        <w:rPr>
          <w:rStyle w:val="SectionNumber"/>
        </w:rPr>
        <w:t>2.2</w:t>
      </w:r>
      <w:r>
        <w:tab/>
      </w: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9"/>
    <w:bookmarkStart w:id="30" w:name="discharge-curve-analysis"/>
    <w:p>
      <w:pPr>
        <w:pStyle w:val="Heading2"/>
      </w:pPr>
      <w:r>
        <w:rPr>
          <w:rStyle w:val="SectionNumber"/>
        </w:rPr>
        <w:t>2.3</w:t>
      </w:r>
      <w:r>
        <w:tab/>
      </w: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0"/>
    <w:bookmarkStart w:id="31" w:name="remaining-useful-life-prognostics"/>
    <w:p>
      <w:pPr>
        <w:pStyle w:val="Heading2"/>
      </w:pPr>
      <w:r>
        <w:rPr>
          <w:rStyle w:val="SectionNumber"/>
        </w:rPr>
        <w:t>2.4</w:t>
      </w:r>
      <w:r>
        <w:tab/>
      </w: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1"/>
    <w:bookmarkStart w:id="32" w:name="public-datasets-used"/>
    <w:p>
      <w:pPr>
        <w:pStyle w:val="Heading2"/>
      </w:pPr>
      <w:r>
        <w:rPr>
          <w:rStyle w:val="SectionNumber"/>
        </w:rPr>
        <w:t>2.5</w:t>
      </w:r>
      <w:r>
        <w:tab/>
      </w:r>
      <w:r>
        <w:t>PUBLIC DATASETS USED</w:t>
      </w:r>
    </w:p>
    <w:p>
      <w:pPr>
        <w:pStyle w:val="FirstParagraph"/>
      </w:pPr>
      <w:r>
        <w:t xml:space="preserve">Three public datasets are used, chosen because they differ in chemistry, format, temperature and protocol.</w:t>
      </w:r>
    </w:p>
    <w:p>
      <w:pPr>
        <w:numPr>
          <w:ilvl w:val="0"/>
          <w:numId w:val="1004"/>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4"/>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4"/>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2"/>
    <w:bookmarkStart w:id="33" w:name="Xa011e95ed21bbcdac3cbe7e6ae007553a5206cb"/>
    <w:p>
      <w:pPr>
        <w:pStyle w:val="Heading2"/>
      </w:pPr>
      <w:r>
        <w:rPr>
          <w:rStyle w:val="SectionNumber"/>
        </w:rPr>
        <w:t>2.6</w:t>
      </w:r>
      <w:r>
        <w:tab/>
      </w: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3"/>
    <w:bookmarkStart w:id="34" w:name="positioning-of-this-work"/>
    <w:p>
      <w:pPr>
        <w:pStyle w:val="Heading2"/>
      </w:pPr>
      <w:r>
        <w:rPr>
          <w:rStyle w:val="SectionNumber"/>
        </w:rPr>
        <w:t>2.7</w:t>
      </w:r>
      <w:r>
        <w:tab/>
      </w: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4"/>
    <w:bookmarkStart w:id="35" w:name="summary"/>
    <w:p>
      <w:pPr>
        <w:pStyle w:val="Heading2"/>
      </w:pPr>
      <w:r>
        <w:rPr>
          <w:rStyle w:val="SectionNumber"/>
        </w:rPr>
        <w:t>2.8</w:t>
      </w:r>
      <w:r>
        <w:tab/>
      </w: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5"/>
    <w:bookmarkEnd w:id="36"/>
    <w:bookmarkStart w:id="59" w:name="methodology-system-design"/>
    <w:p>
      <w:pPr>
        <w:pStyle w:val="Heading1"/>
      </w:pPr>
      <w:r>
        <w:rPr>
          <w:b/>
        </w:rPr>
        <w:t>CHAPTER 3</w:t>
        <w:br/>
      </w:r>
      <w:r>
        <w:rPr>
          <w:b/>
        </w:rP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8" w:name="problem-and-design-objective"/>
    <w:p>
      <w:pPr>
        <w:pStyle w:val="Heading2"/>
      </w:pPr>
      <w:r>
        <w:rPr>
          <w:rStyle w:val="SectionNumber"/>
        </w:rPr>
        <w:t>3.1</w:t>
      </w:r>
      <w:r>
        <w:tab/>
      </w: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5"/>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5"/>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7" w:name="research-variables"/>
    <w:p>
      <w:pPr>
        <w:pStyle w:val="Heading3"/>
      </w:pPr>
      <w:r>
        <w:rPr>
          <w:rStyle w:val="SectionNumber"/>
        </w:rPr>
        <w:t xml:space="preserve">3.1.1</w:t>
      </w:r>
      <w:r>
        <w:tab/>
      </w:r>
      <w:r>
        <w:t xml:space="preserve">RESEARCH VARIABLES</w:t>
      </w:r>
    </w:p>
    <w:p>
      <w:pPr>
        <w:numPr>
          <w:ilvl w:val="0"/>
          <w:numId w:val="1006"/>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6"/>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6"/>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7"/>
    <w:bookmarkEnd w:id="38"/>
    <w:bookmarkStart w:id="43" w:name="overall-system-framework"/>
    <w:p>
      <w:pPr>
        <w:pStyle w:val="Heading2"/>
      </w:pPr>
      <w:r>
        <w:rPr>
          <w:rStyle w:val="SectionNumber"/>
        </w:rPr>
        <w:t>3.2</w:t>
      </w:r>
      <w:r>
        <w:tab/>
      </w: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40" name="Picture"/>
            <a:graphic>
              <a:graphicData uri="http://schemas.openxmlformats.org/drawingml/2006/picture">
                <pic:pic>
                  <pic:nvPicPr>
                    <pic:cNvPr descr="fig/t1.png" id="41" name="Picture"/>
                    <pic:cNvPicPr>
                      <a:picLocks noChangeArrowheads="1" noChangeAspect="1"/>
                    </pic:cNvPicPr>
                  </pic:nvPicPr>
                  <pic:blipFill>
                    <a:blip r:embed="rId39"/>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2" w:name="X406dce0d5cebebbc4b223faee15a711381eaf7d"/>
    <w:p>
      <w:pPr>
        <w:pStyle w:val="Heading3"/>
      </w:pPr>
      <w:r>
        <w:rPr>
          <w:rStyle w:val="SectionNumber"/>
        </w:rPr>
        <w:t xml:space="preserve">3.2.1</w:t>
      </w:r>
      <w:r>
        <w:tab/>
      </w: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2"/>
    <w:bookmarkEnd w:id="43"/>
    <w:bookmarkStart w:id="44" w:name="datasets"/>
    <w:p>
      <w:pPr>
        <w:pStyle w:val="Heading2"/>
      </w:pPr>
      <w:r>
        <w:rPr>
          <w:rStyle w:val="SectionNumber"/>
        </w:rPr>
        <w:t>3.3</w:t>
      </w:r>
      <w:r>
        <w:tab/>
      </w: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4–43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4"/>
    <w:bookmarkStart w:id="45" w:name="from-telemetry-to-discharges"/>
    <w:p>
      <w:pPr>
        <w:pStyle w:val="Heading2"/>
      </w:pPr>
      <w:r>
        <w:rPr>
          <w:rStyle w:val="SectionNumber"/>
        </w:rPr>
        <w:t>3.4</w:t>
      </w:r>
      <w:r>
        <w:tab/>
      </w: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5"/>
    <w:bookmarkStart w:id="49" w:name="voltage-window-state-of-health"/>
    <w:p>
      <w:pPr>
        <w:pStyle w:val="Heading2"/>
      </w:pPr>
      <w:r>
        <w:rPr>
          <w:rStyle w:val="SectionNumber"/>
        </w:rPr>
        <w:t>3.5</w:t>
      </w:r>
      <w:r>
        <w:tab/>
      </w: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Figure 3.2 summarises the estimator.</w:t>
      </w:r>
    </w:p>
    <w:p>
      <w:pPr>
        <w:pStyle w:val="CaptionedFigure"/>
      </w:pPr>
      <w:r>
        <w:drawing>
          <wp:inline>
            <wp:extent cx="2145853" cy="4126287"/>
            <wp:effectExtent b="0" l="0" r="0" t="0"/>
            <wp:docPr descr="" title="" id="47" name="Picture"/>
            <a:graphic>
              <a:graphicData uri="http://schemas.openxmlformats.org/drawingml/2006/picture">
                <pic:pic>
                  <pic:nvPicPr>
                    <pic:cNvPr descr="fig/t2.png" id="48" name="Picture"/>
                    <pic:cNvPicPr>
                      <a:picLocks noChangeArrowheads="1" noChangeAspect="1"/>
                    </pic:cNvPicPr>
                  </pic:nvPicPr>
                  <pic:blipFill>
                    <a:blip r:embed="rId46"/>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9"/>
    <w:bookmarkStart w:id="50" w:name="X67f8cf879d277e0ff2db2a9f13519561af31b7f"/>
    <w:p>
      <w:pPr>
        <w:pStyle w:val="Heading2"/>
      </w:pPr>
      <w:r>
        <w:rPr>
          <w:rStyle w:val="SectionNumber"/>
        </w:rPr>
        <w:t>3.6</w:t>
      </w:r>
      <w:r>
        <w:tab/>
      </w: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50"/>
    <w:bookmarkStart w:id="51" w:name="gates"/>
    <w:p>
      <w:pPr>
        <w:pStyle w:val="Heading2"/>
      </w:pPr>
      <w:r>
        <w:rPr>
          <w:rStyle w:val="SectionNumber"/>
        </w:rPr>
        <w:t>3.7</w:t>
      </w:r>
      <w:r>
        <w:tab/>
      </w:r>
      <w:r>
        <w:t>GATES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1"/>
    <w:bookmarkStart w:id="52" w:name="learned-windows-for-partial-discharges"/>
    <w:p>
      <w:pPr>
        <w:pStyle w:val="Heading2"/>
      </w:pPr>
      <w:r>
        <w:rPr>
          <w:rStyle w:val="SectionNumber"/>
        </w:rPr>
        <w:t>3.8</w:t>
      </w:r>
      <w:r>
        <w:tab/>
      </w: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2"/>
    <w:bookmarkStart w:id="53" w:name="X0e0bdbba195aee1eca36e6f4abd4b64afa8add6"/>
    <w:p>
      <w:pPr>
        <w:pStyle w:val="Heading2"/>
      </w:pPr>
      <w:r>
        <w:rPr>
          <w:rStyle w:val="SectionNumber"/>
        </w:rPr>
        <w:t>3.9</w:t>
      </w:r>
      <w:r>
        <w:tab/>
      </w: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3"/>
    <w:bookmarkStart w:id="54" w:name="evidence-sufficiency"/>
    <w:p>
      <w:pPr>
        <w:pStyle w:val="Heading2"/>
      </w:pPr>
      <w:r>
        <w:rPr>
          <w:rStyle w:val="SectionNumber"/>
        </w:rPr>
        <w:t>3.10</w:t>
      </w:r>
      <w:r>
        <w:tab/>
      </w: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4"/>
    <w:bookmarkStart w:id="55" w:name="behaviour-scoring-layer-heuristic"/>
    <w:p>
      <w:pPr>
        <w:pStyle w:val="Heading2"/>
      </w:pPr>
      <w:r>
        <w:rPr>
          <w:rStyle w:val="SectionNumber"/>
        </w:rPr>
        <w:t>3.11</w:t>
      </w:r>
      <w:r>
        <w:tab/>
      </w: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5"/>
    <w:bookmarkStart w:id="56" w:name="validation-protocol"/>
    <w:p>
      <w:pPr>
        <w:pStyle w:val="Heading2"/>
      </w:pPr>
      <w:r>
        <w:rPr>
          <w:rStyle w:val="SectionNumber"/>
        </w:rPr>
        <w:t>3.12</w:t>
      </w:r>
      <w:r>
        <w:tab/>
      </w: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it is capacity over the checks within the first ten cycles. This is the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6"/>
    <w:bookmarkStart w:id="57" w:name="evaluation-metrics"/>
    <w:p>
      <w:pPr>
        <w:pStyle w:val="Heading2"/>
      </w:pPr>
      <w:r>
        <w:rPr>
          <w:rStyle w:val="SectionNumber"/>
        </w:rPr>
        <w:t>3.13</w:t>
      </w:r>
      <w:r>
        <w:tab/>
      </w: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7"/>
    <w:bookmarkStart w:id="58" w:name="X9488bfda7dec3ab9246fabbcfd71c2a744e6000"/>
    <w:p>
      <w:pPr>
        <w:pStyle w:val="Heading2"/>
      </w:pPr>
      <w:r>
        <w:rPr>
          <w:rStyle w:val="SectionNumber"/>
        </w:rPr>
        <w:t>3.14</w:t>
      </w:r>
      <w:r>
        <w:tab/>
      </w: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8"/>
    <w:bookmarkEnd w:id="59"/>
    <w:bookmarkStart w:id="83" w:name="implementation-and-deployment"/>
    <w:p>
      <w:pPr>
        <w:pStyle w:val="Heading1"/>
      </w:pPr>
      <w:r>
        <w:rPr>
          <w:b/>
        </w:rPr>
        <w:t>CHAPTER 4</w:t>
        <w:br/>
      </w:r>
      <w:r>
        <w:rPr>
          <w:b/>
        </w:rPr>
        <w:t>IMPLEMENTATION AND DEPLOYMENT</w:t>
      </w:r>
    </w:p>
    <w:bookmarkStart w:id="60" w:name="implementation-overview"/>
    <w:p>
      <w:pPr>
        <w:pStyle w:val="Heading2"/>
      </w:pPr>
      <w:r>
        <w:rPr>
          <w:rStyle w:val="SectionNumber"/>
        </w:rPr>
        <w:t>4.1</w:t>
      </w:r>
      <w:r>
        <w:tab/>
      </w: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4.8 to 4.11).</w:t>
      </w:r>
    </w:p>
    <w:bookmarkEnd w:id="60"/>
    <w:bookmarkStart w:id="61" w:name="development-environment-and-tools"/>
    <w:p>
      <w:pPr>
        <w:pStyle w:val="Heading2"/>
      </w:pPr>
      <w:r>
        <w:rPr>
          <w:rStyle w:val="SectionNumber"/>
        </w:rPr>
        <w:t>4.2</w:t>
      </w:r>
      <w:r>
        <w:tab/>
      </w: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1"/>
    <w:bookmarkStart w:id="62" w:name="code-organisation"/>
    <w:p>
      <w:pPr>
        <w:pStyle w:val="Heading2"/>
      </w:pPr>
      <w:r>
        <w:rPr>
          <w:rStyle w:val="SectionNumber"/>
        </w:rPr>
        <w:t>4.3</w:t>
      </w:r>
      <w:r>
        <w:tab/>
      </w: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62"/>
    <w:bookmarkStart w:id="64" w:name="X78cf532366139ad8e3483c48ac03aee0be1935a"/>
    <w:p>
      <w:pPr>
        <w:pStyle w:val="Heading2"/>
      </w:pPr>
      <w:r>
        <w:rPr>
          <w:rStyle w:val="SectionNumber"/>
        </w:rPr>
        <w:t>4.4</w:t>
      </w:r>
      <w:r>
        <w:tab/>
      </w: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63" w:name="the-seam-is-narrow"/>
    <w:p>
      <w:pPr>
        <w:pStyle w:val="Heading3"/>
      </w:pPr>
      <w:r>
        <w:rPr>
          <w:rStyle w:val="SectionNumber"/>
        </w:rPr>
        <w:t xml:space="preserve">4.4.1</w:t>
      </w:r>
      <w:r>
        <w:tab/>
      </w: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3"/>
    <w:bookmarkEnd w:id="64"/>
    <w:bookmarkStart w:id="68" w:name="serial-wire-protocol"/>
    <w:p>
      <w:pPr>
        <w:pStyle w:val="Heading2"/>
      </w:pPr>
      <w:r>
        <w:rPr>
          <w:rStyle w:val="SectionNumber"/>
        </w:rPr>
        <w:t>4.5</w:t>
      </w:r>
      <w:r>
        <w:tab/>
      </w: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5" w:name="framing-by-sentinel"/>
    <w:p>
      <w:pPr>
        <w:pStyle w:val="Heading3"/>
      </w:pPr>
      <w:r>
        <w:rPr>
          <w:rStyle w:val="SectionNumber"/>
        </w:rPr>
        <w:t xml:space="preserve">4.5.1</w:t>
      </w:r>
      <w:r>
        <w:tab/>
      </w: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5"/>
    <w:bookmarkStart w:id="66" w:name="error-detection"/>
    <w:p>
      <w:pPr>
        <w:pStyle w:val="Heading3"/>
      </w:pPr>
      <w:r>
        <w:rPr>
          <w:rStyle w:val="SectionNumber"/>
        </w:rPr>
        <w:t xml:space="preserve">4.5.2</w:t>
      </w:r>
      <w:r>
        <w:tab/>
      </w: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6"/>
    <w:bookmarkStart w:id="67" w:name="channel-utilisation"/>
    <w:p>
      <w:pPr>
        <w:pStyle w:val="Heading3"/>
      </w:pPr>
      <w:r>
        <w:rPr>
          <w:rStyle w:val="SectionNumber"/>
        </w:rPr>
        <w:t xml:space="preserve">4.5.3</w:t>
      </w:r>
      <w:r>
        <w:tab/>
      </w: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7"/>
    <w:bookmarkEnd w:id="68"/>
    <w:bookmarkStart w:id="69" w:name="refusal-gates"/>
    <w:p>
      <w:pPr>
        <w:pStyle w:val="Heading2"/>
      </w:pPr>
      <w:r>
        <w:rPr>
          <w:rStyle w:val="SectionNumber"/>
        </w:rPr>
        <w:t>4.6</w:t>
      </w:r>
      <w:r>
        <w:tab/>
      </w: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9"/>
    <w:bookmarkStart w:id="77" w:name="hardware-bench-rig"/>
    <w:p>
      <w:pPr>
        <w:pStyle w:val="Heading2"/>
      </w:pPr>
      <w:r>
        <w:rPr>
          <w:rStyle w:val="SectionNumber"/>
        </w:rPr>
        <w:t>4.7</w:t>
      </w:r>
      <w:r>
        <w:tab/>
      </w:r>
      <w:r>
        <w:t>HARDWARE BENCH RIG</w:t>
      </w:r>
    </w:p>
    <w:bookmarkStart w:id="70" w:name="requirement-and-design-calculations"/>
    <w:p>
      <w:pPr>
        <w:pStyle w:val="Heading3"/>
      </w:pPr>
      <w:r>
        <w:rPr>
          <w:rStyle w:val="SectionNumber"/>
        </w:rPr>
        <w:t xml:space="preserve">4.7.1</w:t>
      </w:r>
      <w:r>
        <w:tab/>
      </w: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70"/>
    <w:bookmarkStart w:id="74" w:name="as-built-rig"/>
    <w:p>
      <w:pPr>
        <w:pStyle w:val="Heading3"/>
      </w:pPr>
      <w:r>
        <w:rPr>
          <w:rStyle w:val="SectionNumber"/>
        </w:rPr>
        <w:t xml:space="preserve">4.7.2</w:t>
      </w:r>
      <w:r>
        <w:tab/>
      </w: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2" name="Picture"/>
            <a:graphic>
              <a:graphicData uri="http://schemas.openxmlformats.org/drawingml/2006/picture">
                <pic:pic>
                  <pic:nvPicPr>
                    <pic:cNvPr descr="fig/t3.png" id="73" name="Picture"/>
                    <pic:cNvPicPr>
                      <a:picLocks noChangeArrowheads="1" noChangeAspect="1"/>
                    </pic:cNvPicPr>
                  </pic:nvPicPr>
                  <pic:blipFill>
                    <a:blip r:embed="rId7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4"/>
    <w:bookmarkStart w:id="75" w:name="firmware"/>
    <w:p>
      <w:pPr>
        <w:pStyle w:val="Heading3"/>
      </w:pPr>
      <w:r>
        <w:rPr>
          <w:rStyle w:val="SectionNumber"/>
        </w:rPr>
        <w:t xml:space="preserve">4.7.3</w:t>
      </w:r>
      <w:r>
        <w:tab/>
      </w: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5"/>
    <w:bookmarkStart w:id="76" w:name="bring-up-procedure"/>
    <w:p>
      <w:pPr>
        <w:pStyle w:val="Heading3"/>
      </w:pPr>
      <w:r>
        <w:rPr>
          <w:rStyle w:val="SectionNumber"/>
        </w:rPr>
        <w:t xml:space="preserve">4.7.4</w:t>
      </w:r>
      <w:r>
        <w:tab/>
      </w: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6"/>
    <w:bookmarkEnd w:id="77"/>
    <w:bookmarkStart w:id="78" w:name="Xfd48512d5f70e04d50df1141f37bb841ce2dac8"/>
    <w:p>
      <w:pPr>
        <w:pStyle w:val="Heading2"/>
      </w:pPr>
      <w:r>
        <w:rPr>
          <w:rStyle w:val="SectionNumber"/>
        </w:rPr>
        <w:t>4.8</w:t>
      </w:r>
      <w:r>
        <w:tab/>
      </w: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has five views (Table 4.9). A Guardian explanation is rendered inside the CAN replay view and not as its own tab, because it is only meaningful next to the run it explains. Refusals are rendered as results and not as errors.</w:t>
      </w:r>
    </w:p>
    <w:p>
      <w:pPr>
        <w:pStyle w:val="TableCaption"/>
      </w:pPr>
      <w:r>
        <w:t xml:space="preserve">Table 4.9: Dashboard Views</w:t>
      </w:r>
    </w:p>
    <w:tbl>
      <w:tblPr>
        <w:tblStyle w:val="Table"/>
        <w:tblW w:type="pct" w:w="4250"/>
        <w:tblLook w:firstRow="1" w:lastRow="0" w:firstColumn="0" w:lastColumn="0" w:noHBand="0" w:noVBand="0" w:val="0020"/>
        <w:jc w:val="start"/>
        <w:tblCaption w:val="Table 4.9: Dashboard Views"/>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4752"/>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Shows</w:t>
            </w:r>
          </w:p>
        </w:tc>
      </w:tr>
      <w:tr>
        <w:tc>
          <w:tcPr/>
          <w:p>
            <w:pPr>
              <w:pStyle w:val="Compact"/>
              <w:spacing w:after="40" w:line="240" w:lineRule="auto"/>
              <w:jc w:val="left"/>
            </w:pPr>
            <w:r>
              <w:rPr>
                <w:sz w:val="20"/>
              </w:rPr>
              <w:t xml:space="preserve">Fleet</w:t>
            </w:r>
          </w:p>
        </w:tc>
        <w:tc>
          <w:tcPr/>
          <w:p>
            <w:pPr>
              <w:pStyle w:val="Compact"/>
              <w:spacing w:after="40" w:line="240" w:lineRule="auto"/>
              <w:jc w:val="left"/>
            </w:pPr>
            <w:r>
              <w:rPr>
                <w:sz w:val="20"/>
              </w:rPr>
              <w:t xml:space="preserve">Fleet table with health, risk and RUL per battery, from a simulated or loaded run</w:t>
            </w:r>
          </w:p>
        </w:tc>
      </w:tr>
      <w:tr>
        <w:tc>
          <w:tcPr/>
          <w:p>
            <w:pPr>
              <w:pStyle w:val="Compact"/>
              <w:spacing w:after="40" w:line="240" w:lineRule="auto"/>
              <w:jc w:val="left"/>
            </w:pPr>
            <w:r>
              <w:rPr>
                <w:sz w:val="20"/>
              </w:rPr>
              <w:t xml:space="preserve">CAN Replay</w:t>
            </w:r>
          </w:p>
        </w:tc>
        <w:tc>
          <w:tcPr/>
          <w:p>
            <w:pPr>
              <w:pStyle w:val="Compact"/>
              <w:spacing w:after="40" w:line="240" w:lineRule="auto"/>
              <w:jc w:val="left"/>
            </w:pPr>
            <w:r>
              <w:rPr>
                <w:sz w:val="20"/>
              </w:rPr>
              <w:t xml:space="preserve">Replay of a decoded CAN capture with coverage and the Guardian explanation</w:t>
            </w:r>
          </w:p>
        </w:tc>
      </w:tr>
      <w:tr>
        <w:tc>
          <w:tcPr/>
          <w:p>
            <w:pPr>
              <w:pStyle w:val="Compact"/>
              <w:spacing w:after="40" w:line="240" w:lineRule="auto"/>
              <w:jc w:val="left"/>
            </w:pPr>
            <w:r>
              <w:rPr>
                <w:sz w:val="20"/>
              </w:rPr>
              <w:t xml:space="preserve">Digital Twin</w:t>
            </w:r>
          </w:p>
        </w:tc>
        <w:tc>
          <w:tcPr/>
          <w:p>
            <w:pPr>
              <w:pStyle w:val="Compact"/>
              <w:spacing w:after="40" w:line="240" w:lineRule="auto"/>
              <w:jc w:val="left"/>
            </w:pPr>
            <w:r>
              <w:rPr>
                <w:sz w:val="20"/>
              </w:rPr>
              <w:t xml:space="preserve">Twin state and state transitions for a battery</w:t>
            </w:r>
          </w:p>
        </w:tc>
      </w:tr>
      <w:tr>
        <w:tc>
          <w:tcPr/>
          <w:p>
            <w:pPr>
              <w:pStyle w:val="Compact"/>
              <w:spacing w:after="40" w:line="240" w:lineRule="auto"/>
              <w:jc w:val="left"/>
            </w:pPr>
            <w:r>
              <w:rPr>
                <w:sz w:val="20"/>
              </w:rPr>
              <w:t xml:space="preserve">Thermal</w:t>
            </w:r>
          </w:p>
        </w:tc>
        <w:tc>
          <w:tcPr/>
          <w:p>
            <w:pPr>
              <w:pStyle w:val="Compact"/>
              <w:spacing w:after="40" w:line="240" w:lineRule="auto"/>
              <w:jc w:val="left"/>
            </w:pPr>
            <w:r>
              <w:rPr>
                <w:sz w:val="20"/>
              </w:rPr>
              <w:t xml:space="preserve">Pack temperature view built only from what was measured</w:t>
            </w:r>
          </w:p>
        </w:tc>
      </w:tr>
      <w:tr>
        <w:tc>
          <w:tcPr/>
          <w:p>
            <w:pPr>
              <w:pStyle w:val="Compact"/>
              <w:spacing w:after="40" w:line="240" w:lineRule="auto"/>
              <w:jc w:val="left"/>
            </w:pPr>
            <w:r>
              <w:rPr>
                <w:sz w:val="20"/>
              </w:rPr>
              <w:t xml:space="preserve">Transfer Validation</w:t>
            </w:r>
          </w:p>
        </w:tc>
        <w:tc>
          <w:tcPr/>
          <w:p>
            <w:pPr>
              <w:pStyle w:val="Compact"/>
              <w:spacing w:after="40" w:line="240" w:lineRule="auto"/>
              <w:jc w:val="left"/>
            </w:pPr>
            <w:r>
              <w:rPr>
                <w:sz w:val="20"/>
              </w:rPr>
              <w:t xml:space="preserve">Whether a model may be transferred between datasets, and why not</w:t>
            </w:r>
          </w:p>
        </w:tc>
      </w:tr>
    </w:tbl>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78"/>
    <w:bookmarkStart w:id="79" w:name="health-report-card"/>
    <w:p>
      <w:pPr>
        <w:pStyle w:val="Heading2"/>
      </w:pPr>
      <w:r>
        <w:rPr>
          <w:rStyle w:val="SectionNumber"/>
        </w:rPr>
        <w:t>4.9</w:t>
      </w:r>
      <w:r>
        <w:tab/>
      </w: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79"/>
    <w:bookmarkStart w:id="80" w:name="X4ad724ce4bc60d3d774effce658d43aa469ce9a"/>
    <w:p>
      <w:pPr>
        <w:pStyle w:val="Heading2"/>
      </w:pPr>
      <w:r>
        <w:rPr>
          <w:rStyle w:val="SectionNumber"/>
        </w:rPr>
        <w:t>4.10</w:t>
      </w:r>
      <w:r>
        <w:tab/>
      </w: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0"/>
    <w:bookmarkStart w:id="81" w:name="containerisation-and-deployment"/>
    <w:p>
      <w:pPr>
        <w:pStyle w:val="Heading2"/>
      </w:pPr>
      <w:r>
        <w:rPr>
          <w:rStyle w:val="SectionNumber"/>
        </w:rPr>
        <w:t>4.11</w:t>
      </w:r>
      <w:r>
        <w:tab/>
      </w: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1"/>
    <w:bookmarkStart w:id="82" w:name="chapter-summary"/>
    <w:p>
      <w:pPr>
        <w:pStyle w:val="Heading2"/>
      </w:pPr>
      <w:r>
        <w:rPr>
          <w:rStyle w:val="SectionNumber"/>
        </w:rPr>
        <w:t>4.12</w:t>
      </w:r>
      <w:r>
        <w:tab/>
      </w: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2"/>
    <w:bookmarkEnd w:id="83"/>
    <w:bookmarkStart w:id="109" w:name="results-and-discussion"/>
    <w:p>
      <w:pPr>
        <w:pStyle w:val="Heading1"/>
      </w:pPr>
      <w:r>
        <w:rPr>
          <w:b/>
        </w:rPr>
        <w:t>CHAPTER 5</w:t>
        <w:br/>
      </w:r>
      <w:r>
        <w:rPr>
          <w:b/>
        </w:rP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84" w:name="X6a03b46872daed9e9da28c7cca3c0a630f99c80"/>
    <w:p>
      <w:pPr>
        <w:pStyle w:val="Heading2"/>
      </w:pPr>
      <w:r>
        <w:rPr>
          <w:rStyle w:val="SectionNumber"/>
        </w:rPr>
        <w:t>5.1</w:t>
      </w:r>
      <w:r>
        <w:tab/>
      </w: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84"/>
    <w:bookmarkStart w:id="91" w:name="field-soh-from-voltage-current-and-time"/>
    <w:p>
      <w:pPr>
        <w:pStyle w:val="Heading2"/>
      </w:pPr>
      <w:r>
        <w:rPr>
          <w:rStyle w:val="SectionNumber"/>
        </w:rPr>
        <w:t>5.2</w:t>
      </w:r>
      <w:r>
        <w:tab/>
      </w: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Figure 5.1 tracks the estimate against every laboratory capacity test, and Fig. 5.2 shows every measured cell.</w:t>
      </w:r>
    </w:p>
    <w:p>
      <w:pPr>
        <w:pStyle w:val="CaptionedFigure"/>
      </w:pPr>
      <w:r>
        <w:drawing>
          <wp:inline>
            <wp:extent cx="4937760" cy="3142210"/>
            <wp:effectExtent b="0" l="0" r="0" t="0"/>
            <wp:docPr descr="" title="" id="86" name="Picture"/>
            <a:graphic>
              <a:graphicData uri="http://schemas.openxmlformats.org/drawingml/2006/picture">
                <pic:pic>
                  <pic:nvPicPr>
                    <pic:cNvPr descr="images/results_soh_tracking.png" id="87" name="Picture"/>
                    <pic:cNvPicPr>
                      <a:picLocks noChangeArrowheads="1" noChangeAspect="1"/>
                    </pic:cNvPicPr>
                  </pic:nvPicPr>
                  <pic:blipFill>
                    <a:blip r:embed="rId85"/>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5.1: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89" name="Picture"/>
            <a:graphic>
              <a:graphicData uri="http://schemas.openxmlformats.org/drawingml/2006/picture">
                <pic:pic>
                  <pic:nvPicPr>
                    <pic:cNvPr descr="images/results_soh_per_cell.png" id="90" name="Picture"/>
                    <pic:cNvPicPr>
                      <a:picLocks noChangeArrowheads="1" noChangeAspect="1"/>
                    </pic:cNvPicPr>
                  </pic:nvPicPr>
                  <pic:blipFill>
                    <a:blip r:embed="rId88"/>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5.2: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91"/>
    <w:bookmarkStart w:id="92" w:name="partial-discharges"/>
    <w:p>
      <w:pPr>
        <w:pStyle w:val="Heading2"/>
      </w:pPr>
      <w:r>
        <w:rPr>
          <w:rStyle w:val="SectionNumber"/>
        </w:rPr>
        <w:t>5.3</w:t>
      </w:r>
      <w:r>
        <w:tab/>
      </w: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92"/>
    <w:bookmarkStart w:id="93" w:name="resistance-tracks-the-instrument"/>
    <w:p>
      <w:pPr>
        <w:pStyle w:val="Heading2"/>
      </w:pPr>
      <w:r>
        <w:rPr>
          <w:rStyle w:val="SectionNumber"/>
        </w:rPr>
        <w:t>5.4</w:t>
      </w:r>
      <w:r>
        <w:tab/>
      </w: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93"/>
    <w:bookmarkStart w:id="97" w:name="remaining-useful-life"/>
    <w:p>
      <w:pPr>
        <w:pStyle w:val="Heading2"/>
      </w:pPr>
      <w:r>
        <w:rPr>
          <w:rStyle w:val="SectionNumber"/>
        </w:rPr>
        <w:t>5.5</w:t>
      </w:r>
      <w:r>
        <w:tab/>
      </w: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Figure 5.3 summarises the result.</w:t>
      </w:r>
    </w:p>
    <w:p>
      <w:pPr>
        <w:pStyle w:val="CaptionedFigure"/>
      </w:pPr>
      <w:r>
        <w:drawing>
          <wp:inline>
            <wp:extent cx="4937760" cy="2064880"/>
            <wp:effectExtent b="0" l="0" r="0" t="0"/>
            <wp:docPr descr="" title="" id="95" name="Picture"/>
            <a:graphic>
              <a:graphicData uri="http://schemas.openxmlformats.org/drawingml/2006/picture">
                <pic:pic>
                  <pic:nvPicPr>
                    <pic:cNvPr descr="images/results_rul.png" id="96" name="Picture"/>
                    <pic:cNvPicPr>
                      <a:picLocks noChangeArrowheads="1" noChangeAspect="1"/>
                    </pic:cNvPicPr>
                  </pic:nvPicPr>
                  <pic:blipFill>
                    <a:blip r:embed="rId94"/>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5.3: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(+17.6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97"/>
    <w:bookmarkStart w:id="98" w:name="rul-when-complete-discharges-are-rare"/>
    <w:p>
      <w:pPr>
        <w:pStyle w:val="Heading2"/>
      </w:pPr>
      <w:r>
        <w:rPr>
          <w:rStyle w:val="SectionNumber"/>
        </w:rPr>
        <w:t>5.6</w:t>
      </w:r>
      <w:r>
        <w:tab/>
      </w: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98"/>
    <w:bookmarkStart w:id="99" w:name="when-the-evidence-suffices"/>
    <w:p>
      <w:pPr>
        <w:pStyle w:val="Heading2"/>
      </w:pPr>
      <w:r>
        <w:rPr>
          <w:rStyle w:val="SectionNumber"/>
        </w:rPr>
        <w:t>5.7</w:t>
      </w:r>
      <w:r>
        <w:tab/>
      </w: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99"/>
    <w:bookmarkStart w:id="100" w:name="external-validation-on-a-second-dataset"/>
    <w:p>
      <w:pPr>
        <w:pStyle w:val="Heading2"/>
      </w:pPr>
      <w:r>
        <w:rPr>
          <w:rStyle w:val="SectionNumber"/>
        </w:rPr>
        <w:t>5.8</w:t>
      </w:r>
      <w:r>
        <w:tab/>
      </w: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79% of the time (24 estimates, 5 cells).</w:t>
      </w:r>
    </w:p>
    <w:bookmarkEnd w:id="100"/>
    <w:bookmarkStart w:id="101" w:name="Xd3eceaa1d102af3c39ecdd10656f2d2a5d3468b"/>
    <w:p>
      <w:pPr>
        <w:pStyle w:val="Heading2"/>
      </w:pPr>
      <w:r>
        <w:rPr>
          <w:rStyle w:val="SectionNumber"/>
        </w:rPr>
        <w:t>5.9</w:t>
      </w:r>
      <w:r>
        <w:tab/>
      </w:r>
      <w:r>
        <w:t>A THIRD DATASET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01"/>
    <w:bookmarkStart w:id="105" w:name="system-and-hardware-results"/>
    <w:p>
      <w:pPr>
        <w:pStyle w:val="Heading2"/>
      </w:pPr>
      <w:r>
        <w:rPr>
          <w:rStyle w:val="SectionNumber"/>
        </w:rPr>
        <w:t>5.10</w:t>
      </w:r>
      <w:r>
        <w:tab/>
      </w:r>
      <w:r>
        <w:t>SYSTEM AND HARDWARE RESULTS</w:t>
      </w:r>
    </w:p>
    <w:bookmarkStart w:id="102" w:name="bench-rig-captures"/>
    <w:p>
      <w:pPr>
        <w:pStyle w:val="Heading3"/>
      </w:pPr>
      <w:r>
        <w:rPr>
          <w:rStyle w:val="SectionNumber"/>
        </w:rPr>
        <w:t xml:space="preserve">5.10.1</w:t>
      </w:r>
      <w:r>
        <w:tab/>
      </w: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bookmarkEnd w:id="102"/>
    <w:bookmarkStart w:id="103" w:name="fault-injection"/>
    <w:p>
      <w:pPr>
        <w:pStyle w:val="Heading3"/>
      </w:pPr>
      <w:r>
        <w:rPr>
          <w:rStyle w:val="SectionNumber"/>
        </w:rPr>
        <w:t xml:space="preserve">5.10.2</w:t>
      </w:r>
      <w:r>
        <w:tab/>
      </w: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03"/>
    <w:bookmarkStart w:id="104" w:name="Xa02a71f04cbfbaee63c846a057c53165dabfc4c"/>
    <w:p>
      <w:pPr>
        <w:pStyle w:val="Heading3"/>
      </w:pPr>
      <w:r>
        <w:rPr>
          <w:rStyle w:val="SectionNumber"/>
        </w:rPr>
        <w:t xml:space="preserve">5.10.3</w:t>
      </w:r>
      <w:r>
        <w:tab/>
      </w: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04"/>
    <w:bookmarkEnd w:id="105"/>
    <w:bookmarkStart w:id="106" w:name="a-worked-example-the-report-card"/>
    <w:p>
      <w:pPr>
        <w:pStyle w:val="Heading2"/>
      </w:pPr>
      <w:r>
        <w:rPr>
          <w:rStyle w:val="SectionNumber"/>
        </w:rPr>
        <w:t>5.11</w:t>
      </w:r>
      <w:r>
        <w:tab/>
      </w:r>
      <w:r>
        <w:t>A WORKED EXAMPLE: THE REPORT CARD</w:t>
      </w:r>
    </w:p>
    <w:p>
      <w:pPr>
        <w:pStyle w:val="FirstParagraph"/>
      </w:pPr>
      <w:r>
        <w:t xml:space="preserve">Figure 5.4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5.4: Abridged health report card for CS2_35 at cycle 90, with the laboratory check.</w:t>
      </w:r>
    </w:p>
    <w:p>
      <w:pPr>
        <w:pStyle w:val="BodyText"/>
      </w:pPr>
      <w:r>
        <w:t xml:space="preserve">The health figure is within a third of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06"/>
    <w:bookmarkStart w:id="107" w:name="discussion"/>
    <w:p>
      <w:pPr>
        <w:pStyle w:val="Heading2"/>
      </w:pPr>
      <w:r>
        <w:rPr>
          <w:rStyle w:val="SectionNumber"/>
        </w:rPr>
        <w:t>5.12</w:t>
      </w:r>
      <w:r>
        <w:tab/>
      </w:r>
      <w:r>
        <w:t>DISCUSSION</w:t>
      </w:r>
    </w:p>
    <w:p>
      <w:pPr>
        <w:pStyle w:val="FirstParagraph"/>
      </w:pPr>
      <w:r>
        <w:rPr>
          <w:bCs/>
          <w:b/>
        </w:rPr>
        <w:t xml:space="preserve">Conditioning moved accuracy; model choice did not.</w:t>
      </w:r>
      <w:r>
        <w:t xml:space="preserve"> </w:t>
      </w:r>
      <w:r>
        <w:t xml:space="preserve">Across fourteen fitted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at discharge 805 produced a 58%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07"/>
    <w:bookmarkStart w:id="108" w:name="validation-summary"/>
    <w:p>
      <w:pPr>
        <w:pStyle w:val="Heading2"/>
      </w:pPr>
      <w:r>
        <w:rPr>
          <w:rStyle w:val="SectionNumber"/>
        </w:rPr>
        <w:t>5.13</w:t>
      </w:r>
      <w:r>
        <w:tab/>
      </w: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08"/>
    <w:bookmarkEnd w:id="109"/>
    <w:bookmarkStart w:id="112" w:name="conclusion-and-future-work"/>
    <w:p>
      <w:pPr>
        <w:pStyle w:val="Heading1"/>
      </w:pPr>
      <w:r>
        <w:rPr>
          <w:b/>
        </w:rPr>
        <w:t>CHAPTER 6</w:t>
        <w:br/>
      </w:r>
      <w:r>
        <w:rPr>
          <w:b/>
        </w:rP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10" w:name="limitations"/>
    <w:p>
      <w:pPr>
        <w:pStyle w:val="Heading2"/>
      </w:pPr>
      <w:r>
        <w:rPr>
          <w:rStyle w:val="SectionNumber"/>
        </w:rPr>
        <w:t>6.1</w:t>
      </w:r>
      <w:r>
        <w:tab/>
      </w: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10"/>
    <w:bookmarkStart w:id="111" w:name="future-work"/>
    <w:p>
      <w:pPr>
        <w:pStyle w:val="Heading2"/>
      </w:pPr>
      <w:r>
        <w:rPr>
          <w:rStyle w:val="SectionNumber"/>
        </w:rPr>
        <w:t>6.2</w:t>
      </w:r>
      <w:r>
        <w:tab/>
      </w:r>
      <w:r>
        <w:t>FUTURE WORK</w:t>
      </w:r>
    </w:p>
    <w:p>
      <w:pPr>
        <w:pStyle w:val="FirstParagraph"/>
      </w:pPr>
      <w:r>
        <w:t xml:space="preserve">In order of dependency:</w:t>
      </w:r>
    </w:p>
    <w:p>
      <w:pPr>
        <w:numPr>
          <w:ilvl w:val="0"/>
          <w:numId w:val="1015"/>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5"/>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5"/>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5"/>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5"/>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5"/>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11"/>
    <w:bookmarkEnd w:id="112"/>
    <w:bookmarkStart w:id="113"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1: Artifacts and Scripts Behind Each Results Section</w:t>
      </w:r>
    </w:p>
    <w:tbl>
      <w:tblPr>
        <w:tblStyle w:val="Table"/>
        <w:tblW w:type="pct" w:w="4400"/>
        <w:tblLook w:firstRow="1" w:lastRow="0" w:firstColumn="0" w:lastColumn="0" w:noHBand="0" w:noVBand="0" w:val="0020"/>
        <w:jc w:val="start"/>
        <w:tblCaption w:val="Table 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 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5.1, 5.2, 5.3</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13"/>
    <w:bookmarkStart w:id="115"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14">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15"/>
    <w:bookmarkStart w:id="11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1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6" Type="http://schemas.openxmlformats.org/officeDocument/2006/relationships/image" Target="media/rId46.png"/><Relationship Id="rId71" Type="http://schemas.openxmlformats.org/officeDocument/2006/relationships/image" Target="media/rId71.png"/><Relationship Id="rId94" Type="http://schemas.openxmlformats.org/officeDocument/2006/relationships/image" Target="media/rId94.png"/><Relationship Id="rId88" Type="http://schemas.openxmlformats.org/officeDocument/2006/relationships/image" Target="media/rId88.png"/><Relationship Id="rId85" Type="http://schemas.openxmlformats.org/officeDocument/2006/relationships/image" Target="media/rId85.png"/><Relationship Id="rId114"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2026-10-08T03:51:30Z</dcterms:created>
  <dcterms:modified xsi:type="dcterms:W3CDTF">2026-10-08T03:51:30Z</dcterms:modified>
</cp:coreProperties>
</file>

<file path=docProps/custom.xml><?xml version="1.0" encoding="utf-8"?>
<Properties xmlns="http://schemas.openxmlformats.org/officeDocument/2006/custom-properties" xmlns:vt="http://schemas.openxmlformats.org/officeDocument/2006/docPropsVTypes"/>
</file>