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TELEMETRY-BASED SOFTWARE FRAMEWORK FOR STATE-OF-HEALTH AND REMAINING-USEFUL-LIFE ESTIMATION OF ELECTRIC-VEHICLE BATTERIES</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TELEMETRY-BASED SOFTWARE FRAMEWORK FOR STATE-OF-HEALTH AND REMAINING-USEFUL-LIFE ESTIMATION OF ELECTRIC-VEHICLE BATTERIES”</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TELEMETRY-BASED SOFTWARE FRAMEWORK FOR STATE-OF-HEALTH AND REMAINING-USEFUL-LIFE ESTIMATION OF ELECTRIC-VEHICLE BATTERIES”</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eleven of twelve methods (all but a mean-only baseline)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eleven of twelve methods lost skill, and the twelfth, a mean-only baseline, could not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 The RUL estimator of this project uses a default threshold of 90%, because the CALCE trajectories rarely reach 80% within the recorded life, and reports the 80% case separately where the data allow it.</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in-brief"/>
    <w:p>
      <w:pPr>
        <w:pStyle w:val="Heading2"/>
      </w:pPr>
      <w:r>
        <w:t>PROPOSED APPROACH IN BRIEF</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9e9831f21f9c5525e7acb34f922108bfd4d6755"/>
    <w:p>
      <w:pPr>
        <w:pStyle w:val="Heading2"/>
      </w:pP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used"/>
    <w:p>
      <w:pPr>
        <w:pStyle w:val="Heading2"/>
      </w:pPr>
      <w:r>
        <w:t>PUBLIC DATASETS USED</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011e95ed21bbcdac3cbe7e6ae007553a5206cb"/>
    <w:p>
      <w:pPr>
        <w:pStyle w:val="Heading2"/>
      </w:pP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bench-rigs"/>
    <w:p>
      <w:pPr>
        <w:pStyle w:val="Heading3"/>
      </w:pPr>
      <w:r>
        <w:t xml:space="preserve">Serial Bench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honest-reporting"/>
    <w:p>
      <w:pPr>
        <w:pStyle w:val="Heading2"/>
      </w:pPr>
      <w:r>
        <w:t>EXPLAINABILITY AND HONEST REPORTING</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leakage"/>
    <w:p>
      <w:pPr>
        <w:pStyle w:val="Heading2"/>
      </w:pPr>
      <w:r>
        <w:t>VALIDATION PRACTICE AND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What Each One Tests</w:t>
      </w:r>
    </w:p>
    <w:tbl>
      <w:tblPr>
        <w:tblStyle w:val="Table"/>
        <w:tblW w:type="pct" w:w="4200"/>
        <w:tblLook w:firstRow="1" w:lastRow="0" w:firstColumn="0" w:lastColumn="0" w:noHBand="0" w:noVBand="0" w:val="0020"/>
        <w:jc w:val="start"/>
        <w:tblCaption w:val="Table 2.2: Validation Splits and What Each One Test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positioning-of-this-work"/>
    <w:p>
      <w:pPr>
        <w:pStyle w:val="Heading2"/>
      </w:pPr>
      <w:r>
        <w:t>POSITIONING OF THIS WORK</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Approach Families and the Properties That Matter for a Deployed Layer</w:t>
      </w:r>
    </w:p>
    <w:tbl>
      <w:tblPr>
        <w:tblStyle w:val="Table"/>
        <w:tblW w:type="pct" w:w="4000"/>
        <w:tblLook w:firstRow="1" w:lastRow="0" w:firstColumn="0" w:lastColumn="0" w:noHBand="0" w:noVBand="0" w:val="0020"/>
        <w:jc w:val="start"/>
        <w:tblCaption w:val="Table 2.3: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X3d8b69131e03b137685df6cbfaaf9042b5ef7af"/>
    <w:p>
      <w:pPr>
        <w:pStyle w:val="Heading2"/>
      </w:pPr>
      <w:r>
        <w:t>IDENTIFIED GAPS AND HOW THEY ARE ADDRESSED</w:t>
      </w:r>
    </w:p>
    <w:p>
      <w:pPr>
        <w:pStyle w:val="FirstParagraph"/>
      </w:pPr>
      <w:r>
        <w:t xml:space="preserve">Table 2.4 lists the gaps that the review leaves open and the parts of this report that address them.</w:t>
      </w:r>
    </w:p>
    <w:p>
      <w:pPr>
        <w:pStyle w:val="TableCaption"/>
      </w:pPr>
      <w:r>
        <w:t xml:space="preserve">Table 2.4: Gaps in the Literature and Where They Are Addressed</w:t>
      </w:r>
    </w:p>
    <w:tbl>
      <w:tblPr>
        <w:tblStyle w:val="Table"/>
        <w:tblW w:type="pct" w:w="3800"/>
        <w:tblLook w:firstRow="1" w:lastRow="0" w:firstColumn="0" w:lastColumn="0" w:noHBand="0" w:noVBand="0" w:val="0020"/>
        <w:jc w:val="start"/>
        <w:tblCaption w:val="Table 2.4: Gaps in the Literature and Where They Are Addressed"/>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single-shared-scoring-path"/>
    <w:p>
      <w:pPr>
        <w:pStyle w:val="Heading3"/>
      </w:pPr>
      <w:r>
        <w:t xml:space="preserve">Single Shared Scoring Path</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in the two real captures (83 and 85 records)</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The validator reports each failure with its reason. For the CAN and serial paths, the stop for a missing channel is a separate signal-coverage check, which compares the channels a source provides with the channels the estimators need and refuses the run by name, as when a CAN message carries current and state of charge but no voltage or temperature. The serial frames do not carry a dataset name, so the required-column rule applies to the dataset loaders and not to the live telemetry paths.</w:t>
      </w:r>
    </w:p>
    <w:bookmarkEnd w:id="64"/>
    <w:bookmarkEnd w:id="65"/>
    <w:bookmarkStart w:id="66" w:name="data-flow-and-processing-sequence"/>
    <w:p>
      <w:pPr>
        <w:pStyle w:val="Heading2"/>
      </w:pPr>
      <w:r>
        <w:t>DATA FLOW AND PROCESSING SEQUENCE</w:t>
      </w:r>
    </w:p>
    <w:p>
      <w:pPr>
        <w:pStyle w:val="FirstParagraph"/>
      </w:pPr>
      <w:r>
        <w:t xml:space="preserve">Every source follows the same eight steps in the same order. The CAN and serial paths run them through the single function</w:t>
      </w:r>
      <w:r>
        <w:t xml:space="preserve"> </w:t>
      </w:r>
      <w:r>
        <w:rPr>
          <w:rStyle w:val="VerbatimChar"/>
        </w:rPr>
        <w:t xml:space="preserve">score_telemetry_frame</w:t>
      </w:r>
      <w:r>
        <w:t xml:space="preserve">, and the dataset studies run the same estimators through the study scripts and the batch pipeline.</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from-telemetry-to-discharges"/>
    <w:p>
      <w:pPr>
        <w:pStyle w:val="Heading2"/>
      </w:pP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in the CALCE studies, where rest is logged as exactly zero, and 0.5 A as the default of the live telemetry path)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tate-of-health"/>
    <w:p>
      <w:pPr>
        <w:pStyle w:val="Heading2"/>
      </w:pP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67f8cf879d277e0ff2db2a9f13519561af31b7f"/>
    <w:p>
      <w:pPr>
        <w:pStyle w:val="Heading2"/>
      </w:pP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its starting value is about 0.141 </w:t>
      </w:r>
      <m:oMath>
        <m:r>
          <m:t>Ω</m:t>
        </m:r>
      </m:oMath>
      <w:r>
        <w:t xml:space="preserve"> </w:t>
      </w:r>
      <w:r>
        <w:t xml:space="preserve">against the cycler’s about 0.089 </w:t>
      </w:r>
      <m:oMath>
        <m:r>
          <m:t>Ω</m:t>
        </m:r>
      </m:oMath>
      <w:r>
        <w:t xml:space="preserve"> </w:t>
      </w:r>
      <w:r>
        <w:t xml:space="preserve">(reports/metrics/calce_resistance).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refusal-gates-and-data-quality-checks"/>
    <w:p>
      <w:pPr>
        <w:pStyle w:val="Heading2"/>
      </w:pPr>
      <w:r>
        <w:t>REFUSAL GATES AND DATA-QUALITY CHECKS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
    <w:p>
      <w:pPr>
        <w:pStyle w:val="Heading2"/>
      </w:pP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behaviour-scoring-layer-heuristic"/>
    <w:p>
      <w:pPr>
        <w:pStyle w:val="Heading2"/>
      </w:pP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from the earlier health-index ranking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s"/>
    <w:p>
      <w:pPr>
        <w:pStyle w:val="Heading2"/>
      </w:pPr>
      <w:r>
        <w:t>DESIGN DECISIONS</w:t>
      </w:r>
    </w:p>
    <w:p>
      <w:pPr>
        <w:pStyle w:val="FirstParagraph"/>
      </w:pPr>
      <w:r>
        <w:t xml:space="preserve">Fourteen architecture decision records document the choices made during the project, with the context, the decision and its status; the table gives a short title for each.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 and refutes the claim that learned models add enormously</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if truncated / implausible / reference too short:  refuse n</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if enough complete discharges (30):</w:t>
      </w:r>
      <w:r>
        <w:br/>
      </w:r>
      <w:r>
        <w:rPr>
          <w:rStyle w:val="VerbatimChar"/>
        </w:rPr>
        <w:t xml:space="preserve">        RUL &lt;- cycles until fade of complete-discharge capacity</w:t>
      </w:r>
      <w:r>
        <w:br/>
      </w:r>
      <w:r>
        <w:rPr>
          <w:rStyle w:val="VerbatimChar"/>
        </w:rPr>
        <w:t xml:space="preserve">               crosses the EOL threshold (90 % default)</w:t>
      </w:r>
      <w:r>
        <w:br/>
      </w:r>
      <w:r>
        <w:rPr>
          <w:rStyle w:val="VerbatimChar"/>
        </w:rPr>
        <w:t xml:space="preserve">    else:  refuse RUL</w:t>
      </w:r>
      <w:r>
        <w:br/>
      </w:r>
      <w:r>
        <w:rPr>
          <w:rStyle w:val="VerbatimChar"/>
        </w:rPr>
        <w:t xml:space="preserve">    if evidence inconsistent:  confidence &lt;- low</w:t>
      </w:r>
      <w:r>
        <w:br/>
      </w:r>
      <w:r>
        <w:rPr>
          <w:rStyle w:val="VerbatimChar"/>
        </w:rPr>
        <w:t xml:space="preserve">    return SOH, R, RUL, confidence, band, refusals</w:t>
      </w:r>
    </w:p>
    <w:p>
      <w:pPr>
        <w:pStyle w:val="FirstParagraph"/>
      </w:pPr>
      <w:r>
        <w:t xml:space="preserve">Remaining life is taken from the capacity of complete discharges only: extrapolating the windowed health of partial discharges was tested and is not accurate enough to report (Chapter 5). 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threshold of mode inference</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Schema-level operating mode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Default end-of-life threshold</w:t>
            </w:r>
          </w:p>
        </w:tc>
        <w:tc>
          <w:tcPr/>
          <w:p>
            <w:pPr>
              <w:pStyle w:val="Compact"/>
              <w:spacing w:after="40" w:line="240" w:lineRule="auto"/>
              <w:jc w:val="left"/>
            </w:pPr>
            <w:r>
              <w:rPr>
                <w:sz w:val="20"/>
              </w:rPr>
              <w:t xml:space="preserve">90%</w:t>
            </w:r>
          </w:p>
        </w:tc>
        <w:tc>
          <w:tcPr/>
          <w:p>
            <w:pPr>
              <w:pStyle w:val="Compact"/>
              <w:spacing w:after="40" w:line="240" w:lineRule="auto"/>
              <w:jc w:val="left"/>
            </w:pPr>
            <w:r>
              <w:rPr>
                <w:sz w:val="20"/>
              </w:rPr>
              <w:t xml:space="preserve">RUL target (80% is the convention but is seldom reached on CALCE)</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and DBC examples; the unified schema is in</w:t>
            </w:r>
            <w:r>
              <w:rPr>
                <w:sz w:val="20"/>
              </w:rPr>
              <w:t xml:space="preserve"> </w:t>
            </w:r>
            <w:r>
              <w:rPr>
                <w:rStyle w:val="VerbatimChar"/>
                <w:sz w:val="20"/>
              </w:rPr>
              <w:t xml:space="preserve">preprocessing</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and health index (heuristic layer); measured field SOH, voltage-window, evidence and error-band estimators</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 and the earlier heuristic estimate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is implemented as a separate source built on the</w:t>
      </w:r>
      <w:r>
        <w:t xml:space="preserve"> </w:t>
      </w:r>
      <w:r>
        <w:rPr>
          <w:rStyle w:val="VerbatimChar"/>
        </w:rPr>
        <w:t xml:space="preserve">python-can</w:t>
      </w:r>
      <w:r>
        <w:t xml:space="preserve"> </w:t>
      </w:r>
      <w:r>
        <w:t xml:space="preserve">library, layered under the decoder and exposed through a live-capture route, but it has not been exercised on a physical vehicle.</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refusal-gates"/>
    <w:p>
      <w:pPr>
        <w:pStyle w:val="Heading2"/>
      </w:pP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is flagged as a likely cause; the run is refused because no complete discharge is found, although the stream looks perfect.</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as-built-rig"/>
    <w:p>
      <w:pPr>
        <w:pStyle w:val="Heading3"/>
      </w:pP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the continuous-integration build is the stub configuration without the sensor libraries,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bench-rig panel, a digital-twin sheet, and a banner stating where the run’s data came from. An earlier version had separate tabs for fleet, CAN replay, thermal and transfer views. They were removed because two parallel dashboards meant two provenance banners that could disagree about the same run. The twin sheet is present but displays</w:t>
      </w:r>
      <w:r>
        <w:t xml:space="preserve"> </w:t>
      </w:r>
      <w:r>
        <w:t xml:space="preserve">“</w:t>
      </w:r>
      <w:r>
        <w:t xml:space="preserve">not available</w:t>
      </w:r>
      <w:r>
        <w:t xml:space="preserve">”</w:t>
      </w:r>
      <w:r>
        <w:t xml:space="preserve"> </w:t>
      </w:r>
      <w:r>
        <w:t xml:space="preserve">for the observed and predicted state, because the twin module does not yet emit its state into the dashboard payload, and no substitute trajectory is drawn.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principal routes of the Python service. Further routes cover live CAN capture, serial emulation, live serial capture, latest and live state, thermal and twin views, transfer feasibility and the dataset listing.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Principal Routes of the Python Service</w:t>
      </w:r>
    </w:p>
    <w:tbl>
      <w:tblPr>
        <w:tblStyle w:val="Table"/>
        <w:tblW w:type="pct" w:w="4000"/>
        <w:tblLook w:firstRow="1" w:lastRow="0" w:firstColumn="0" w:lastColumn="0" w:noHBand="0" w:noVBand="0" w:val="0020"/>
        <w:jc w:val="start"/>
        <w:tblCaption w:val="Table 4.9: Principal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what-is-deliberately-not-defended"/>
    <w:p>
      <w:pPr>
        <w:pStyle w:val="Heading3"/>
      </w:pPr>
      <w:r>
        <w:t xml:space="preserve">What Is Deliberately Not Defended</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with one surface, rendered from the pipeline output. Table 4.11 lists its views. (The repository also keeps earlier per-panel components that the current surface no longer uses.) The panels that display a measured result carry the provenance of the value, so a reader can tell whether a figure comes from a vehicle, a rig, a dataset or a simulation.</w:t>
      </w:r>
    </w:p>
    <w:p>
      <w:pPr>
        <w:pStyle w:val="TableCaption"/>
      </w:pPr>
      <w:r>
        <w:t xml:space="preserve">Table 4.11: Views of the Dashboard</w:t>
      </w:r>
    </w:p>
    <w:tbl>
      <w:tblPr>
        <w:tblStyle w:val="Table"/>
        <w:tblW w:type="pct" w:w="3700"/>
        <w:tblLook w:firstRow="1" w:lastRow="0" w:firstColumn="0" w:lastColumn="0" w:noHBand="0" w:noVBand="0" w:val="0020"/>
        <w:jc w:val="start"/>
        <w:tblCaption w:val="Table 4.11: View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Fleet risk distribution</w:t>
            </w:r>
          </w:p>
        </w:tc>
        <w:tc>
          <w:tcPr/>
          <w:p>
            <w:pPr>
              <w:pStyle w:val="Compact"/>
              <w:spacing w:after="40" w:line="240" w:lineRule="auto"/>
              <w:jc w:val="left"/>
            </w:pPr>
            <w:r>
              <w:rPr>
                <w:sz w:val="20"/>
              </w:rPr>
              <w:t xml:space="preserve">Risk category of every battery</w:t>
            </w:r>
          </w:p>
        </w:tc>
      </w:tr>
      <w:tr>
        <w:tc>
          <w:tcPr/>
          <w:p>
            <w:pPr>
              <w:pStyle w:val="Compact"/>
              <w:spacing w:after="40" w:line="240" w:lineRule="auto"/>
              <w:jc w:val="left"/>
            </w:pPr>
            <w:r>
              <w:rPr>
                <w:sz w:val="20"/>
              </w:rPr>
              <w:t xml:space="preserve">Behaviour flag incidence</w:t>
            </w:r>
          </w:p>
        </w:tc>
        <w:tc>
          <w:tcPr/>
          <w:p>
            <w:pPr>
              <w:pStyle w:val="Compact"/>
              <w:spacing w:after="40" w:line="240" w:lineRule="auto"/>
              <w:jc w:val="left"/>
            </w:pPr>
            <w:r>
              <w:rPr>
                <w:sz w:val="20"/>
              </w:rPr>
              <w:t xml:space="preserve">How often each flagged behaviour occurs</w:t>
            </w:r>
          </w:p>
        </w:tc>
      </w:tr>
      <w:tr>
        <w:tc>
          <w:tcPr/>
          <w:p>
            <w:pPr>
              <w:pStyle w:val="Compact"/>
              <w:spacing w:after="40" w:line="240" w:lineRule="auto"/>
              <w:jc w:val="left"/>
            </w:pPr>
            <w:r>
              <w:rPr>
                <w:sz w:val="20"/>
              </w:rPr>
              <w:t xml:space="preserve">Battery health</w:t>
            </w:r>
          </w:p>
        </w:tc>
        <w:tc>
          <w:tcPr/>
          <w:p>
            <w:pPr>
              <w:pStyle w:val="Compact"/>
              <w:spacing w:after="40" w:line="240" w:lineRule="auto"/>
              <w:jc w:val="left"/>
            </w:pPr>
            <w:r>
              <w:rPr>
                <w:sz w:val="20"/>
              </w:rPr>
              <w:t xml:space="preserve">Stress score over cycles, risk and health-index attribution</w:t>
            </w:r>
          </w:p>
        </w:tc>
      </w:tr>
      <w:tr>
        <w:tc>
          <w:tcPr/>
          <w:p>
            <w:pPr>
              <w:pStyle w:val="Compact"/>
              <w:spacing w:after="40" w:line="240" w:lineRule="auto"/>
              <w:jc w:val="left"/>
            </w:pPr>
            <w:r>
              <w:rPr>
                <w:sz w:val="20"/>
              </w:rPr>
              <w:t xml:space="preserve">Aggregate parameters</w:t>
            </w:r>
          </w:p>
        </w:tc>
        <w:tc>
          <w:tcPr/>
          <w:p>
            <w:pPr>
              <w:pStyle w:val="Compact"/>
              <w:spacing w:after="40" w:line="240" w:lineRule="auto"/>
              <w:jc w:val="left"/>
            </w:pPr>
            <w:r>
              <w:rPr>
                <w:sz w:val="20"/>
              </w:rPr>
              <w:t xml:space="preserve">Usage parameters of the selected battery</w:t>
            </w:r>
          </w:p>
        </w:tc>
      </w:tr>
      <w:tr>
        <w:tc>
          <w:tcPr/>
          <w:p>
            <w:pPr>
              <w:pStyle w:val="Compact"/>
              <w:spacing w:after="40" w:line="240" w:lineRule="auto"/>
              <w:jc w:val="left"/>
            </w:pPr>
            <w:r>
              <w:rPr>
                <w:sz w:val="20"/>
              </w:rPr>
              <w:t xml:space="preserve">Guardian explanation</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Bench rig panel</w:t>
            </w:r>
          </w:p>
        </w:tc>
        <w:tc>
          <w:tcPr/>
          <w:p>
            <w:pPr>
              <w:pStyle w:val="Compact"/>
              <w:spacing w:after="40" w:line="240" w:lineRule="auto"/>
              <w:jc w:val="left"/>
            </w:pPr>
            <w:r>
              <w:rPr>
                <w:sz w:val="20"/>
              </w:rPr>
              <w:t xml:space="preserve">Measured readings, with refusals shown where a channel is missing</w:t>
            </w:r>
          </w:p>
        </w:tc>
      </w:tr>
      <w:tr>
        <w:tc>
          <w:tcPr/>
          <w:p>
            <w:pPr>
              <w:pStyle w:val="Compact"/>
              <w:spacing w:after="40" w:line="240" w:lineRule="auto"/>
              <w:jc w:val="left"/>
            </w:pPr>
            <w:r>
              <w:rPr>
                <w:sz w:val="20"/>
              </w:rPr>
              <w:t xml:space="preserve">Twin sheet</w:t>
            </w:r>
          </w:p>
        </w:tc>
        <w:tc>
          <w:tcPr/>
          <w:p>
            <w:pPr>
              <w:pStyle w:val="Compact"/>
              <w:spacing w:after="40" w:line="240" w:lineRule="auto"/>
              <w:jc w:val="left"/>
            </w:pPr>
            <w:r>
              <w:rPr>
                <w:sz w:val="20"/>
              </w:rPr>
              <w:t xml:space="preserve">Observed and predicted state; shows not available until the twin is wired in</w:t>
            </w:r>
          </w:p>
        </w:tc>
      </w:tr>
      <w:tr>
        <w:tc>
          <w:tcPr/>
          <w:p>
            <w:pPr>
              <w:pStyle w:val="Compact"/>
              <w:spacing w:after="40" w:line="240" w:lineRule="auto"/>
              <w:jc w:val="left"/>
            </w:pPr>
            <w:r>
              <w:rPr>
                <w:sz w:val="20"/>
              </w:rPr>
              <w:t xml:space="preserve">Provenance banner</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What They Check</w:t>
      </w:r>
    </w:p>
    <w:tbl>
      <w:tblPr>
        <w:tblStyle w:val="Table"/>
        <w:tblW w:type="pct" w:w="4200"/>
        <w:tblLook w:firstRow="1" w:lastRow="0" w:firstColumn="0" w:lastColumn="0" w:noHBand="0" w:noVBand="0" w:val="0020"/>
        <w:jc w:val="start"/>
        <w:tblCaption w:val="Table 4.12: Selected Test Modules and What They Check"/>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Absolute sensitive paths, parent-directory traversal and empty paths are rejected before any existence check; the environment-variable override is covered</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eleven of the twelve methods lost skill, and the twelfth, a train-mean baseline, cannot lose it by construction,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in the two cohorts where it was significant),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on the 33 cells of the earlier health-index ranking),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SOH figure and an 88% RUL figure had been scored against a reference capacity taken from each cell’s whole life, which uses the future and which no BMS can hold.</w:t>
      </w:r>
    </w:p>
    <w:bookmarkEnd w:id="137"/>
    <w:bookmarkStart w:id="138" w:name="partial-discharges"/>
    <w:p>
      <w:pPr>
        <w:pStyle w:val="Heading2"/>
      </w:pP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1"/>
    <w:p>
      <w:pPr>
        <w:pStyle w:val="Heading2"/>
      </w:pP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(on the partial-cycling cell CS2_24 they are rare).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external-validation-on-a-second-dataset"/>
    <w:p>
      <w:pPr>
        <w:pStyle w:val="Heading2"/>
      </w:pP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2f5777ec1cd3c9e2bdc40f140bc70c360603f05"/>
    <w:p>
      <w:pPr>
        <w:pStyle w:val="Heading2"/>
      </w:pPr>
      <w:r>
        <w:t>VALIDATION ON A THIRD DATASET AND REFUSAL BEHAVIOUR</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discussed here (Table 5.9); the repository holds further bring-up files, including one garbled capture from the baud-rate fault and one longer synthetic run.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Xa02a71f04cbfbaee63c846a057c53165dabfc4c"/>
    <w:p>
      <w:pPr>
        <w:pStyle w:val="Heading3"/>
      </w:pP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Xd3f8ad7df265cef58eca5272d7d9dc9db31ce47"/>
    <w:p>
      <w:pPr>
        <w:pStyle w:val="Heading2"/>
      </w:pPr>
      <w:r>
        <w:t>ILLUSTRATIVE EXAMPLE: THE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Validate on the Unit of Deployment.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Prefer Measurement to Fitting Where Measurement Is Possible.</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Make Refusal a Normal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Keep One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the 33 cells of the earlier health-index ranking of the project, a slightly larger set than the 31-cell benchmark)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search of the source files for keys, secrets and language-model clients found none, apart from a benign file name in a test. Continuous integration runs with no key, no hardware and no external service beyond the package registries, so the checks run the same way on every commit.</w:t>
      </w:r>
    </w:p>
    <w:bookmarkEnd w:id="164"/>
    <w:bookmarkEnd w:id="165"/>
    <w:bookmarkStart w:id="171"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Eleven of twelve methods, all but a mean-only baseline,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The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69"/>
    <w:bookmarkStart w:id="170"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0"/>
    <w:bookmarkEnd w:id="171"/>
    <w:bookmarkStart w:id="172"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2"/>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2026-10-08T10:17:19Z</dcterms:created>
  <dcterms:modified xsi:type="dcterms:W3CDTF">2026-10-08T10:17:19Z</dcterms:modified>
</cp:coreProperties>
</file>

<file path=docProps/custom.xml><?xml version="1.0" encoding="utf-8"?>
<Properties xmlns="http://schemas.openxmlformats.org/officeDocument/2006/custom-properties" xmlns:vt="http://schemas.openxmlformats.org/officeDocument/2006/docPropsVTypes"/>
</file>