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0" w:before="0" w:line="276" w:lineRule="auto"/>
        <w:ind w:firstLine="0"/>
        <w:jc w:val="center"/>
      </w:pPr>
      <w:r>
        <w:rPr>
          <w:rFonts w:ascii="Times New Roman" w:hAnsi="Times New Roman"/>
          <w:b/>
          <w:i w:val="0"/>
          <w:sz w:val="24"/>
        </w:rPr>
        <w:t>DR. M GAYATHRI</w:t>
      </w:r>
    </w:p>
    <w:p>
      <w:pPr>
        <w:spacing w:after="160" w:before="0" w:line="276" w:lineRule="auto"/>
        <w:ind w:firstLine="0"/>
        <w:jc w:val="center"/>
      </w:pPr>
      <w:r>
        <w:rPr>
          <w:rFonts w:ascii="Times New Roman" w:hAnsi="Times New Roman"/>
          <w:b w:val="0"/>
          <w:i w:val="0"/>
          <w:sz w:val="24"/>
        </w:rPr>
        <w:t>Assistant Professor</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154" name="Picture 154"/>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155" name="Picture 155"/>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Assistant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c>
          <w:tcPr>
            <w:tcW w:type="dxa" w:w="4153"/>
          </w:tcPr>
          <w:p>
            <w:pPr>
              <w:spacing w:after="40" w:line="240" w:lineRule="auto"/>
            </w:pPr>
            <w:r/>
            <w:r>
              <w:rPr>
                <w:b/>
                <w:sz w:val="22"/>
              </w:rPr>
              <w:t>EXTERNAL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eleven of twelve methods (all but a mean-only baseline)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32" w:name="introduction"/>
    <w:p>
      <w:pPr>
        <w:pStyle w:val="Heading1"/>
      </w:pPr>
      <w:r>
        <w:t>INTRODUCTION</w:t>
      </w:r>
    </w:p>
    <w:bookmarkStart w:id="20" w:name="background"/>
    <w:p>
      <w:pPr>
        <w:pStyle w:val="Heading2"/>
      </w:pP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eleven of twelve methods lost skill, and the twelfth, a mean-only baseline, could not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8" w:name="battery-health-indicators"/>
    <w:p>
      <w:pPr>
        <w:pStyle w:val="Heading2"/>
      </w:pPr>
      <w:r>
        <w:t>BATTERY HEALTH INDICATORS</w:t>
      </w:r>
    </w:p>
    <w:p>
      <w:pPr>
        <w:pStyle w:val="FirstParagraph"/>
      </w:pPr>
      <w:r>
        <w:t xml:space="preserve">Three quantities are used throughout this report, and they are defined here once so that every later chapter uses them in the same way.</w:t>
      </w:r>
    </w:p>
    <w:bookmarkStart w:id="25" w:name="state-of-health"/>
    <w:p>
      <w:pPr>
        <w:pStyle w:val="Heading3"/>
      </w:pPr>
      <w:r>
        <w:t xml:space="preserve">State of Health</w:t>
      </w:r>
    </w:p>
    <w:p>
      <w:pPr>
        <w:pStyle w:val="FirstParagraph"/>
      </w:pPr>
      <w:r>
        <w:t xml:space="preserve">State of health is the fraction of the original capacity that the cell can still deliver. With</w:t>
      </w:r>
      <w:r>
        <w:t xml:space="preserve"> </w:t>
      </w:r>
      <m:oMath>
        <m:sSub>
          <m:e>
            <m:r>
              <m:t>Q</m:t>
            </m:r>
          </m:e>
          <m:sub>
            <m:r>
              <m:rPr>
                <m:sty m:val="p"/>
              </m:rPr>
              <m:t>n</m:t>
            </m:r>
            <m:r>
              <m:rPr>
                <m:sty m:val="p"/>
              </m:rPr>
              <m:t>o</m:t>
            </m:r>
            <m:r>
              <m:rPr>
                <m:sty m:val="p"/>
              </m:rPr>
              <m:t>w</m:t>
            </m:r>
          </m:sub>
        </m:sSub>
      </m:oMath>
      <w:r>
        <w:t xml:space="preserve"> </w:t>
      </w:r>
      <w:r>
        <w:t xml:space="preserve">the capacity measured on a full constant-current discharge and</w:t>
      </w:r>
      <w:r>
        <w:t xml:space="preserve"> </w:t>
      </w:r>
      <m:oMath>
        <m:sSub>
          <m:e>
            <m:r>
              <m:t>Q</m:t>
            </m:r>
          </m:e>
          <m:sub>
            <m:r>
              <m:rPr>
                <m:sty m:val="p"/>
              </m:rPr>
              <m:t>r</m:t>
            </m:r>
            <m:r>
              <m:rPr>
                <m:sty m:val="p"/>
              </m:rPr>
              <m:t>e</m:t>
            </m:r>
            <m:r>
              <m:rPr>
                <m:sty m:val="p"/>
              </m:rPr>
              <m:t>f</m:t>
            </m:r>
          </m:sub>
        </m:sSub>
      </m:oMath>
      <w:r>
        <w:t xml:space="preserve"> </w:t>
      </w:r>
      <w:r>
        <w:t xml:space="preserve">the reference capacity of the same cell, it is</w:t>
      </w:r>
    </w:p>
    <w:p>
      <w:pPr>
        <w:pStyle w:val="BodyText"/>
      </w:pPr>
      <m:oMathPara>
        <m:oMathParaPr>
          <m:jc m:val="center"/>
        </m:oMathParaPr>
        <m:oMath>
          <m:r>
            <m:rPr>
              <m:sty m:val="p"/>
            </m:rPr>
            <m:t>S</m:t>
          </m:r>
          <m:r>
            <m:rPr>
              <m:sty m:val="p"/>
            </m:rPr>
            <m:t>O</m:t>
          </m:r>
          <m:r>
            <m:rPr>
              <m:sty m:val="p"/>
            </m:rPr>
            <m:t>H</m:t>
          </m:r>
          <m:r>
            <m:rPr>
              <m:sty m:val="p"/>
            </m:rPr>
            <m:t>=</m:t>
          </m:r>
          <m:f>
            <m:fPr>
              <m:type m:val="bar"/>
            </m:fPr>
            <m:num>
              <m:sSub>
                <m:e>
                  <m:r>
                    <m:t>Q</m:t>
                  </m:r>
                </m:e>
                <m:sub>
                  <m:r>
                    <m:rPr>
                      <m:sty m:val="p"/>
                    </m:rPr>
                    <m:t>n</m:t>
                  </m:r>
                  <m:r>
                    <m:rPr>
                      <m:sty m:val="p"/>
                    </m:rPr>
                    <m:t>o</m:t>
                  </m:r>
                  <m:r>
                    <m:rPr>
                      <m:sty m:val="p"/>
                    </m:rPr>
                    <m:t>w</m:t>
                  </m:r>
                </m:sub>
              </m:sSub>
            </m:num>
            <m:den>
              <m:sSub>
                <m:e>
                  <m:r>
                    <m:t>Q</m:t>
                  </m:r>
                </m:e>
                <m:sub>
                  <m:r>
                    <m:rPr>
                      <m:sty m:val="p"/>
                    </m:rPr>
                    <m:t>r</m:t>
                  </m:r>
                  <m:r>
                    <m:rPr>
                      <m:sty m:val="p"/>
                    </m:rPr>
                    <m:t>e</m:t>
                  </m:r>
                  <m:r>
                    <m:rPr>
                      <m:sty m:val="p"/>
                    </m:rPr>
                    <m:t>f</m:t>
                  </m:r>
                </m:sub>
              </m:sSub>
            </m:den>
          </m:f>
          <m:r>
            <m:rPr>
              <m:sty m:val="p"/>
            </m:rPr>
            <m:t>×</m:t>
          </m:r>
          <m:r>
            <m:t>100</m:t>
          </m:r>
          <m:r>
            <m:t> </m:t>
          </m:r>
          <m:r>
            <m:rPr>
              <m:sty m:val="p"/>
            </m:rPr>
            <m:t>%</m:t>
          </m:r>
          <m:r>
            <m:rPr>
              <m:sty m:val="p"/>
            </m:rPr>
            <m:t>.</m:t>
          </m:r>
          <m:r>
            <m:t>  </m:t>
          </m:r>
          <m:d>
            <m:dPr>
              <m:begChr m:val="("/>
              <m:endChr m:val=")"/>
              <m:sepChr m:val=""/>
              <m:grow/>
            </m:dPr>
            <m:e>
              <m:r>
                <m:t>1.1</m:t>
              </m:r>
            </m:e>
          </m:d>
        </m:oMath>
      </m:oMathPara>
    </w:p>
    <w:p>
      <w:pPr>
        <w:pStyle w:val="FirstParagraph"/>
      </w:pPr>
      <w:r>
        <w:t xml:space="preserve">The choice of</w:t>
      </w:r>
      <w:r>
        <w:t xml:space="preserve"> </w:t>
      </w:r>
      <m:oMath>
        <m:sSub>
          <m:e>
            <m:r>
              <m:t>Q</m:t>
            </m:r>
          </m:e>
          <m:sub>
            <m:r>
              <m:rPr>
                <m:sty m:val="p"/>
              </m:rPr>
              <m:t>r</m:t>
            </m:r>
            <m:r>
              <m:rPr>
                <m:sty m:val="p"/>
              </m:rPr>
              <m:t>e</m:t>
            </m:r>
            <m:r>
              <m:rPr>
                <m:sty m:val="p"/>
              </m:rPr>
              <m:t>f</m:t>
            </m:r>
          </m:sub>
        </m:sSub>
      </m:oMath>
      <w:r>
        <w:t xml:space="preserve"> </w:t>
      </w:r>
      <w:r>
        <w:t xml:space="preserve">matters. It may be the rated capacity from the data sheet or the capacity measured on the cell’s own first discharges. The two give different numbers for the same cell, and this report states which is used wherever a figure is quoted. A battery is conventionally regarded as having reached end of life when SOH falls to 80%. The RUL estimator of this project uses a default threshold of 90%, because the CALCE trajectories rarely reach 80% within the recorded life, and reports the 80% case separately where the data allow it.</w:t>
      </w:r>
    </w:p>
    <w:bookmarkEnd w:id="25"/>
    <w:bookmarkStart w:id="26" w:name="internal-resistance"/>
    <w:p>
      <w:pPr>
        <w:pStyle w:val="Heading3"/>
      </w:pPr>
      <w:r>
        <w:t xml:space="preserve">Internal Resistance</w:t>
      </w:r>
    </w:p>
    <w:p>
      <w:pPr>
        <w:pStyle w:val="FirstParagraph"/>
      </w:pPr>
      <w:r>
        <w:t xml:space="preserve">Internal resistance is the ratio of the voltage step to the current step when a load is applied. For a step from current</w:t>
      </w:r>
      <w:r>
        <w:t xml:space="preserve"> </w:t>
      </w:r>
      <m:oMath>
        <m:sSub>
          <m:e>
            <m:r>
              <m:t>I</m:t>
            </m:r>
          </m:e>
          <m:sub>
            <m:r>
              <m:t>1</m:t>
            </m:r>
          </m:sub>
        </m:sSub>
      </m:oMath>
      <w:r>
        <w:t xml:space="preserve"> </w:t>
      </w:r>
      <w:r>
        <w:t xml:space="preserve">to</w:t>
      </w:r>
      <w:r>
        <w:t xml:space="preserve"> </w:t>
      </w:r>
      <m:oMath>
        <m:sSub>
          <m:e>
            <m:r>
              <m:t>I</m:t>
            </m:r>
          </m:e>
          <m:sub>
            <m:r>
              <m:t>2</m:t>
            </m:r>
          </m:sub>
        </m:sSub>
      </m:oMath>
      <w:r>
        <w:t xml:space="preserve"> </w:t>
      </w:r>
      <w:r>
        <w:t xml:space="preserve">that moves the terminal voltage from</w:t>
      </w:r>
      <w:r>
        <w:t xml:space="preserve"> </w:t>
      </w:r>
      <m:oMath>
        <m:sSub>
          <m:e>
            <m:r>
              <m:t>V</m:t>
            </m:r>
          </m:e>
          <m:sub>
            <m:r>
              <m:t>1</m:t>
            </m:r>
          </m:sub>
        </m:sSub>
      </m:oMath>
      <w:r>
        <w:t xml:space="preserve"> </w:t>
      </w:r>
      <w:r>
        <w:t xml:space="preserve">to</w:t>
      </w:r>
      <w:r>
        <w:t xml:space="preserve"> </w:t>
      </w:r>
      <m:oMath>
        <m:sSub>
          <m:e>
            <m:r>
              <m:t>V</m:t>
            </m:r>
          </m:e>
          <m:sub>
            <m:r>
              <m:t>2</m:t>
            </m:r>
          </m:sub>
        </m:sSub>
      </m:oMath>
      <w:r>
        <w:t xml:space="preserve">,</w:t>
      </w:r>
    </w:p>
    <w:p>
      <w:pPr>
        <w:pStyle w:val="BodyText"/>
      </w:pPr>
      <m:oMathPara>
        <m:oMathParaPr>
          <m:jc m:val="center"/>
        </m:oMathParaPr>
        <m:oMath>
          <m:sSub>
            <m:e>
              <m:r>
                <m:t>R</m:t>
              </m:r>
            </m:e>
            <m:sub>
              <m:r>
                <m:rPr>
                  <m:sty m:val="p"/>
                </m:rPr>
                <m:t>i</m:t>
              </m:r>
              <m:r>
                <m:rPr>
                  <m:sty m:val="p"/>
                </m:rPr>
                <m:t>n</m:t>
              </m:r>
              <m:r>
                <m:rPr>
                  <m:sty m:val="p"/>
                </m:rPr>
                <m:t>t</m:t>
              </m:r>
            </m:sub>
          </m:sSub>
          <m:r>
            <m:rPr>
              <m:sty m:val="p"/>
            </m:rPr>
            <m:t>=</m:t>
          </m:r>
          <m:f>
            <m:fPr>
              <m:type m:val="bar"/>
            </m:fPr>
            <m:num>
              <m:d>
                <m:dPr>
                  <m:begChr m:val="|"/>
                  <m:endChr m:val="|"/>
                  <m:sepChr m:val=""/>
                  <m:grow/>
                </m:dPr>
                <m:e>
                  <m:sSub>
                    <m:e>
                      <m:r>
                        <m:t>V</m:t>
                      </m:r>
                    </m:e>
                    <m:sub>
                      <m:r>
                        <m:t>2</m:t>
                      </m:r>
                    </m:sub>
                  </m:sSub>
                  <m:r>
                    <m:rPr>
                      <m:sty m:val="p"/>
                    </m:rPr>
                    <m:t>−</m:t>
                  </m:r>
                  <m:sSub>
                    <m:e>
                      <m:r>
                        <m:t>V</m:t>
                      </m:r>
                    </m:e>
                    <m:sub>
                      <m:r>
                        <m:t>1</m:t>
                      </m:r>
                    </m:sub>
                  </m:sSub>
                </m:e>
              </m:d>
            </m:num>
            <m:den>
              <m:d>
                <m:dPr>
                  <m:begChr m:val="|"/>
                  <m:endChr m:val="|"/>
                  <m:sepChr m:val=""/>
                  <m:grow/>
                </m:dPr>
                <m:e>
                  <m:sSub>
                    <m:e>
                      <m:r>
                        <m:t>I</m:t>
                      </m:r>
                    </m:e>
                    <m:sub>
                      <m:r>
                        <m:t>2</m:t>
                      </m:r>
                    </m:sub>
                  </m:sSub>
                  <m:r>
                    <m:rPr>
                      <m:sty m:val="p"/>
                    </m:rPr>
                    <m:t>−</m:t>
                  </m:r>
                  <m:sSub>
                    <m:e>
                      <m:r>
                        <m:t>I</m:t>
                      </m:r>
                    </m:e>
                    <m:sub>
                      <m:r>
                        <m:t>1</m:t>
                      </m:r>
                    </m:sub>
                  </m:sSub>
                </m:e>
              </m:d>
            </m:den>
          </m:f>
          <m:r>
            <m:rPr>
              <m:sty m:val="p"/>
            </m:rPr>
            <m:t>.</m:t>
          </m:r>
          <m:r>
            <m:t>  </m:t>
          </m:r>
          <m:d>
            <m:dPr>
              <m:begChr m:val="("/>
              <m:endChr m:val=")"/>
              <m:sepChr m:val=""/>
              <m:grow/>
            </m:dPr>
            <m:e>
              <m:r>
                <m:t>1.2</m:t>
              </m:r>
            </m:e>
          </m:d>
        </m:oMath>
      </m:oMathPara>
    </w:p>
    <w:p>
      <w:pPr>
        <w:pStyle w:val="FirstParagraph"/>
      </w:pPr>
      <w:r>
        <w:t xml:space="preserve">Resistance rises as the cell ages, and it determines the voltage sag under load and therefore the power the cell can deliver.</w:t>
      </w:r>
    </w:p>
    <w:bookmarkEnd w:id="26"/>
    <w:bookmarkStart w:id="27" w:name="remaining-useful-life"/>
    <w:p>
      <w:pPr>
        <w:pStyle w:val="Heading3"/>
      </w:pPr>
      <w:r>
        <w:t xml:space="preserve">Remaining Useful Life</w:t>
      </w:r>
    </w:p>
    <w:p>
      <w:pPr>
        <w:pStyle w:val="FirstParagraph"/>
      </w:pPr>
      <w:r>
        <w:t xml:space="preserve">Remaining useful life is the number of further cycles before SOH reaches the end-of-life threshold. It is a prediction, so it carries an error that grows with the distance from the threshold, and a figure for it is meaningful only if the error is stated alongside it.</w:t>
      </w:r>
    </w:p>
    <w:bookmarkEnd w:id="27"/>
    <w:bookmarkEnd w:id="28"/>
    <w:bookmarkStart w:id="29" w:name="proposed-approach-in-brief"/>
    <w:p>
      <w:pPr>
        <w:pStyle w:val="Heading2"/>
      </w:pPr>
      <w:r>
        <w:t>PROPOSED APPROACH IN BRIEF</w:t>
      </w:r>
    </w:p>
    <w:p>
      <w:pPr>
        <w:pStyle w:val="FirstParagraph"/>
      </w:pPr>
      <w:r>
        <w:t xml:space="preserve">BEACON, the system built in this project, is organised in three tiers. The data tier receives telemetry from three sources, a controller area network (CAN) bus, a serial link from a bench rig and public research datasets, and converts all three into one unified frame. The analytics tier is a Python service that scores every frame through a single function and returns state of health, resistance, remaining useful life and a behaviour risk score, each with its evidence and, where the evidence is insufficient, a refusal with the reason. The presentation tier is an Express gateway and a React dashboard that display the results and label every value with its source.</w:t>
      </w:r>
    </w:p>
    <w:p>
      <w:pPr>
        <w:pStyle w:val="BodyText"/>
      </w:pPr>
      <w:r>
        <w:t xml:space="preserve">Three design commitments run through the work. The first is that nothing is fitted across cells: the estimators measure each cell against its own early behaviour. The second is that a result is either validated against laboratory truth, reported with a measured error band, or refused. The third is that the same scoring function serves a vehicle, a rig and a dataset, so that any difference between their outputs comes from the telemetry and not from the code.</w:t>
      </w:r>
    </w:p>
    <w:bookmarkEnd w:id="29"/>
    <w:bookmarkStart w:id="30" w:name="significance-of-the-work"/>
    <w:p>
      <w:pPr>
        <w:pStyle w:val="Heading2"/>
      </w:pPr>
      <w:r>
        <w:t>SIGNIFICANCE OF THE WORK</w:t>
      </w:r>
    </w:p>
    <w:p>
      <w:pPr>
        <w:pStyle w:val="FirstParagraph"/>
      </w:pPr>
      <w:r>
        <w:t xml:space="preserve">For a fleet operator or an owner, a health figure is useful only if it can be trusted, and a figure that cannot be trusted is worse than none. By measuring its own error on public data and by declining to answer when its evidence is poor, the system gives an operator a reason to act on an estimate when one is shown and a reason to collect more data when one is withheld. For the research community, the retained negative results, in particular the loss of skill of fitted models when the test protocol changes, are a reusable finding about how battery health models should be validated. For students and practitioners, the repository is a worked example of how a software layer over a BMS can be tested, documented and reproduced.</w:t>
      </w:r>
    </w:p>
    <w:bookmarkEnd w:id="30"/>
    <w:bookmarkStart w:id="31" w:name="scope-and-organisation-of-the-report"/>
    <w:p>
      <w:pPr>
        <w:pStyle w:val="Heading2"/>
      </w:pP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Table 1.1 gives a map of the chapters. 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p>
      <w:pPr>
        <w:pStyle w:val="TableCaption"/>
      </w:pPr>
      <w:r>
        <w:t xml:space="preserve">Table 1.1: Organisation of the Report</w:t>
      </w:r>
    </w:p>
    <w:tbl>
      <w:tblPr>
        <w:tblStyle w:val="Table"/>
        <w:tblW w:type="pct" w:w="4100"/>
        <w:tblLook w:firstRow="1" w:lastRow="0" w:firstColumn="0" w:lastColumn="0" w:noHBand="0" w:noVBand="0" w:val="0020"/>
        <w:jc w:val="start"/>
        <w:tblCaption w:val="Table 1.1: Organisation of the Report"/>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2217"/>
        <w:gridCol w:w="3484"/>
      </w:tblGrid>
      <w:tr>
        <w:trPr>
          <w:tblHeader w:val="true"/>
        </w:trPr>
        <w:tc>
          <w:tcPr/>
          <w:p>
            <w:pPr>
              <w:pStyle w:val="Compact"/>
              <w:spacing w:after="40" w:line="240" w:lineRule="auto"/>
              <w:jc w:val="left"/>
            </w:pPr>
            <w:r>
              <w:rPr>
                <w:bCs/>
                <w:b/>
                <w:sz w:val="20"/>
              </w:rPr>
              <w:t xml:space="preserve">Chapter</w:t>
            </w:r>
          </w:p>
        </w:tc>
        <w:tc>
          <w:tcPr/>
          <w:p>
            <w:pPr>
              <w:pStyle w:val="Compact"/>
              <w:spacing w:after="40" w:line="240" w:lineRule="auto"/>
              <w:jc w:val="left"/>
            </w:pPr>
            <w:r>
              <w:rPr>
                <w:bCs/>
                <w:b/>
                <w:sz w:val="20"/>
              </w:rPr>
              <w:t xml:space="preserve">Title</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Introduction</w:t>
            </w:r>
          </w:p>
        </w:tc>
        <w:tc>
          <w:tcPr/>
          <w:p>
            <w:pPr>
              <w:pStyle w:val="Compact"/>
              <w:spacing w:after="40" w:line="240" w:lineRule="auto"/>
              <w:jc w:val="left"/>
            </w:pPr>
            <w:r>
              <w:rPr>
                <w:sz w:val="20"/>
              </w:rPr>
              <w:t xml:space="preserve">Background, problem, objectives and scope</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Literature Review</w:t>
            </w:r>
          </w:p>
        </w:tc>
        <w:tc>
          <w:tcPr/>
          <w:p>
            <w:pPr>
              <w:pStyle w:val="Compact"/>
              <w:spacing w:after="40" w:line="240" w:lineRule="auto"/>
              <w:jc w:val="left"/>
            </w:pPr>
            <w:r>
              <w:rPr>
                <w:sz w:val="20"/>
              </w:rPr>
              <w:t xml:space="preserve">Ageing, estimation methods, interfaces and validation practice</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Methodology / System Design</w:t>
            </w:r>
          </w:p>
        </w:tc>
        <w:tc>
          <w:tcPr/>
          <w:p>
            <w:pPr>
              <w:pStyle w:val="Compact"/>
              <w:spacing w:after="40" w:line="240" w:lineRule="auto"/>
              <w:jc w:val="left"/>
            </w:pPr>
            <w:r>
              <w:rPr>
                <w:sz w:val="20"/>
              </w:rPr>
              <w:t xml:space="preserve">Requirements, schema, estimators, gates and validation protocol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Implementation and Deployment</w:t>
            </w:r>
          </w:p>
        </w:tc>
        <w:tc>
          <w:tcPr/>
          <w:p>
            <w:pPr>
              <w:pStyle w:val="Compact"/>
              <w:spacing w:after="40" w:line="240" w:lineRule="auto"/>
              <w:jc w:val="left"/>
            </w:pPr>
            <w:r>
              <w:rPr>
                <w:sz w:val="20"/>
              </w:rPr>
              <w:t xml:space="preserve">Acquisition, rig, services, security and testing</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Results and Discussion</w:t>
            </w:r>
          </w:p>
        </w:tc>
        <w:tc>
          <w:tcPr/>
          <w:p>
            <w:pPr>
              <w:pStyle w:val="Compact"/>
              <w:spacing w:after="40" w:line="240" w:lineRule="auto"/>
              <w:jc w:val="left"/>
            </w:pPr>
            <w:r>
              <w:rPr>
                <w:sz w:val="20"/>
              </w:rPr>
              <w:t xml:space="preserve">Benchmark, estimator accuracy, hardware results and threats to validity</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Conclusion and Future Work</w:t>
            </w:r>
          </w:p>
        </w:tc>
        <w:tc>
          <w:tcPr/>
          <w:p>
            <w:pPr>
              <w:pStyle w:val="Compact"/>
              <w:spacing w:after="40" w:line="240" w:lineRule="auto"/>
              <w:jc w:val="left"/>
            </w:pPr>
            <w:r>
              <w:rPr>
                <w:sz w:val="20"/>
              </w:rPr>
              <w:t xml:space="preserve">Findings, limitations, lessons and next steps</w:t>
            </w:r>
          </w:p>
        </w:tc>
      </w:tr>
    </w:tbl>
    <w:bookmarkEnd w:id="31"/>
    <w:bookmarkEnd w:id="32"/>
    <w:bookmarkStart w:id="52" w:name="literature-review"/>
    <w:p>
      <w:pPr>
        <w:pStyle w:val="Heading1"/>
      </w:pPr>
      <w:r>
        <w:t>LITERATURE REVIEW</w:t>
      </w:r>
    </w:p>
    <w:bookmarkStart w:id="33" w:name="X1259210b64423408c35b18caed52eb52e45b504"/>
    <w:p>
      <w:pPr>
        <w:pStyle w:val="Heading2"/>
      </w:pP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Textbook treatments of the BMS, including state-of-charge indication and cell balancing, are given by Pop</w:t>
      </w:r>
      <w:r>
        <w:t xml:space="preserve"> </w:t>
      </w:r>
      <w:r>
        <w:rPr>
          <w:iCs/>
          <w:i/>
        </w:rPr>
        <w:t xml:space="preserve">et al.</w:t>
      </w:r>
      <w:r>
        <w:t xml:space="preserve"> [21] and Plett [22]. State of charge and state of health are related but different quantities: the first says how much charge remains in the present state of the cell, the second says how much the cell can hold at all, and a layer that reports health must not take its reference from a state-of-charge estimate that itself depends on a capacity assumption.</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33"/>
    <w:bookmarkStart w:id="34" w:name="X9e9831f21f9c5525e7acb34f922108bfd4d6755"/>
    <w:p>
      <w:pPr>
        <w:pStyle w:val="Heading2"/>
      </w:pP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34"/>
    <w:bookmarkStart w:id="35" w:name="discharge-curve-analysis"/>
    <w:p>
      <w:pPr>
        <w:pStyle w:val="Heading2"/>
      </w:pP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5"/>
    <w:bookmarkStart w:id="36" w:name="remaining-useful-life-prognostics"/>
    <w:p>
      <w:pPr>
        <w:pStyle w:val="Heading2"/>
      </w:pP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6"/>
    <w:bookmarkStart w:id="37" w:name="public-datasets-used"/>
    <w:p>
      <w:pPr>
        <w:pStyle w:val="Heading2"/>
      </w:pPr>
      <w:r>
        <w:t>PUBLIC DATASETS USED</w:t>
      </w:r>
    </w:p>
    <w:p>
      <w:pPr>
        <w:pStyle w:val="FirstParagraph"/>
      </w:pPr>
      <w:r>
        <w:t xml:space="preserve">Three public datasets are used, chosen because they differ in chemistry, format, temperature and protocol.</w:t>
      </w:r>
    </w:p>
    <w:p>
      <w:pPr>
        <w:numPr>
          <w:ilvl w:val="0"/>
          <w:numId w:val="1003"/>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3"/>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3"/>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7"/>
    <w:bookmarkStart w:id="38" w:name="Xa011e95ed21bbcdac3cbe7e6ae007553a5206cb"/>
    <w:p>
      <w:pPr>
        <w:pStyle w:val="Heading2"/>
      </w:pP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8"/>
    <w:bookmarkStart w:id="39" w:name="battery-ageing-mechanisms"/>
    <w:p>
      <w:pPr>
        <w:pStyle w:val="Heading2"/>
      </w:pPr>
      <w:r>
        <w:t>BATTERY AGEING MECHANISMS</w:t>
      </w:r>
    </w:p>
    <w:p>
      <w:pPr>
        <w:pStyle w:val="FirstParagraph"/>
      </w:pPr>
      <w:r>
        <w:t xml:space="preserve">The capacity and resistance that the estimators in this project measure are the visible result of physical processes inside the cell. Growth of the solid electrolyte interphase on the negative electrode consumes lithium inventory and thickens the resistive film, so capacity falls and resistance rises. Lithium plating, which is more likely at high charge rates and low temperature, removes lithium irreversibly and can create a safety risk. Loss of active material through particle cracking or dissolution reduces the number of sites available to hold lithium [3, 4]. These mechanisms depend on temperature, state of charge, current rate and depth of discharge, which is why a monitoring layer pays attention to how a battery is used and not only to its age. They also explain why a single protocol, such as constant-current cycling at room temperature, cannot represent the conditions a vehicle imposes, a point on which the validation in Chapter 5 depends.</w:t>
      </w:r>
    </w:p>
    <w:bookmarkEnd w:id="39"/>
    <w:bookmarkStart w:id="40" w:name="taxonomy-of-health-estimation-methods"/>
    <w:p>
      <w:pPr>
        <w:pStyle w:val="Heading2"/>
      </w:pPr>
      <w:r>
        <w:t>TAXONOMY OF HEALTH ESTIMATION METHODS</w:t>
      </w:r>
    </w:p>
    <w:p>
      <w:pPr>
        <w:pStyle w:val="FirstParagraph"/>
      </w:pPr>
      <w:r>
        <w:t xml:space="preserve">Reviews of the field group state-of-health estimation into three families [2, 1]. Table 2.1 summarises them and states what each requires, because the requirement, more than the accuracy, decides whether a method can run inside a vehicle.</w:t>
      </w:r>
    </w:p>
    <w:p>
      <w:pPr>
        <w:pStyle w:val="TableCaption"/>
      </w:pPr>
      <w:r>
        <w:t xml:space="preserve">Table 2.1: Families of State-of-Health Estimation</w:t>
      </w:r>
    </w:p>
    <w:tbl>
      <w:tblPr>
        <w:tblStyle w:val="Table"/>
        <w:tblW w:type="pct" w:w="4200"/>
        <w:tblLook w:firstRow="1" w:lastRow="0" w:firstColumn="0" w:lastColumn="0" w:noHBand="0" w:noVBand="0" w:val="0020"/>
        <w:jc w:val="start"/>
        <w:tblCaption w:val="Table 2.1: Families of State-of-Health Estimation"/>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376"/>
        <w:gridCol w:w="2692"/>
      </w:tblGrid>
      <w:tr>
        <w:trPr>
          <w:tblHeader w:val="true"/>
        </w:trPr>
        <w:tc>
          <w:tcPr/>
          <w:p>
            <w:pPr>
              <w:pStyle w:val="Compact"/>
              <w:spacing w:after="40" w:line="240" w:lineRule="auto"/>
              <w:jc w:val="left"/>
            </w:pPr>
            <w:r>
              <w:rPr>
                <w:bCs/>
                <w:b/>
                <w:sz w:val="20"/>
              </w:rPr>
              <w:t xml:space="preserve">Family</w:t>
            </w:r>
          </w:p>
        </w:tc>
        <w:tc>
          <w:tcPr/>
          <w:p>
            <w:pPr>
              <w:pStyle w:val="Compact"/>
              <w:spacing w:after="40" w:line="240" w:lineRule="auto"/>
              <w:jc w:val="left"/>
            </w:pPr>
            <w:r>
              <w:rPr>
                <w:bCs/>
                <w:b/>
                <w:sz w:val="20"/>
              </w:rPr>
              <w:t xml:space="preserve">Principle</w:t>
            </w:r>
          </w:p>
        </w:tc>
        <w:tc>
          <w:tcPr/>
          <w:p>
            <w:pPr>
              <w:pStyle w:val="Compact"/>
              <w:spacing w:after="40" w:line="240" w:lineRule="auto"/>
              <w:jc w:val="left"/>
            </w:pPr>
            <w:r>
              <w:rPr>
                <w:bCs/>
                <w:b/>
                <w:sz w:val="20"/>
              </w:rPr>
              <w:t xml:space="preserve">Requirement in a vehicle</w:t>
            </w:r>
          </w:p>
        </w:tc>
      </w:tr>
      <w:tr>
        <w:tc>
          <w:tcPr/>
          <w:p>
            <w:pPr>
              <w:pStyle w:val="Compact"/>
              <w:spacing w:after="40" w:line="240" w:lineRule="auto"/>
              <w:jc w:val="left"/>
            </w:pPr>
            <w:r>
              <w:rPr>
                <w:sz w:val="20"/>
              </w:rPr>
              <w:t xml:space="preserve">Direct measurement</w:t>
            </w:r>
          </w:p>
        </w:tc>
        <w:tc>
          <w:tcPr/>
          <w:p>
            <w:pPr>
              <w:pStyle w:val="Compact"/>
              <w:spacing w:after="40" w:line="240" w:lineRule="auto"/>
              <w:jc w:val="left"/>
            </w:pPr>
            <w:r>
              <w:rPr>
                <w:sz w:val="20"/>
              </w:rPr>
              <w:t xml:space="preserve">Measure capacity or resistance by a dedicated test</w:t>
            </w:r>
          </w:p>
        </w:tc>
        <w:tc>
          <w:tcPr/>
          <w:p>
            <w:pPr>
              <w:pStyle w:val="Compact"/>
              <w:spacing w:after="40" w:line="240" w:lineRule="auto"/>
              <w:jc w:val="left"/>
            </w:pPr>
            <w:r>
              <w:rPr>
                <w:sz w:val="20"/>
              </w:rPr>
              <w:t xml:space="preserve">A controlled full discharge or load pulse, rarely available</w:t>
            </w:r>
          </w:p>
        </w:tc>
      </w:tr>
      <w:tr>
        <w:tc>
          <w:tcPr/>
          <w:p>
            <w:pPr>
              <w:pStyle w:val="Compact"/>
              <w:spacing w:after="40" w:line="240" w:lineRule="auto"/>
              <w:jc w:val="left"/>
            </w:pPr>
            <w:r>
              <w:rPr>
                <w:sz w:val="20"/>
              </w:rPr>
              <w:t xml:space="preserve">Model-based</w:t>
            </w:r>
          </w:p>
        </w:tc>
        <w:tc>
          <w:tcPr/>
          <w:p>
            <w:pPr>
              <w:pStyle w:val="Compact"/>
              <w:spacing w:after="40" w:line="240" w:lineRule="auto"/>
              <w:jc w:val="left"/>
            </w:pPr>
            <w:r>
              <w:rPr>
                <w:sz w:val="20"/>
              </w:rPr>
              <w:t xml:space="preserve">Fit an equivalent-circuit or electrochemical model and track its parameters</w:t>
            </w:r>
          </w:p>
        </w:tc>
        <w:tc>
          <w:tcPr/>
          <w:p>
            <w:pPr>
              <w:pStyle w:val="Compact"/>
              <w:spacing w:after="40" w:line="240" w:lineRule="auto"/>
              <w:jc w:val="left"/>
            </w:pPr>
            <w:r>
              <w:rPr>
                <w:sz w:val="20"/>
              </w:rPr>
              <w:t xml:space="preserve">Accurate model, parameter identification and a good initial state</w:t>
            </w:r>
          </w:p>
        </w:tc>
      </w:tr>
      <w:tr>
        <w:tc>
          <w:tcPr/>
          <w:p>
            <w:pPr>
              <w:pStyle w:val="Compact"/>
              <w:spacing w:after="40" w:line="240" w:lineRule="auto"/>
              <w:jc w:val="left"/>
            </w:pPr>
            <w:r>
              <w:rPr>
                <w:sz w:val="20"/>
              </w:rPr>
              <w:t xml:space="preserve">Data-driven</w:t>
            </w:r>
          </w:p>
        </w:tc>
        <w:tc>
          <w:tcPr/>
          <w:p>
            <w:pPr>
              <w:pStyle w:val="Compact"/>
              <w:spacing w:after="40" w:line="240" w:lineRule="auto"/>
              <w:jc w:val="left"/>
            </w:pPr>
            <w:r>
              <w:rPr>
                <w:sz w:val="20"/>
              </w:rPr>
              <w:t xml:space="preserve">Learn a mapping from features to health from past cells</w:t>
            </w:r>
          </w:p>
        </w:tc>
        <w:tc>
          <w:tcPr/>
          <w:p>
            <w:pPr>
              <w:pStyle w:val="Compact"/>
              <w:spacing w:after="40" w:line="240" w:lineRule="auto"/>
              <w:jc w:val="left"/>
            </w:pPr>
            <w:r>
              <w:rPr>
                <w:sz w:val="20"/>
              </w:rPr>
              <w:t xml:space="preserve">Training cells representative of the deployment conditions</w:t>
            </w:r>
          </w:p>
        </w:tc>
      </w:tr>
    </w:tbl>
    <w:p>
      <w:pPr>
        <w:pStyle w:val="BodyText"/>
      </w:pPr>
      <w:r>
        <w:t xml:space="preserve">The window estimator of this project is a direct measurement made opportunistically: whenever the telemetry contains a discharge that is long enough, it counts the charge delivered between two voltage thresholds and reads capacity from that, so it needs no dedicated test and no model of other cells.</w:t>
      </w:r>
    </w:p>
    <w:bookmarkEnd w:id="40"/>
    <w:bookmarkStart w:id="41" w:name="X847f9043b7c5dcb902edf458e02ab71ba810c10"/>
    <w:p>
      <w:pPr>
        <w:pStyle w:val="Heading2"/>
      </w:pPr>
      <w:r>
        <w:t>INTERNAL RESISTANCE ESTIMATION IN THE LITERATURE</w:t>
      </w:r>
    </w:p>
    <w:p>
      <w:pPr>
        <w:pStyle w:val="FirstParagraph"/>
      </w:pPr>
      <w:r>
        <w:t xml:space="preserve">Internal resistance can be measured from the voltage response to a current step, from electrochemical impedance spectroscopy or from recursive parameter identification inside an equivalent-circuit model [5, 1]. The step method is the simplest and is the one adopted here, because a vehicle produces current steps routinely, at every transition between acceleration, cruising and braking. The step response contains an instantaneous ohmic part and slower diffusion and charge-transfer parts, so a resistance read from the first loaded sample is an apparent value that includes some polarisation. This project therefore treats the estimate as a trend indicator whose direction is validated against the laboratory instrument, and uses it as a correction term for the voltage window, and not as an absolute impedance.</w:t>
      </w:r>
    </w:p>
    <w:bookmarkEnd w:id="41"/>
    <w:bookmarkStart w:id="45" w:name="vehicle-data-interfaces"/>
    <w:p>
      <w:pPr>
        <w:pStyle w:val="Heading2"/>
      </w:pPr>
      <w:r>
        <w:t>VEHICLE DATA INTERFACES</w:t>
      </w:r>
    </w:p>
    <w:bookmarkStart w:id="42" w:name="controller-area-network"/>
    <w:p>
      <w:pPr>
        <w:pStyle w:val="Heading3"/>
      </w:pPr>
      <w:r>
        <w:t xml:space="preserve">Controller Area Network</w:t>
      </w:r>
    </w:p>
    <w:p>
      <w:pPr>
        <w:pStyle w:val="FirstParagraph"/>
      </w:pPr>
      <w:r>
        <w:t xml:space="preserve">The controller area network is the serial bus on which the control units of a vehicle exchange short frames [19]. A frame carries an identifier and up to eight data bytes, and the identifier determines which message the data belong to. The bytes are packed with several signals, each defined by a start bit, a length, a byte order, a scale factor and an offset. A DBC file records these definitions. Manufacturers regard their DBC files as proprietary, which is the main obstacle to a general decoder, and public decoding exists for a limited number of vehicles through community projects such as the Open Vehicles Monitoring System.</w:t>
      </w:r>
    </w:p>
    <w:bookmarkEnd w:id="42"/>
    <w:bookmarkStart w:id="43" w:name="serial-bench-rigs"/>
    <w:p>
      <w:pPr>
        <w:pStyle w:val="Heading3"/>
      </w:pPr>
      <w:r>
        <w:t xml:space="preserve">Serial Bench Rigs</w:t>
      </w:r>
    </w:p>
    <w:p>
      <w:pPr>
        <w:pStyle w:val="FirstParagraph"/>
      </w:pPr>
      <w:r>
        <w:t xml:space="preserve">A laboratory or student rig usually streams text lines over a universal asynchronous serial link. Such a link has no error detection of its own, so bytes can be lost or corrupted, and a boot banner or debug message can appear between data records. A reliable acquisition layer therefore needs a delimiter, a checksum and a rule for what to do with a record that fails them. These concerns do not arise with a dataset file, which is why the three sources need an explicit common schema.</w:t>
      </w:r>
    </w:p>
    <w:bookmarkEnd w:id="43"/>
    <w:bookmarkStart w:id="44" w:name="open-datasets"/>
    <w:p>
      <w:pPr>
        <w:pStyle w:val="Heading3"/>
      </w:pPr>
      <w:r>
        <w:t xml:space="preserve">Open Datasets</w:t>
      </w:r>
    </w:p>
    <w:p>
      <w:pPr>
        <w:pStyle w:val="FirstParagraph"/>
      </w:pPr>
      <w:r>
        <w:t xml:space="preserve">Public datasets store the same physical quantities under different names, units, sign conventions and file formats. Reported capacity may be in ampere-hours or in coulombs, current may be positive on charge or on discharge, and temperature may be absent. Without a documented mapping into a single schema, a result computed on one dataset cannot be compared with a result on another.</w:t>
      </w:r>
    </w:p>
    <w:bookmarkEnd w:id="44"/>
    <w:bookmarkEnd w:id="45"/>
    <w:bookmarkStart w:id="46" w:name="digital-twins-and-fleet-monitoring"/>
    <w:p>
      <w:pPr>
        <w:pStyle w:val="Heading2"/>
      </w:pPr>
      <w:r>
        <w:t>DIGITAL TWINS AND FLEET MONITORING</w:t>
      </w:r>
    </w:p>
    <w:p>
      <w:pPr>
        <w:pStyle w:val="FirstParagraph"/>
      </w:pPr>
      <w:r>
        <w:t xml:space="preserve">A digital twin is a virtual representation of a physical asset that is updated from the asset’s data and can be queried in its place [20]. For batteries, the term is used for anything from a detailed electrochemical simulation to a simple state record. In BEACON the twin is deliberately modest: a state machine layered on the outputs of the scoring pipeline that records the current health state of each battery and every transition between states across runs. It adds structure and a queryable history and does not add a predictive model, and the report says so wherever the twin is mentioned. In a fleet, such a record lets an operator see which batteries have changed state since the last evaluation, which is what a maintenance decision depends on.</w:t>
      </w:r>
    </w:p>
    <w:bookmarkEnd w:id="46"/>
    <w:bookmarkStart w:id="47" w:name="explainability-and-honest-reporting"/>
    <w:p>
      <w:pPr>
        <w:pStyle w:val="Heading2"/>
      </w:pPr>
      <w:r>
        <w:t>EXPLAINABILITY AND HONEST REPORTING</w:t>
      </w:r>
    </w:p>
    <w:p>
      <w:pPr>
        <w:pStyle w:val="FirstParagraph"/>
      </w:pPr>
      <w:r>
        <w:t xml:space="preserve">Explanations of a model’s output are expected in safety-relevant systems, and feature attribution is the usual tool. For rule-based scores, the contribution of each rule to the total can be computed exactly and does not need an approximation. The behaviour layer of BEACON reports such attributions for its heuristic scores. A related concern is the honesty of the output itself. A dashboard that displays a placeholder, a default or an extrapolated value looks identical to one that displays a measurement. This project therefore treats the provenance of every displayed number as part of the result, and the dashboard renders only computed values, labelling those that come from simulated data.</w:t>
      </w:r>
    </w:p>
    <w:bookmarkEnd w:id="47"/>
    <w:bookmarkStart w:id="48" w:name="validation-practice-and-leakage"/>
    <w:p>
      <w:pPr>
        <w:pStyle w:val="Heading2"/>
      </w:pPr>
      <w:r>
        <w:t>VALIDATION PRACTICE AND LEAKAGE</w:t>
      </w:r>
    </w:p>
    <w:p>
      <w:pPr>
        <w:pStyle w:val="FirstParagraph"/>
      </w:pPr>
      <w:r>
        <w:t xml:space="preserve">The way data are split between training and testing determines what a reported accuracy means. A random split over cycles allows neighbouring cycles of the same cell to appear on both sides, which inflates accuracy. A leave-one-cell-out split removes that leak but still places the held-out cell’s siblings from the same protocol in the training set. A leave-one-cohort-out split removes the whole protocol, and so tests transfer to conditions that were not seen. Table 2.2 summarises the three, and the benchmark in Chapter 5 uses the last two.</w:t>
      </w:r>
    </w:p>
    <w:p>
      <w:pPr>
        <w:pStyle w:val="TableCaption"/>
      </w:pPr>
      <w:r>
        <w:t xml:space="preserve">Table 2.2: Validation Splits and What Each One Tests</w:t>
      </w:r>
    </w:p>
    <w:tbl>
      <w:tblPr>
        <w:tblStyle w:val="Table"/>
        <w:tblW w:type="pct" w:w="4200"/>
        <w:tblLook w:firstRow="1" w:lastRow="0" w:firstColumn="0" w:lastColumn="0" w:noHBand="0" w:noVBand="0" w:val="0020"/>
        <w:jc w:val="start"/>
        <w:tblCaption w:val="Table 2.2: Validation Splits and What Each One Test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534"/>
      </w:tblGrid>
      <w:tr>
        <w:trPr>
          <w:tblHeader w:val="true"/>
        </w:trPr>
        <w:tc>
          <w:tcPr/>
          <w:p>
            <w:pPr>
              <w:pStyle w:val="Compact"/>
              <w:spacing w:after="40" w:line="240" w:lineRule="auto"/>
              <w:jc w:val="left"/>
            </w:pPr>
            <w:r>
              <w:rPr>
                <w:bCs/>
                <w:b/>
                <w:sz w:val="20"/>
              </w:rPr>
              <w:t xml:space="preserve">Split</w:t>
            </w:r>
          </w:p>
        </w:tc>
        <w:tc>
          <w:tcPr/>
          <w:p>
            <w:pPr>
              <w:pStyle w:val="Compact"/>
              <w:spacing w:after="40" w:line="240" w:lineRule="auto"/>
              <w:jc w:val="left"/>
            </w:pPr>
            <w:r>
              <w:rPr>
                <w:bCs/>
                <w:b/>
                <w:sz w:val="20"/>
              </w:rPr>
              <w:t xml:space="preserve">What is held out</w:t>
            </w:r>
          </w:p>
        </w:tc>
        <w:tc>
          <w:tcPr/>
          <w:p>
            <w:pPr>
              <w:pStyle w:val="Compact"/>
              <w:spacing w:after="40" w:line="240" w:lineRule="auto"/>
              <w:jc w:val="left"/>
            </w:pPr>
            <w:r>
              <w:rPr>
                <w:bCs/>
                <w:b/>
                <w:sz w:val="20"/>
              </w:rPr>
              <w:t xml:space="preserve">What the score tests</w:t>
            </w:r>
          </w:p>
        </w:tc>
      </w:tr>
      <w:tr>
        <w:tc>
          <w:tcPr/>
          <w:p>
            <w:pPr>
              <w:pStyle w:val="Compact"/>
              <w:spacing w:after="40" w:line="240" w:lineRule="auto"/>
              <w:jc w:val="left"/>
            </w:pPr>
            <w:r>
              <w:rPr>
                <w:sz w:val="20"/>
              </w:rPr>
              <w:t xml:space="preserve">Random over cycles</w:t>
            </w:r>
          </w:p>
        </w:tc>
        <w:tc>
          <w:tcPr/>
          <w:p>
            <w:pPr>
              <w:pStyle w:val="Compact"/>
              <w:spacing w:after="40" w:line="240" w:lineRule="auto"/>
              <w:jc w:val="left"/>
            </w:pPr>
            <w:r>
              <w:rPr>
                <w:sz w:val="20"/>
              </w:rPr>
              <w:t xml:space="preserve">Individual cycles</w:t>
            </w:r>
          </w:p>
        </w:tc>
        <w:tc>
          <w:tcPr/>
          <w:p>
            <w:pPr>
              <w:pStyle w:val="Compact"/>
              <w:spacing w:after="40" w:line="240" w:lineRule="auto"/>
              <w:jc w:val="left"/>
            </w:pPr>
            <w:r>
              <w:rPr>
                <w:sz w:val="20"/>
              </w:rPr>
              <w:t xml:space="preserve">Interpolation within seen cells</w:t>
            </w:r>
          </w:p>
        </w:tc>
      </w:tr>
      <w:tr>
        <w:tc>
          <w:tcPr/>
          <w:p>
            <w:pPr>
              <w:pStyle w:val="Compact"/>
              <w:spacing w:after="40" w:line="240" w:lineRule="auto"/>
              <w:jc w:val="left"/>
            </w:pPr>
            <w:r>
              <w:rPr>
                <w:sz w:val="20"/>
              </w:rPr>
              <w:t xml:space="preserve">Leave-one-cell-out</w:t>
            </w:r>
          </w:p>
        </w:tc>
        <w:tc>
          <w:tcPr/>
          <w:p>
            <w:pPr>
              <w:pStyle w:val="Compact"/>
              <w:spacing w:after="40" w:line="240" w:lineRule="auto"/>
              <w:jc w:val="left"/>
            </w:pPr>
            <w:r>
              <w:rPr>
                <w:sz w:val="20"/>
              </w:rPr>
              <w:t xml:space="preserve">One whole cell</w:t>
            </w:r>
          </w:p>
        </w:tc>
        <w:tc>
          <w:tcPr/>
          <w:p>
            <w:pPr>
              <w:pStyle w:val="Compact"/>
              <w:spacing w:after="40" w:line="240" w:lineRule="auto"/>
              <w:jc w:val="left"/>
            </w:pPr>
            <w:r>
              <w:rPr>
                <w:sz w:val="20"/>
              </w:rPr>
              <w:t xml:space="preserve">Recognition of a seen protocol</w:t>
            </w:r>
          </w:p>
        </w:tc>
      </w:tr>
      <w:tr>
        <w:tc>
          <w:tcPr/>
          <w:p>
            <w:pPr>
              <w:pStyle w:val="Compact"/>
              <w:spacing w:after="40" w:line="240" w:lineRule="auto"/>
              <w:jc w:val="left"/>
            </w:pPr>
            <w:r>
              <w:rPr>
                <w:sz w:val="20"/>
              </w:rPr>
              <w:t xml:space="preserve">Leave-one-cohort-out</w:t>
            </w:r>
          </w:p>
        </w:tc>
        <w:tc>
          <w:tcPr/>
          <w:p>
            <w:pPr>
              <w:pStyle w:val="Compact"/>
              <w:spacing w:after="40" w:line="240" w:lineRule="auto"/>
              <w:jc w:val="left"/>
            </w:pPr>
            <w:r>
              <w:rPr>
                <w:sz w:val="20"/>
              </w:rPr>
              <w:t xml:space="preserve">All cells of one protocol</w:t>
            </w:r>
          </w:p>
        </w:tc>
        <w:tc>
          <w:tcPr/>
          <w:p>
            <w:pPr>
              <w:pStyle w:val="Compact"/>
              <w:spacing w:after="40" w:line="240" w:lineRule="auto"/>
              <w:jc w:val="left"/>
            </w:pPr>
            <w:r>
              <w:rPr>
                <w:sz w:val="20"/>
              </w:rPr>
              <w:t xml:space="preserve">Transfer to an unseen protocol</w:t>
            </w:r>
          </w:p>
        </w:tc>
      </w:tr>
    </w:tbl>
    <w:bookmarkEnd w:id="48"/>
    <w:bookmarkStart w:id="49" w:name="positioning-of-this-work"/>
    <w:p>
      <w:pPr>
        <w:pStyle w:val="Heading2"/>
      </w:pPr>
      <w:r>
        <w:t>POSITIONING OF THIS WORK</w:t>
      </w:r>
    </w:p>
    <w:p>
      <w:pPr>
        <w:pStyle w:val="FirstParagraph"/>
      </w:pPr>
      <w:r>
        <w:t xml:space="preserve">Table 2.3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2.3: Approach Families and the Properties That Matter for a Deployed Layer</w:t>
      </w:r>
    </w:p>
    <w:tbl>
      <w:tblPr>
        <w:tblStyle w:val="Table"/>
        <w:tblW w:type="pct" w:w="4000"/>
        <w:tblLook w:firstRow="1" w:lastRow="0" w:firstColumn="0" w:lastColumn="0" w:noHBand="0" w:noVBand="0" w:val="0020"/>
        <w:jc w:val="start"/>
        <w:tblCaption w:val="Table 2.3: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49"/>
    <w:bookmarkStart w:id="50" w:name="X3d8b69131e03b137685df6cbfaaf9042b5ef7af"/>
    <w:p>
      <w:pPr>
        <w:pStyle w:val="Heading2"/>
      </w:pPr>
      <w:r>
        <w:t>IDENTIFIED GAPS AND HOW THEY ARE ADDRESSED</w:t>
      </w:r>
    </w:p>
    <w:p>
      <w:pPr>
        <w:pStyle w:val="FirstParagraph"/>
      </w:pPr>
      <w:r>
        <w:t xml:space="preserve">Table 2.4 lists the gaps that the review leaves open and the parts of this report that address them.</w:t>
      </w:r>
    </w:p>
    <w:p>
      <w:pPr>
        <w:pStyle w:val="TableCaption"/>
      </w:pPr>
      <w:r>
        <w:t xml:space="preserve">Table 2.4: Gaps in the Literature and Where They Are Addressed</w:t>
      </w:r>
    </w:p>
    <w:tbl>
      <w:tblPr>
        <w:tblStyle w:val="Table"/>
        <w:tblW w:type="pct" w:w="3800"/>
        <w:tblLook w:firstRow="1" w:lastRow="0" w:firstColumn="0" w:lastColumn="0" w:noHBand="0" w:noVBand="0" w:val="0020"/>
        <w:jc w:val="start"/>
        <w:tblCaption w:val="Table 2.4: Gaps in the Literature and Where They Are Addressed"/>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tblGrid>
      <w:tr>
        <w:trPr>
          <w:tblHeader w:val="true"/>
        </w:trPr>
        <w:tc>
          <w:tcPr/>
          <w:p>
            <w:pPr>
              <w:pStyle w:val="Compact"/>
              <w:spacing w:after="40" w:line="240" w:lineRule="auto"/>
              <w:jc w:val="left"/>
            </w:pPr>
            <w:r>
              <w:rPr>
                <w:bCs/>
                <w:b/>
                <w:sz w:val="20"/>
              </w:rPr>
              <w:t xml:space="preserve">Gap</w:t>
            </w:r>
          </w:p>
        </w:tc>
        <w:tc>
          <w:tcPr/>
          <w:p>
            <w:pPr>
              <w:pStyle w:val="Compact"/>
              <w:spacing w:after="40" w:line="240" w:lineRule="auto"/>
              <w:jc w:val="left"/>
            </w:pPr>
            <w:r>
              <w:rPr>
                <w:bCs/>
                <w:b/>
                <w:sz w:val="20"/>
              </w:rPr>
              <w:t xml:space="preserve">Addressed in</w:t>
            </w:r>
          </w:p>
        </w:tc>
      </w:tr>
      <w:tr>
        <w:tc>
          <w:tcPr/>
          <w:p>
            <w:pPr>
              <w:pStyle w:val="Compact"/>
              <w:spacing w:after="40" w:line="240" w:lineRule="auto"/>
              <w:jc w:val="left"/>
            </w:pPr>
            <w:r>
              <w:rPr>
                <w:sz w:val="20"/>
              </w:rPr>
              <w:t xml:space="preserve">Skill of fitted models under a change of protocol</w:t>
            </w:r>
          </w:p>
        </w:tc>
        <w:tc>
          <w:tcPr/>
          <w:p>
            <w:pPr>
              <w:pStyle w:val="Compact"/>
              <w:spacing w:after="40" w:line="240" w:lineRule="auto"/>
              <w:jc w:val="left"/>
            </w:pPr>
            <w:r>
              <w:rPr>
                <w:sz w:val="20"/>
              </w:rPr>
              <w:t xml:space="preserve">Benchmark with leave-one-cohort-out validation (Section 5.1)</w:t>
            </w:r>
          </w:p>
        </w:tc>
      </w:tr>
      <w:tr>
        <w:tc>
          <w:tcPr/>
          <w:p>
            <w:pPr>
              <w:pStyle w:val="Compact"/>
              <w:spacing w:after="40" w:line="240" w:lineRule="auto"/>
              <w:jc w:val="left"/>
            </w:pPr>
            <w:r>
              <w:rPr>
                <w:sz w:val="20"/>
              </w:rPr>
              <w:t xml:space="preserve">Health estimation without cross-cell fitting</w:t>
            </w:r>
          </w:p>
        </w:tc>
        <w:tc>
          <w:tcPr/>
          <w:p>
            <w:pPr>
              <w:pStyle w:val="Compact"/>
              <w:spacing w:after="40" w:line="240" w:lineRule="auto"/>
              <w:jc w:val="left"/>
            </w:pPr>
            <w:r>
              <w:rPr>
                <w:sz w:val="20"/>
              </w:rPr>
              <w:t xml:space="preserve">Window estimator with ohmic correction (Chapter 3)</w:t>
            </w:r>
          </w:p>
        </w:tc>
      </w:tr>
      <w:tr>
        <w:tc>
          <w:tcPr/>
          <w:p>
            <w:pPr>
              <w:pStyle w:val="Compact"/>
              <w:spacing w:after="40" w:line="240" w:lineRule="auto"/>
              <w:jc w:val="left"/>
            </w:pPr>
            <w:r>
              <w:rPr>
                <w:sz w:val="20"/>
              </w:rPr>
              <w:t xml:space="preserve">Refusal when evidence is missing or inconsistent</w:t>
            </w:r>
          </w:p>
        </w:tc>
        <w:tc>
          <w:tcPr/>
          <w:p>
            <w:pPr>
              <w:pStyle w:val="Compact"/>
              <w:spacing w:after="40" w:line="240" w:lineRule="auto"/>
              <w:jc w:val="left"/>
            </w:pPr>
            <w:r>
              <w:rPr>
                <w:sz w:val="20"/>
              </w:rPr>
              <w:t xml:space="preserve">Refusal gates and evidence sufficiency (Chapters 3 and 4)</w:t>
            </w:r>
          </w:p>
        </w:tc>
      </w:tr>
      <w:tr>
        <w:tc>
          <w:tcPr/>
          <w:p>
            <w:pPr>
              <w:pStyle w:val="Compact"/>
              <w:spacing w:after="40" w:line="240" w:lineRule="auto"/>
              <w:jc w:val="left"/>
            </w:pPr>
            <w:r>
              <w:rPr>
                <w:sz w:val="20"/>
              </w:rPr>
              <w:t xml:space="preserve">Agreement of CAN, serial and file sources</w:t>
            </w:r>
          </w:p>
        </w:tc>
        <w:tc>
          <w:tcPr/>
          <w:p>
            <w:pPr>
              <w:pStyle w:val="Compact"/>
              <w:spacing w:after="40" w:line="240" w:lineRule="auto"/>
              <w:jc w:val="left"/>
            </w:pPr>
            <w:r>
              <w:rPr>
                <w:sz w:val="20"/>
              </w:rPr>
              <w:t xml:space="preserve">Unified frame and single scoring function (Chapter 4)</w:t>
            </w:r>
          </w:p>
        </w:tc>
      </w:tr>
      <w:tr>
        <w:tc>
          <w:tcPr/>
          <w:p>
            <w:pPr>
              <w:pStyle w:val="Compact"/>
              <w:spacing w:after="40" w:line="240" w:lineRule="auto"/>
              <w:jc w:val="left"/>
            </w:pPr>
            <w:r>
              <w:rPr>
                <w:sz w:val="20"/>
              </w:rPr>
              <w:t xml:space="preserve">Provenance of displayed values</w:t>
            </w:r>
          </w:p>
        </w:tc>
        <w:tc>
          <w:tcPr/>
          <w:p>
            <w:pPr>
              <w:pStyle w:val="Compact"/>
              <w:spacing w:after="40" w:line="240" w:lineRule="auto"/>
              <w:jc w:val="left"/>
            </w:pPr>
            <w:r>
              <w:rPr>
                <w:sz w:val="20"/>
              </w:rPr>
              <w:t xml:space="preserve">Dashboard that renders computed values only (Chapter 4)</w:t>
            </w:r>
          </w:p>
        </w:tc>
      </w:tr>
    </w:tbl>
    <w:bookmarkEnd w:id="50"/>
    <w:bookmarkStart w:id="51" w:name="summary"/>
    <w:p>
      <w:pPr>
        <w:pStyle w:val="Heading2"/>
      </w:pP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51"/>
    <w:bookmarkEnd w:id="52"/>
    <w:bookmarkStart w:id="85" w:name="methodology-system-design"/>
    <w:p>
      <w:pPr>
        <w:pStyle w:val="Heading1"/>
      </w:pP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54" w:name="problem-and-design-objective"/>
    <w:p>
      <w:pPr>
        <w:pStyle w:val="Heading2"/>
      </w:pP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4"/>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4"/>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53" w:name="research-variables"/>
    <w:p>
      <w:pPr>
        <w:pStyle w:val="Heading3"/>
      </w:pPr>
      <w:r>
        <w:t xml:space="preserve">Research Variables</w:t>
      </w:r>
    </w:p>
    <w:p>
      <w:pPr>
        <w:numPr>
          <w:ilvl w:val="0"/>
          <w:numId w:val="1005"/>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5"/>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5"/>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53"/>
    <w:bookmarkEnd w:id="54"/>
    <w:bookmarkStart w:id="55" w:name="system-requirements"/>
    <w:p>
      <w:pPr>
        <w:pStyle w:val="Heading2"/>
      </w:pPr>
      <w:r>
        <w:t>SYSTEM REQUIREMENTS</w:t>
      </w:r>
    </w:p>
    <w:p>
      <w:pPr>
        <w:pStyle w:val="FirstParagraph"/>
      </w:pPr>
      <w:r>
        <w:t xml:space="preserve">The requirements below were fixed before the implementation and are the basis on which the results of Chapter 5 are judged. Table 3.1 lists them.</w:t>
      </w:r>
    </w:p>
    <w:p>
      <w:pPr>
        <w:pStyle w:val="TableCaption"/>
      </w:pPr>
      <w:r>
        <w:t xml:space="preserve">Table 3.1: Functional and Non-Functional Requirements</w:t>
      </w:r>
    </w:p>
    <w:tbl>
      <w:tblPr>
        <w:tblStyle w:val="Table"/>
        <w:tblW w:type="pct" w:w="3850"/>
        <w:tblLook w:firstRow="1" w:lastRow="0" w:firstColumn="0" w:lastColumn="0" w:noHBand="0" w:noVBand="0" w:val="0020"/>
        <w:jc w:val="start"/>
        <w:tblCaption w:val="Table 3.1: Functional and Non-Functional Requirements"/>
        <w:tblBorders>
          <w:top w:val="single" w:sz="4" w:color="000000"/>
          <w:left w:val="single" w:sz="4" w:color="000000"/>
          <w:bottom w:val="single" w:sz="4" w:color="000000"/>
          <w:right w:val="single" w:sz="4" w:color="000000"/>
          <w:insideH w:val="single" w:sz="4" w:color="000000"/>
          <w:insideV w:val="single" w:sz="4" w:color="000000"/>
        </w:tblBorders>
      </w:tblPr>
      <w:tblGrid>
        <w:gridCol w:w="554"/>
        <w:gridCol w:w="3960"/>
        <w:gridCol w:w="1584"/>
      </w:tblGrid>
      <w:tr>
        <w:trPr>
          <w:tblHeader w:val="true"/>
        </w:trPr>
        <w:tc>
          <w:tcPr/>
          <w:p>
            <w:pPr>
              <w:pStyle w:val="Compact"/>
              <w:spacing w:after="40" w:line="240" w:lineRule="auto"/>
              <w:jc w:val="left"/>
            </w:pPr>
            <w:r>
              <w:rPr>
                <w:bCs/>
                <w:b/>
                <w:sz w:val="20"/>
              </w:rPr>
              <w:t xml:space="preserve">ID</w:t>
            </w:r>
          </w:p>
        </w:tc>
        <w:tc>
          <w:tcPr/>
          <w:p>
            <w:pPr>
              <w:pStyle w:val="Compact"/>
              <w:spacing w:after="40" w:line="240" w:lineRule="auto"/>
              <w:jc w:val="left"/>
            </w:pPr>
            <w:r>
              <w:rPr>
                <w:bCs/>
                <w:b/>
                <w:sz w:val="20"/>
              </w:rPr>
              <w:t xml:space="preserve">Requirement</w:t>
            </w:r>
          </w:p>
        </w:tc>
        <w:tc>
          <w:tcPr/>
          <w:p>
            <w:pPr>
              <w:pStyle w:val="Compact"/>
              <w:spacing w:after="40" w:line="240" w:lineRule="auto"/>
              <w:jc w:val="left"/>
            </w:pPr>
            <w:r>
              <w:rPr>
                <w:bCs/>
                <w:b/>
                <w:sz w:val="20"/>
              </w:rPr>
              <w:t xml:space="preserve">Type</w:t>
            </w:r>
          </w:p>
        </w:tc>
      </w:tr>
      <w:tr>
        <w:tc>
          <w:tcPr/>
          <w:p>
            <w:pPr>
              <w:pStyle w:val="Compact"/>
              <w:spacing w:after="40" w:line="240" w:lineRule="auto"/>
              <w:jc w:val="left"/>
            </w:pPr>
            <w:r>
              <w:rPr>
                <w:sz w:val="20"/>
              </w:rPr>
              <w:t xml:space="preserve">R1</w:t>
            </w:r>
          </w:p>
        </w:tc>
        <w:tc>
          <w:tcPr/>
          <w:p>
            <w:pPr>
              <w:pStyle w:val="Compact"/>
              <w:spacing w:after="40" w:line="240" w:lineRule="auto"/>
              <w:jc w:val="left"/>
            </w:pPr>
            <w:r>
              <w:rPr>
                <w:sz w:val="20"/>
              </w:rPr>
              <w:t xml:space="preserve">Accept telemetry from a CAN bus, a serial rig and dataset files</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R2</w:t>
            </w:r>
          </w:p>
        </w:tc>
        <w:tc>
          <w:tcPr/>
          <w:p>
            <w:pPr>
              <w:pStyle w:val="Compact"/>
              <w:spacing w:after="40" w:line="240" w:lineRule="auto"/>
              <w:jc w:val="left"/>
            </w:pPr>
            <w:r>
              <w:rPr>
                <w:sz w:val="20"/>
              </w:rPr>
              <w:t xml:space="preserve">Convert every source to one schema with documented units and sign convention</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R3</w:t>
            </w:r>
          </w:p>
        </w:tc>
        <w:tc>
          <w:tcPr/>
          <w:p>
            <w:pPr>
              <w:pStyle w:val="Compact"/>
              <w:spacing w:after="40" w:line="240" w:lineRule="auto"/>
              <w:jc w:val="left"/>
            </w:pPr>
            <w:r>
              <w:rPr>
                <w:sz w:val="20"/>
              </w:rPr>
              <w:t xml:space="preserve">Estimate SOH, resistance and RUL from voltage, current and time</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R4</w:t>
            </w:r>
          </w:p>
        </w:tc>
        <w:tc>
          <w:tcPr/>
          <w:p>
            <w:pPr>
              <w:pStyle w:val="Compact"/>
              <w:spacing w:after="40" w:line="240" w:lineRule="auto"/>
              <w:jc w:val="left"/>
            </w:pPr>
            <w:r>
              <w:rPr>
                <w:sz w:val="20"/>
              </w:rPr>
              <w:t xml:space="preserve">Refuse, with a stated reason, when the evidence is insufficient</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R5</w:t>
            </w:r>
          </w:p>
        </w:tc>
        <w:tc>
          <w:tcPr/>
          <w:p>
            <w:pPr>
              <w:pStyle w:val="Compact"/>
              <w:spacing w:after="40" w:line="240" w:lineRule="auto"/>
              <w:jc w:val="left"/>
            </w:pPr>
            <w:r>
              <w:rPr>
                <w:sz w:val="20"/>
              </w:rPr>
              <w:t xml:space="preserve">Serve all results over an HTTP API and a web dashboard</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R6</w:t>
            </w:r>
          </w:p>
        </w:tc>
        <w:tc>
          <w:tcPr/>
          <w:p>
            <w:pPr>
              <w:pStyle w:val="Compact"/>
              <w:spacing w:after="40" w:line="240" w:lineRule="auto"/>
              <w:jc w:val="left"/>
            </w:pPr>
            <w:r>
              <w:rPr>
                <w:sz w:val="20"/>
              </w:rPr>
              <w:t xml:space="preserve">Fit no model across cells for the shipped estimators</w:t>
            </w:r>
          </w:p>
        </w:tc>
        <w:tc>
          <w:tcPr/>
          <w:p>
            <w:pPr>
              <w:pStyle w:val="Compact"/>
              <w:spacing w:after="40" w:line="240" w:lineRule="auto"/>
              <w:jc w:val="left"/>
            </w:pPr>
            <w:r>
              <w:rPr>
                <w:sz w:val="20"/>
              </w:rPr>
              <w:t xml:space="preserve">Design constraint</w:t>
            </w:r>
          </w:p>
        </w:tc>
      </w:tr>
      <w:tr>
        <w:tc>
          <w:tcPr/>
          <w:p>
            <w:pPr>
              <w:pStyle w:val="Compact"/>
              <w:spacing w:after="40" w:line="240" w:lineRule="auto"/>
              <w:jc w:val="left"/>
            </w:pPr>
            <w:r>
              <w:rPr>
                <w:sz w:val="20"/>
              </w:rPr>
              <w:t xml:space="preserve">R7</w:t>
            </w:r>
          </w:p>
        </w:tc>
        <w:tc>
          <w:tcPr/>
          <w:p>
            <w:pPr>
              <w:pStyle w:val="Compact"/>
              <w:spacing w:after="40" w:line="240" w:lineRule="auto"/>
              <w:jc w:val="left"/>
            </w:pPr>
            <w:r>
              <w:rPr>
                <w:sz w:val="20"/>
              </w:rPr>
              <w:t xml:space="preserve">Show the provenance of every displayed value</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R8</w:t>
            </w:r>
          </w:p>
        </w:tc>
        <w:tc>
          <w:tcPr/>
          <w:p>
            <w:pPr>
              <w:pStyle w:val="Compact"/>
              <w:spacing w:after="40" w:line="240" w:lineRule="auto"/>
              <w:jc w:val="left"/>
            </w:pPr>
            <w:r>
              <w:rPr>
                <w:sz w:val="20"/>
              </w:rPr>
              <w:t xml:space="preserve">Run end to end from a clean checkout with one command each for tests and results</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R9</w:t>
            </w:r>
          </w:p>
        </w:tc>
        <w:tc>
          <w:tcPr/>
          <w:p>
            <w:pPr>
              <w:pStyle w:val="Compact"/>
              <w:spacing w:after="40" w:line="240" w:lineRule="auto"/>
              <w:jc w:val="left"/>
            </w:pPr>
            <w:r>
              <w:rPr>
                <w:sz w:val="20"/>
              </w:rPr>
              <w:t xml:space="preserve">Need no external service or physical hardware in continuous integration</w:t>
            </w:r>
          </w:p>
        </w:tc>
        <w:tc>
          <w:tcPr/>
          <w:p>
            <w:pPr>
              <w:pStyle w:val="Compact"/>
              <w:spacing w:after="40" w:line="240" w:lineRule="auto"/>
              <w:jc w:val="left"/>
            </w:pPr>
            <w:r>
              <w:rPr>
                <w:sz w:val="20"/>
              </w:rPr>
              <w:t xml:space="preserve">Non-functional</w:t>
            </w:r>
          </w:p>
        </w:tc>
      </w:tr>
    </w:tbl>
    <w:bookmarkEnd w:id="55"/>
    <w:bookmarkStart w:id="56" w:name="assumptions-and-constraints"/>
    <w:p>
      <w:pPr>
        <w:pStyle w:val="Heading2"/>
      </w:pPr>
      <w:r>
        <w:t>ASSUMPTIONS AND CONSTRAINTS</w:t>
      </w:r>
    </w:p>
    <w:p>
      <w:pPr>
        <w:pStyle w:val="FirstParagraph"/>
      </w:pPr>
      <w:r>
        <w:t xml:space="preserve">The design rests on a small number of explicit assumptions. Telemetry is sampled at a known and reasonably uniform rate, so that charge can be obtained by integrating current over time. The current sign convention of each source is known and is corrected in the loader. A cell’s own early discharges are representative of its undegraded state, which is why the reference is taken from them when the rated capacity is not declared. The service is a local bench and analysis tool: it binds to the loopback address by default, has no authentication and keeps its state in memory. These constraints are recorded because several of the results and several of the design choices follow from them.</w:t>
      </w:r>
    </w:p>
    <w:bookmarkEnd w:id="56"/>
    <w:bookmarkStart w:id="61" w:name="overall-system-framework"/>
    <w:p>
      <w:pPr>
        <w:pStyle w:val="Heading2"/>
      </w:pP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58" name="Picture"/>
            <a:graphic>
              <a:graphicData uri="http://schemas.openxmlformats.org/drawingml/2006/picture">
                <pic:pic>
                  <pic:nvPicPr>
                    <pic:cNvPr descr="fig/t1.png" id="59" name="Picture"/>
                    <pic:cNvPicPr>
                      <a:picLocks noChangeArrowheads="1" noChangeAspect="1"/>
                    </pic:cNvPicPr>
                  </pic:nvPicPr>
                  <pic:blipFill>
                    <a:blip r:embed="rId57"/>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60" w:name="single-shared-scoring-path"/>
    <w:p>
      <w:pPr>
        <w:pStyle w:val="Heading3"/>
      </w:pPr>
      <w:r>
        <w:t xml:space="preserve">Single Shared Scoring Path</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60"/>
    <w:bookmarkEnd w:id="61"/>
    <w:bookmarkStart w:id="62" w:name="datasets"/>
    <w:p>
      <w:pPr>
        <w:pStyle w:val="Heading2"/>
      </w:pPr>
      <w:r>
        <w:t>DATASETS</w:t>
      </w:r>
    </w:p>
    <w:p>
      <w:pPr>
        <w:pStyle w:val="FirstParagraph"/>
      </w:pPr>
      <w:r>
        <w:t xml:space="preserve">Four sources are used (Table 3.2). They were chosen because they differ in chemistry, format, temperature and protocol.</w:t>
      </w:r>
    </w:p>
    <w:p>
      <w:pPr>
        <w:pStyle w:val="TableCaption"/>
      </w:pPr>
      <w:r>
        <w:t xml:space="preserve">Table 3.2: Data Sources and Their Role</w:t>
      </w:r>
    </w:p>
    <w:tbl>
      <w:tblPr>
        <w:tblStyle w:val="Table"/>
        <w:tblW w:type="pct" w:w="4400"/>
        <w:tblLook w:firstRow="1" w:lastRow="0" w:firstColumn="0" w:lastColumn="0" w:noHBand="0" w:noVBand="0" w:val="0020"/>
        <w:jc w:val="start"/>
        <w:tblCaption w:val="Table 3.2: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in the two real captures (83 and 85 records)</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62"/>
    <w:bookmarkStart w:id="65" w:name="unified-telemetry-schema"/>
    <w:p>
      <w:pPr>
        <w:pStyle w:val="Heading2"/>
      </w:pPr>
      <w:r>
        <w:t>UNIFIED TELEMETRY SCHEMA</w:t>
      </w:r>
    </w:p>
    <w:p>
      <w:pPr>
        <w:pStyle w:val="FirstParagraph"/>
      </w:pPr>
      <w:r>
        <w:t xml:space="preserve">Public datasets, vehicle frames and a serial rig describe the same measurements with different names, units and missing-value conventions, so every source is converted into one schema before any feature is computed. Table 3.3 lists the core columns.</w:t>
      </w:r>
    </w:p>
    <w:p>
      <w:pPr>
        <w:pStyle w:val="TableCaption"/>
      </w:pPr>
      <w:r>
        <w:t xml:space="preserve">Table 3.3: Core Columns of the Unified Schema</w:t>
      </w:r>
    </w:p>
    <w:tbl>
      <w:tblPr>
        <w:tblStyle w:val="Table"/>
        <w:tblW w:type="pct" w:w="3850"/>
        <w:tblLook w:firstRow="1" w:lastRow="0" w:firstColumn="0" w:lastColumn="0" w:noHBand="0" w:noVBand="0" w:val="0020"/>
        <w:jc w:val="start"/>
        <w:tblCaption w:val="Table 3.3: Core Columns of the Unified Schema"/>
        <w:tblBorders>
          <w:top w:val="single" w:sz="4" w:color="000000"/>
          <w:left w:val="single" w:sz="4" w:color="000000"/>
          <w:bottom w:val="single" w:sz="4" w:color="000000"/>
          <w:right w:val="single" w:sz="4" w:color="000000"/>
          <w:insideH w:val="single" w:sz="4" w:color="000000"/>
          <w:insideV w:val="single" w:sz="4" w:color="000000"/>
        </w:tblBorders>
      </w:tblPr>
      <w:tblGrid>
        <w:gridCol w:w="1900"/>
        <w:gridCol w:w="633"/>
        <w:gridCol w:w="1346"/>
        <w:gridCol w:w="2217"/>
      </w:tblGrid>
      <w:tr>
        <w:trPr>
          <w:tblHeader w:val="true"/>
        </w:trPr>
        <w:tc>
          <w:tcPr/>
          <w:p>
            <w:pPr>
              <w:pStyle w:val="Compact"/>
              <w:spacing w:after="40" w:line="240" w:lineRule="auto"/>
              <w:jc w:val="left"/>
            </w:pPr>
            <w:r>
              <w:rPr>
                <w:bCs/>
                <w:b/>
                <w:sz w:val="20"/>
              </w:rPr>
              <w:t xml:space="preserve">Column</w:t>
            </w:r>
          </w:p>
        </w:tc>
        <w:tc>
          <w:tcPr/>
          <w:p>
            <w:pPr>
              <w:pStyle w:val="Compact"/>
              <w:spacing w:after="40" w:line="240" w:lineRule="auto"/>
              <w:jc w:val="left"/>
            </w:pPr>
            <w:r>
              <w:rPr>
                <w:bCs/>
                <w:b/>
                <w:sz w:val="20"/>
              </w:rPr>
              <w:t xml:space="preserve">Unit</w:t>
            </w:r>
          </w:p>
        </w:tc>
        <w:tc>
          <w:tcPr/>
          <w:p>
            <w:pPr>
              <w:pStyle w:val="Compact"/>
              <w:spacing w:after="40" w:line="240" w:lineRule="auto"/>
              <w:jc w:val="left"/>
            </w:pPr>
            <w:r>
              <w:rPr>
                <w:bCs/>
                <w:b/>
                <w:sz w:val="20"/>
              </w:rPr>
              <w:t xml:space="preserve">Required</w:t>
            </w:r>
          </w:p>
        </w:tc>
        <w:tc>
          <w:tcPr/>
          <w:p>
            <w:pPr>
              <w:pStyle w:val="Compact"/>
              <w:spacing w:after="40" w:line="240" w:lineRule="auto"/>
              <w:jc w:val="left"/>
            </w:pPr>
            <w:r>
              <w:rPr>
                <w:bCs/>
                <w:b/>
                <w:sz w:val="20"/>
              </w:rPr>
              <w:t xml:space="preserve">Description</w:t>
            </w:r>
          </w:p>
        </w:tc>
      </w:tr>
      <w:tr>
        <w:tc>
          <w:tcPr/>
          <w:p>
            <w:pPr>
              <w:pStyle w:val="Compact"/>
              <w:spacing w:after="40" w:line="240" w:lineRule="auto"/>
              <w:jc w:val="left"/>
            </w:pPr>
            <w:r>
              <w:rPr>
                <w:rStyle w:val="VerbatimChar"/>
                <w:sz w:val="20"/>
              </w:rPr>
              <w:t xml:space="preserve">dataset</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Source dataset name</w:t>
            </w:r>
          </w:p>
        </w:tc>
      </w:tr>
      <w:tr>
        <w:tc>
          <w:tcPr/>
          <w:p>
            <w:pPr>
              <w:pStyle w:val="Compact"/>
              <w:spacing w:after="40" w:line="240" w:lineRule="auto"/>
              <w:jc w:val="left"/>
            </w:pPr>
            <w:r>
              <w:rPr>
                <w:rStyle w:val="VerbatimChar"/>
                <w:sz w:val="20"/>
              </w:rPr>
              <w:t xml:space="preserve">cell_id</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Cell, module or vehicle identifier</w:t>
            </w:r>
          </w:p>
        </w:tc>
      </w:tr>
      <w:tr>
        <w:tc>
          <w:tcPr/>
          <w:p>
            <w:pPr>
              <w:pStyle w:val="Compact"/>
              <w:spacing w:after="40" w:line="240" w:lineRule="auto"/>
              <w:jc w:val="left"/>
            </w:pPr>
            <w:r>
              <w:rPr>
                <w:rStyle w:val="VerbatimChar"/>
                <w:sz w:val="20"/>
              </w:rPr>
              <w:t xml:space="preserve">cycle</w:t>
            </w:r>
            <w:r>
              <w:rPr>
                <w:sz w:val="20"/>
              </w:rPr>
              <w:t xml:space="preserve"> </w:t>
            </w:r>
            <w:r>
              <w:rPr>
                <w:sz w:val="20"/>
              </w:rPr>
              <w:t xml:space="preserve">or</w:t>
            </w:r>
            <w:r>
              <w:rPr>
                <w:sz w:val="20"/>
              </w:rPr>
              <w:t xml:space="preserve"> </w:t>
            </w:r>
            <w:r>
              <w:rPr>
                <w:rStyle w:val="VerbatimChar"/>
                <w:sz w:val="20"/>
              </w:rPr>
              <w:t xml:space="preserve">timestamp</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One of two</w:t>
            </w:r>
          </w:p>
        </w:tc>
        <w:tc>
          <w:tcPr/>
          <w:p>
            <w:pPr>
              <w:pStyle w:val="Compact"/>
              <w:spacing w:after="40" w:line="240" w:lineRule="auto"/>
              <w:jc w:val="left"/>
            </w:pPr>
            <w:r>
              <w:rPr>
                <w:sz w:val="20"/>
              </w:rPr>
              <w:t xml:space="preserve">Ordering of the samples</w:t>
            </w:r>
          </w:p>
        </w:tc>
      </w:tr>
      <w:tr>
        <w:tc>
          <w:tcPr/>
          <w:p>
            <w:pPr>
              <w:pStyle w:val="Compact"/>
              <w:spacing w:after="40" w:line="240" w:lineRule="auto"/>
              <w:jc w:val="left"/>
            </w:pPr>
            <w:r>
              <w:rPr>
                <w:rStyle w:val="VerbatimChar"/>
                <w:sz w:val="20"/>
              </w:rPr>
              <w:t xml:space="preserve">voltage_v</w:t>
            </w:r>
          </w:p>
        </w:tc>
        <w:tc>
          <w:tcPr/>
          <w:p>
            <w:pPr>
              <w:pStyle w:val="Compact"/>
              <w:spacing w:after="40" w:line="240" w:lineRule="auto"/>
              <w:jc w:val="left"/>
            </w:pPr>
            <w:r>
              <w:rPr>
                <w:sz w:val="20"/>
              </w:rPr>
              <w:t xml:space="preserve">V</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Terminal voltage</w:t>
            </w:r>
          </w:p>
        </w:tc>
      </w:tr>
      <w:tr>
        <w:tc>
          <w:tcPr/>
          <w:p>
            <w:pPr>
              <w:pStyle w:val="Compact"/>
              <w:spacing w:after="40" w:line="240" w:lineRule="auto"/>
              <w:jc w:val="left"/>
            </w:pPr>
            <w:r>
              <w:rPr>
                <w:rStyle w:val="VerbatimChar"/>
                <w:sz w:val="20"/>
              </w:rPr>
              <w:t xml:space="preserve">current_a</w:t>
            </w:r>
          </w:p>
        </w:tc>
        <w:tc>
          <w:tcPr/>
          <w:p>
            <w:pPr>
              <w:pStyle w:val="Compact"/>
              <w:spacing w:after="40" w:line="240" w:lineRule="auto"/>
              <w:jc w:val="left"/>
            </w:pPr>
            <w:r>
              <w:rPr>
                <w:sz w:val="20"/>
              </w:rPr>
              <w:t xml:space="preserve">A</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Current with a documented sign</w:t>
            </w:r>
          </w:p>
        </w:tc>
      </w:tr>
      <w:tr>
        <w:tc>
          <w:tcPr/>
          <w:p>
            <w:pPr>
              <w:pStyle w:val="Compact"/>
              <w:spacing w:after="40" w:line="240" w:lineRule="auto"/>
              <w:jc w:val="left"/>
            </w:pPr>
            <w:r>
              <w:rPr>
                <w:rStyle w:val="VerbatimChar"/>
                <w:sz w:val="20"/>
              </w:rPr>
              <w:t xml:space="preserve">temperature_c</w:t>
            </w:r>
          </w:p>
        </w:tc>
        <w:tc>
          <w:tcPr/>
          <w:p>
            <w:pPr>
              <w:pStyle w:val="Compact"/>
              <w:spacing w:after="40" w:line="240" w:lineRule="auto"/>
              <w:jc w:val="left"/>
            </w:pP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Battery temperature</w:t>
            </w:r>
          </w:p>
        </w:tc>
      </w:tr>
      <w:tr>
        <w:tc>
          <w:tcPr/>
          <w:p>
            <w:pPr>
              <w:pStyle w:val="Compact"/>
              <w:spacing w:after="40" w:line="240" w:lineRule="auto"/>
              <w:jc w:val="left"/>
            </w:pPr>
            <w:r>
              <w:rPr>
                <w:rStyle w:val="VerbatimChar"/>
                <w:sz w:val="20"/>
              </w:rPr>
              <w:t xml:space="preserve">capacity_ah</w:t>
            </w:r>
          </w:p>
        </w:tc>
        <w:tc>
          <w:tcPr/>
          <w:p>
            <w:pPr>
              <w:pStyle w:val="Compact"/>
              <w:spacing w:after="40" w:line="240" w:lineRule="auto"/>
              <w:jc w:val="left"/>
            </w:pPr>
            <w:r>
              <w:rPr>
                <w:sz w:val="20"/>
              </w:rPr>
              <w:t xml:space="preserve">Ah</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Measured capacity</w:t>
            </w:r>
          </w:p>
        </w:tc>
      </w:tr>
      <w:tr>
        <w:tc>
          <w:tcPr/>
          <w:p>
            <w:pPr>
              <w:pStyle w:val="Compact"/>
              <w:spacing w:after="40" w:line="240" w:lineRule="auto"/>
              <w:jc w:val="left"/>
            </w:pPr>
            <w:r>
              <w:rPr>
                <w:rStyle w:val="VerbatimChar"/>
                <w:sz w:val="20"/>
              </w:rPr>
              <w:t xml:space="preserve">soc</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State of charge, 0–100</w:t>
            </w:r>
          </w:p>
        </w:tc>
      </w:tr>
      <w:tr>
        <w:tc>
          <w:tcPr/>
          <w:p>
            <w:pPr>
              <w:pStyle w:val="Compact"/>
              <w:spacing w:after="40" w:line="240" w:lineRule="auto"/>
              <w:jc w:val="left"/>
            </w:pPr>
            <w:r>
              <w:rPr>
                <w:rStyle w:val="VerbatimChar"/>
                <w:sz w:val="20"/>
              </w:rPr>
              <w:t xml:space="preserve">resistance_ohm</w:t>
            </w:r>
          </w:p>
        </w:tc>
        <w:tc>
          <w:tcPr/>
          <w:p>
            <w:pPr>
              <w:pStyle w:val="Compact"/>
              <w:spacing w:after="40" w:line="240" w:lineRule="auto"/>
              <w:jc w:val="left"/>
            </w:pPr>
            <m:oMath>
              <m:r>
                <m:t>Ω</m:t>
              </m:r>
            </m:oMath>
          </w:p>
        </w:tc>
        <w:tc>
          <w:tcPr/>
          <w:p>
            <w:pPr>
              <w:pStyle w:val="Compact"/>
              <w:spacing w:after="40" w:line="240" w:lineRule="auto"/>
              <w:jc w:val="left"/>
            </w:pPr>
            <w:r>
              <w:rPr>
                <w:sz w:val="20"/>
              </w:rPr>
              <w:t xml:space="preserve">Optional</w:t>
            </w:r>
          </w:p>
        </w:tc>
        <w:tc>
          <w:tcPr/>
          <w:p>
            <w:pPr>
              <w:pStyle w:val="Compact"/>
              <w:spacing w:after="40" w:line="240" w:lineRule="auto"/>
              <w:jc w:val="left"/>
            </w:pPr>
            <w:r>
              <w:rPr>
                <w:sz w:val="20"/>
              </w:rPr>
              <w:t xml:space="preserve">Internal resistance if available</w:t>
            </w:r>
          </w:p>
        </w:tc>
      </w:tr>
    </w:tbl>
    <w:bookmarkStart w:id="63" w:name="derived-fields"/>
    <w:p>
      <w:pPr>
        <w:pStyle w:val="Heading3"/>
      </w:pPr>
      <w:r>
        <w:t xml:space="preserve">Derived Fields</w:t>
      </w:r>
    </w:p>
    <w:p>
      <w:pPr>
        <w:pStyle w:val="FirstParagraph"/>
      </w:pPr>
      <w:r>
        <w:t xml:space="preserve">Three fields are derived from the core columns and regenerated after every preprocessing run. Power is the product of voltage and current. The operating mode is inferred from the current when the source does not give one: a current above</w:t>
      </w:r>
      <w:r>
        <w:t xml:space="preserve"> </w:t>
      </w:r>
      <m:oMath>
        <m:r>
          <m:rPr>
            <m:sty m:val="p"/>
          </m:rPr>
          <m:t>+</m:t>
        </m:r>
        <m:r>
          <m:t>0.02</m:t>
        </m:r>
      </m:oMath>
      <w:r>
        <w:t xml:space="preserve"> A is charge, below</w:t>
      </w:r>
      <w:r>
        <w:t xml:space="preserve"> </w:t>
      </w:r>
      <m:oMath>
        <m:r>
          <m:rPr>
            <m:sty m:val="p"/>
          </m:rPr>
          <m:t>−</m:t>
        </m:r>
        <m:r>
          <m:t>0.02</m:t>
        </m:r>
      </m:oMath>
      <w:r>
        <w:t xml:space="preserve"> A is discharge, and a current inside that band is rest. The state-of-charge band assigns each sample to one of four ranges, below 20% (deep-discharge region), 20 to 80% (preferred region), 80 to 90% (elevated) and 90% and above (high-state-of-charge region, where calendar ageing is greatest). These bands feed the behaviour layer of Section 3.15.</w:t>
      </w:r>
    </w:p>
    <w:bookmarkEnd w:id="63"/>
    <w:bookmarkStart w:id="64" w:name="validation-of-the-schema"/>
    <w:p>
      <w:pPr>
        <w:pStyle w:val="Heading3"/>
      </w:pPr>
      <w:r>
        <w:t xml:space="preserve">Validation of the Schema</w:t>
      </w:r>
    </w:p>
    <w:p>
      <w:pPr>
        <w:pStyle w:val="FirstParagraph"/>
      </w:pPr>
      <w:r>
        <w:t xml:space="preserve">After conversion the validator checks that the required columns exist and are not entirely empty, that numeric columns can be converted to numbers, that state of charge and state of health lie between 0 and 100 when present, that voltage, capacity and resistance are not negative, and that either a cycle or a timestamp exists. The validator reports each failure with its reason. For the CAN and serial paths, the stop for a missing channel is a separate signal-coverage check, which compares the channels a source provides with the channels the estimators need and refuses the run by name, as when a CAN message carries current and state of charge but no voltage or temperature. The serial frames do not carry a dataset name, so the required-column rule applies to the dataset loaders and not to the live telemetry paths.</w:t>
      </w:r>
    </w:p>
    <w:bookmarkEnd w:id="64"/>
    <w:bookmarkEnd w:id="65"/>
    <w:bookmarkStart w:id="66" w:name="data-flow-and-processing-sequence"/>
    <w:p>
      <w:pPr>
        <w:pStyle w:val="Heading2"/>
      </w:pPr>
      <w:r>
        <w:t>DATA FLOW AND PROCESSING SEQUENCE</w:t>
      </w:r>
    </w:p>
    <w:p>
      <w:pPr>
        <w:pStyle w:val="FirstParagraph"/>
      </w:pPr>
      <w:r>
        <w:t xml:space="preserve">Every source follows the same eight steps in the same order. The CAN and serial paths run them through the single function</w:t>
      </w:r>
      <w:r>
        <w:t xml:space="preserve"> </w:t>
      </w:r>
      <w:r>
        <w:rPr>
          <w:rStyle w:val="VerbatimChar"/>
        </w:rPr>
        <w:t xml:space="preserve">score_telemetry_frame</w:t>
      </w:r>
      <w:r>
        <w:t xml:space="preserve">, and the dataset studies run the same estimators through the study scripts and the batch pipeline.</w:t>
      </w:r>
    </w:p>
    <w:p>
      <w:pPr>
        <w:numPr>
          <w:ilvl w:val="0"/>
          <w:numId w:val="1006"/>
        </w:numPr>
      </w:pPr>
      <w:r>
        <w:rPr>
          <w:bCs/>
          <w:b/>
        </w:rPr>
        <w:t xml:space="preserve">Acquire.</w:t>
      </w:r>
      <w:r>
        <w:t xml:space="preserve"> </w:t>
      </w:r>
      <w:r>
        <w:t xml:space="preserve">Read frames from the bus, lines from the serial port or rows from a file.</w:t>
      </w:r>
    </w:p>
    <w:p>
      <w:pPr>
        <w:numPr>
          <w:ilvl w:val="0"/>
          <w:numId w:val="1006"/>
        </w:numPr>
      </w:pPr>
      <w:r>
        <w:rPr>
          <w:bCs/>
          <w:b/>
        </w:rPr>
        <w:t xml:space="preserve">Convert.</w:t>
      </w:r>
      <w:r>
        <w:t xml:space="preserve"> </w:t>
      </w:r>
      <w:r>
        <w:t xml:space="preserve">Decode signals or fields and convert to the units and sign convention of the schema.</w:t>
      </w:r>
    </w:p>
    <w:p>
      <w:pPr>
        <w:numPr>
          <w:ilvl w:val="0"/>
          <w:numId w:val="1006"/>
        </w:numPr>
      </w:pPr>
      <w:r>
        <w:rPr>
          <w:bCs/>
          <w:b/>
        </w:rPr>
        <w:t xml:space="preserve">Validate.</w:t>
      </w:r>
      <w:r>
        <w:t xml:space="preserve"> </w:t>
      </w:r>
      <w:r>
        <w:t xml:space="preserve">Apply the schema checks and the capture-level gates, and refuse the capture if they fail.</w:t>
      </w:r>
    </w:p>
    <w:p>
      <w:pPr>
        <w:numPr>
          <w:ilvl w:val="0"/>
          <w:numId w:val="1006"/>
        </w:numPr>
      </w:pPr>
      <w:r>
        <w:rPr>
          <w:bCs/>
          <w:b/>
        </w:rPr>
        <w:t xml:space="preserve">Segment.</w:t>
      </w:r>
      <w:r>
        <w:t xml:space="preserve"> </w:t>
      </w:r>
      <w:r>
        <w:t xml:space="preserve">Split the stream into discharges by current direction and by gaps in time.</w:t>
      </w:r>
    </w:p>
    <w:p>
      <w:pPr>
        <w:numPr>
          <w:ilvl w:val="0"/>
          <w:numId w:val="1006"/>
        </w:numPr>
      </w:pPr>
      <w:r>
        <w:rPr>
          <w:bCs/>
          <w:b/>
        </w:rPr>
        <w:t xml:space="preserve">Measure.</w:t>
      </w:r>
      <w:r>
        <w:t xml:space="preserve"> </w:t>
      </w:r>
      <w:r>
        <w:t xml:space="preserve">Integrate current to obtain charge between voltage thresholds, apply the ohmic correction and estimate SOH and resistance.</w:t>
      </w:r>
    </w:p>
    <w:p>
      <w:pPr>
        <w:numPr>
          <w:ilvl w:val="0"/>
          <w:numId w:val="1006"/>
        </w:numPr>
      </w:pPr>
      <w:r>
        <w:rPr>
          <w:bCs/>
          <w:b/>
        </w:rPr>
        <w:t xml:space="preserve">Predict.</w:t>
      </w:r>
      <w:r>
        <w:t xml:space="preserve"> </w:t>
      </w:r>
      <w:r>
        <w:t xml:space="preserve">Extrapolate the cell’s own fade to the end-of-life threshold and attach an error band.</w:t>
      </w:r>
    </w:p>
    <w:p>
      <w:pPr>
        <w:numPr>
          <w:ilvl w:val="0"/>
          <w:numId w:val="1006"/>
        </w:numPr>
      </w:pPr>
      <w:r>
        <w:rPr>
          <w:bCs/>
          <w:b/>
        </w:rPr>
        <w:t xml:space="preserve">Score behaviour.</w:t>
      </w:r>
      <w:r>
        <w:t xml:space="preserve"> </w:t>
      </w:r>
      <w:r>
        <w:t xml:space="preserve">Compute the stress features, the risk score, the health index and the Guardian explanation.</w:t>
      </w:r>
    </w:p>
    <w:p>
      <w:pPr>
        <w:numPr>
          <w:ilvl w:val="0"/>
          <w:numId w:val="1006"/>
        </w:numPr>
      </w:pPr>
      <w:r>
        <w:rPr>
          <w:bCs/>
          <w:b/>
        </w:rPr>
        <w:t xml:space="preserve">Publish.</w:t>
      </w:r>
      <w:r>
        <w:t xml:space="preserve"> </w:t>
      </w:r>
      <w:r>
        <w:t xml:space="preserve">Update the twin and the fleet store, and serve the result with its evidence and its refusals.</w:t>
      </w:r>
    </w:p>
    <w:bookmarkEnd w:id="66"/>
    <w:bookmarkStart w:id="67" w:name="from-telemetry-to-discharges"/>
    <w:p>
      <w:pPr>
        <w:pStyle w:val="Heading2"/>
      </w:pP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in the CALCE studies, where rest is logged as exactly zero, and 0.5 A as the default of the live telemetry path)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67"/>
    <w:bookmarkStart w:id="71" w:name="voltage-window-state-of-health"/>
    <w:p>
      <w:pPr>
        <w:pStyle w:val="Heading2"/>
      </w:pP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69" name="Picture"/>
            <a:graphic>
              <a:graphicData uri="http://schemas.openxmlformats.org/drawingml/2006/picture">
                <pic:pic>
                  <pic:nvPicPr>
                    <pic:cNvPr descr="fig/t2.png" id="70" name="Picture"/>
                    <pic:cNvPicPr>
                      <a:picLocks noChangeArrowheads="1" noChangeAspect="1"/>
                    </pic:cNvPicPr>
                  </pic:nvPicPr>
                  <pic:blipFill>
                    <a:blip r:embed="rId68"/>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71"/>
    <w:bookmarkStart w:id="72" w:name="X67f8cf879d277e0ff2db2a9f13519561af31b7f"/>
    <w:p>
      <w:pPr>
        <w:pStyle w:val="Heading2"/>
      </w:pP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its starting value is about 0.141 </w:t>
      </w:r>
      <m:oMath>
        <m:r>
          <m:t>Ω</m:t>
        </m:r>
      </m:oMath>
      <w:r>
        <w:t xml:space="preserve"> </w:t>
      </w:r>
      <w:r>
        <w:t xml:space="preserve">against the cycler’s about 0.089 </w:t>
      </w:r>
      <m:oMath>
        <m:r>
          <m:t>Ω</m:t>
        </m:r>
      </m:oMath>
      <w:r>
        <w:t xml:space="preserve"> </w:t>
      </w:r>
      <w:r>
        <w:t xml:space="preserve">(reports/metrics/calce_resistance).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72"/>
    <w:bookmarkStart w:id="73" w:name="refusal-gates-and-data-quality-checks"/>
    <w:p>
      <w:pPr>
        <w:pStyle w:val="Heading2"/>
      </w:pPr>
      <w:r>
        <w:t>REFUSAL GATES AND DATA-QUALITY CHECKS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73"/>
    <w:bookmarkStart w:id="74" w:name="X9be91ae4fa273a332ad17744c752aa2ed01cc6c"/>
    <w:p>
      <w:pPr>
        <w:pStyle w:val="Heading2"/>
      </w:pPr>
      <w:r>
        <w:t>LEARNED VOLTAGE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74"/>
    <w:bookmarkStart w:id="75" w:name="Xc99766319ee8f161a0d064c08233fa4742a9ecf"/>
    <w:p>
      <w:pPr>
        <w:pStyle w:val="Heading2"/>
      </w:pPr>
      <w:r>
        <w:t>REMAINING USEFUL LIFE ESTIMATION FROM CELL-SPECIFIC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75"/>
    <w:bookmarkStart w:id="76" w:name="evidence-sufficiency"/>
    <w:p>
      <w:pPr>
        <w:pStyle w:val="Heading2"/>
      </w:pP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76"/>
    <w:bookmarkStart w:id="77" w:name="behaviour-scoring-layer-heuristic"/>
    <w:p>
      <w:pPr>
        <w:pStyle w:val="Heading2"/>
      </w:pP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3.4: Risk Categories of the Rule-Based Layer</w:t>
      </w:r>
    </w:p>
    <w:tbl>
      <w:tblPr>
        <w:tblStyle w:val="Table"/>
        <w:tblW w:type="pct" w:w="2500"/>
        <w:tblLook w:firstRow="1" w:lastRow="0" w:firstColumn="0" w:lastColumn="0" w:noHBand="0" w:noVBand="0" w:val="0020"/>
        <w:jc w:val="start"/>
        <w:tblCaption w:val="Table 3.4: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3.5: Health Index, Battery State and Digital-Twin State</w:t>
      </w:r>
    </w:p>
    <w:tbl>
      <w:tblPr>
        <w:tblStyle w:val="Table"/>
        <w:tblW w:type="pct" w:w="3600"/>
        <w:tblLook w:firstRow="1" w:lastRow="0" w:firstColumn="0" w:lastColumn="0" w:noHBand="0" w:noVBand="0" w:val="0020"/>
        <w:jc w:val="start"/>
        <w:tblCaption w:val="Table 3.5: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3.4 and 3.5).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from the earlier health-index ranking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77"/>
    <w:bookmarkStart w:id="78" w:name="digital-twin-state-model"/>
    <w:p>
      <w:pPr>
        <w:pStyle w:val="Heading2"/>
      </w:pPr>
      <w:r>
        <w:t>DIGITAL-TWIN STATE MODEL</w:t>
      </w:r>
    </w:p>
    <w:p>
      <w:pPr>
        <w:pStyle w:val="FirstParagraph"/>
      </w:pPr>
      <w:r>
        <w:t xml:space="preserve">The digital twin records, for each battery, a state derived from the health index of the latest run and the history of changes in that state. The state is a relabelling of the health index (Table 3.5), not a separately tuned threshold set, so any change to the health-index formula flows through to the twin without a second edit. A transition is recorded whenever the state of a battery differs from its state in the previous run, and a battery’s first observation counts as a transition from no state. Re-running an unchanged, identically seeded fleet therefore produces no new transitions, which is checked by a test. The failure likelihood the twin reports is a monotonic transform of the health index onto the interval from 0 to 1. It is named a likelihood and not a probability because it is not a calibrated statistical quantity.</w:t>
      </w:r>
    </w:p>
    <w:bookmarkEnd w:id="78"/>
    <w:bookmarkStart w:id="79" w:name="design-decisions"/>
    <w:p>
      <w:pPr>
        <w:pStyle w:val="Heading2"/>
      </w:pPr>
      <w:r>
        <w:t>DESIGN DECISIONS</w:t>
      </w:r>
    </w:p>
    <w:p>
      <w:pPr>
        <w:pStyle w:val="FirstParagraph"/>
      </w:pPr>
      <w:r>
        <w:t xml:space="preserve">Fourteen architecture decision records document the choices made during the project, with the context, the decision and its status; the table gives a short title for each. Table 3.6 lists them. Several record a claim that was withdrawn after a later measurement, and that history is kept in the repository and not rewritten.</w:t>
      </w:r>
    </w:p>
    <w:p>
      <w:pPr>
        <w:pStyle w:val="TableCaption"/>
      </w:pPr>
      <w:r>
        <w:t xml:space="preserve">Table 3.6: Architecture Decision Records</w:t>
      </w:r>
    </w:p>
    <w:tbl>
      <w:tblPr>
        <w:tblStyle w:val="Table"/>
        <w:tblW w:type="pct" w:w="4300"/>
        <w:tblLook w:firstRow="1" w:lastRow="0" w:firstColumn="0" w:lastColumn="0" w:noHBand="0" w:noVBand="0" w:val="0020"/>
        <w:jc w:val="start"/>
        <w:tblCaption w:val="Table 3.6: Architecture Decision Records"/>
        <w:tblBorders>
          <w:top w:val="single" w:sz="4" w:color="000000"/>
          <w:left w:val="single" w:sz="4" w:color="000000"/>
          <w:bottom w:val="single" w:sz="4" w:color="000000"/>
          <w:right w:val="single" w:sz="4" w:color="000000"/>
          <w:insideH w:val="single" w:sz="4" w:color="000000"/>
          <w:insideV w:val="single" w:sz="4" w:color="000000"/>
        </w:tblBorders>
      </w:tblPr>
      <w:tblGrid>
        <w:gridCol w:w="475"/>
        <w:gridCol w:w="6336"/>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Decision</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Cross-dataset validation is not possible; leave-one-cohort-out replaces it</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Health index version 1 stays the default; version 2 is exposed conditionally</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Exact Shapley attribution for the rule scores; SHAP only where it is the right tool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The dashboard renders only computed values</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The gate is the product, not the model</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Transfer targets are screened on commensurability, not availability</w:t>
            </w:r>
          </w:p>
        </w:tc>
      </w:tr>
      <w:tr>
        <w:tc>
          <w:tcPr/>
          <w:p>
            <w:pPr>
              <w:pStyle w:val="Compact"/>
              <w:spacing w:after="40" w:line="240" w:lineRule="auto"/>
              <w:jc w:val="left"/>
            </w:pPr>
            <w:r>
              <w:rPr>
                <w:sz w:val="20"/>
              </w:rPr>
              <w:t xml:space="preserve">7</w:t>
            </w:r>
          </w:p>
        </w:tc>
        <w:tc>
          <w:tcPr/>
          <w:p>
            <w:pPr>
              <w:pStyle w:val="Compact"/>
              <w:spacing w:after="40" w:line="240" w:lineRule="auto"/>
              <w:jc w:val="left"/>
            </w:pPr>
            <w:r>
              <w:rPr>
                <w:sz w:val="20"/>
              </w:rPr>
              <w:t xml:space="preserve">The target was the binding constraint, not the model</w:t>
            </w:r>
          </w:p>
        </w:tc>
      </w:tr>
      <w:tr>
        <w:tc>
          <w:tcPr/>
          <w:p>
            <w:pPr>
              <w:pStyle w:val="Compact"/>
              <w:spacing w:after="40" w:line="240" w:lineRule="auto"/>
              <w:jc w:val="left"/>
            </w:pPr>
            <w:r>
              <w:rPr>
                <w:sz w:val="20"/>
              </w:rPr>
              <w:t xml:space="preserve">8</w:t>
            </w:r>
          </w:p>
        </w:tc>
        <w:tc>
          <w:tcPr/>
          <w:p>
            <w:pPr>
              <w:pStyle w:val="Compact"/>
              <w:spacing w:after="40" w:line="240" w:lineRule="auto"/>
              <w:jc w:val="left"/>
            </w:pPr>
            <w:r>
              <w:rPr>
                <w:sz w:val="20"/>
              </w:rPr>
              <w:t xml:space="preserve">Model capacity buys within-protocol skill and spends it on transfer</w:t>
            </w:r>
          </w:p>
        </w:tc>
      </w:tr>
      <w:tr>
        <w:tc>
          <w:tcPr/>
          <w:p>
            <w:pPr>
              <w:pStyle w:val="Compact"/>
              <w:spacing w:after="40" w:line="240" w:lineRule="auto"/>
              <w:jc w:val="left"/>
            </w:pPr>
            <w:r>
              <w:rPr>
                <w:sz w:val="20"/>
              </w:rPr>
              <w:t xml:space="preserve">9</w:t>
            </w:r>
          </w:p>
        </w:tc>
        <w:tc>
          <w:tcPr/>
          <w:p>
            <w:pPr>
              <w:pStyle w:val="Compact"/>
              <w:spacing w:after="40" w:line="240" w:lineRule="auto"/>
              <w:jc w:val="left"/>
            </w:pPr>
            <w:r>
              <w:rPr>
                <w:sz w:val="20"/>
              </w:rPr>
              <w:t xml:space="preserve">The protocol-shift collapse replicates on CALCE, but its shape is dataset-specific</w:t>
            </w:r>
          </w:p>
        </w:tc>
      </w:tr>
      <w:tr>
        <w:tc>
          <w:tcPr/>
          <w:p>
            <w:pPr>
              <w:pStyle w:val="Compact"/>
              <w:spacing w:after="40" w:line="240" w:lineRule="auto"/>
              <w:jc w:val="left"/>
            </w:pPr>
            <w:r>
              <w:rPr>
                <w:sz w:val="20"/>
              </w:rPr>
              <w:t xml:space="preserve">10</w:t>
            </w:r>
          </w:p>
        </w:tc>
        <w:tc>
          <w:tcPr/>
          <w:p>
            <w:pPr>
              <w:pStyle w:val="Compact"/>
              <w:spacing w:after="40" w:line="240" w:lineRule="auto"/>
              <w:jc w:val="left"/>
            </w:pPr>
            <w:r>
              <w:rPr>
                <w:sz w:val="20"/>
              </w:rPr>
              <w:t xml:space="preserve">The leave-one-cohort-out estimate is noisier than the effect it is used to measure</w:t>
            </w:r>
          </w:p>
        </w:tc>
      </w:tr>
      <w:tr>
        <w:tc>
          <w:tcPr/>
          <w:p>
            <w:pPr>
              <w:pStyle w:val="Compact"/>
              <w:spacing w:after="40" w:line="240" w:lineRule="auto"/>
              <w:jc w:val="left"/>
            </w:pPr>
            <w:r>
              <w:rPr>
                <w:sz w:val="20"/>
              </w:rPr>
              <w:t xml:space="preserve">11</w:t>
            </w:r>
          </w:p>
        </w:tc>
        <w:tc>
          <w:tcPr/>
          <w:p>
            <w:pPr>
              <w:pStyle w:val="Compact"/>
              <w:spacing w:after="40" w:line="240" w:lineRule="auto"/>
              <w:jc w:val="left"/>
            </w:pPr>
            <w:r>
              <w:rPr>
                <w:sz w:val="20"/>
              </w:rPr>
              <w:t xml:space="preserve">Unsupervised detection finds structure, not harm</w:t>
            </w:r>
          </w:p>
        </w:tc>
      </w:tr>
      <w:tr>
        <w:tc>
          <w:tcPr/>
          <w:p>
            <w:pPr>
              <w:pStyle w:val="Compact"/>
              <w:spacing w:after="40" w:line="240" w:lineRule="auto"/>
              <w:jc w:val="left"/>
            </w:pPr>
            <w:r>
              <w:rPr>
                <w:sz w:val="20"/>
              </w:rPr>
              <w:t xml:space="preserve">12</w:t>
            </w:r>
          </w:p>
        </w:tc>
        <w:tc>
          <w:tcPr/>
          <w:p>
            <w:pPr>
              <w:pStyle w:val="Compact"/>
              <w:spacing w:after="40" w:line="240" w:lineRule="auto"/>
              <w:jc w:val="left"/>
            </w:pPr>
            <w:r>
              <w:rPr>
                <w:sz w:val="20"/>
              </w:rPr>
              <w:t xml:space="preserve">An absolute SOH target on CALCE recovers four cells and refutes the claim that learned models add enormously</w:t>
            </w:r>
          </w:p>
        </w:tc>
      </w:tr>
      <w:tr>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The estimator-variance result survives the target correction as a ratio</w:t>
            </w:r>
          </w:p>
        </w:tc>
      </w:tr>
      <w:tr>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Rated capacity is declared, not defaulted</w:t>
            </w:r>
          </w:p>
        </w:tc>
      </w:tr>
    </w:tbl>
    <w:bookmarkEnd w:id="79"/>
    <w:bookmarkStart w:id="80" w:name="algorithm-summary"/>
    <w:p>
      <w:pPr>
        <w:pStyle w:val="Heading2"/>
      </w:pPr>
      <w:r>
        <w:t>ALGORITHM SUMMARY</w:t>
      </w:r>
    </w:p>
    <w:p>
      <w:pPr>
        <w:pStyle w:val="FirstParagraph"/>
      </w:pPr>
      <w:r>
        <w:t xml:space="preserve">The estimators of the previous sections combine into one procedure per cell, summarised below in the order in which the steps run. Every step that can fail ends in a refusal with a stated cause and not in a default.</w:t>
      </w:r>
    </w:p>
    <w:p>
      <w:pPr>
        <w:pStyle w:val="SourceCode"/>
        <w:spacing w:line="240" w:lineRule="auto"/>
      </w:pPr>
      <w:r>
        <w:rPr>
          <w:rStyle w:val="VerbatimChar"/>
        </w:rPr>
        <w:t xml:space="preserve">for each cell in the capture:</w:t>
      </w:r>
      <w:r>
        <w:br/>
      </w:r>
      <w:r>
        <w:rPr>
          <w:rStyle w:val="VerbatimChar"/>
        </w:rPr>
        <w:t xml:space="preserve">    discharges &lt;- segment(stream)           # by current, time gaps</w:t>
      </w:r>
      <w:r>
        <w:br/>
      </w:r>
      <w:r>
        <w:rPr>
          <w:rStyle w:val="VerbatimChar"/>
        </w:rPr>
        <w:t xml:space="preserve">    if capture-level gate fails:  refuse(cause)</w:t>
      </w:r>
      <w:r>
        <w:br/>
      </w:r>
      <w:r>
        <w:rPr>
          <w:rStyle w:val="VerbatimChar"/>
        </w:rPr>
        <w:t xml:space="preserve">    for each discharge n:</w:t>
      </w:r>
      <w:r>
        <w:br/>
      </w:r>
      <w:r>
        <w:rPr>
          <w:rStyle w:val="VerbatimChar"/>
        </w:rPr>
        <w:t xml:space="preserve">        R(n)  &lt;- trailing median of last 11 load-step estimates</w:t>
      </w:r>
      <w:r>
        <w:br/>
      </w:r>
      <w:r>
        <w:rPr>
          <w:rStyle w:val="VerbatimChar"/>
        </w:rPr>
        <w:t xml:space="preserve">        if no R yet:  mark n "unmeasured"; continue</w:t>
      </w:r>
      <w:r>
        <w:br/>
      </w:r>
      <w:r>
        <w:rPr>
          <w:rStyle w:val="VerbatimChar"/>
        </w:rPr>
        <w:t xml:space="preserve">        window &lt;- [V_low, V_high] shifted by |I_n| * R(n)</w:t>
      </w:r>
      <w:r>
        <w:br/>
      </w:r>
      <w:r>
        <w:rPr>
          <w:rStyle w:val="VerbatimChar"/>
        </w:rPr>
        <w:t xml:space="preserve">        if window not spanned:  mark n "unmeasured"</w:t>
      </w:r>
      <w:r>
        <w:br/>
      </w:r>
      <w:r>
        <w:rPr>
          <w:rStyle w:val="VerbatimChar"/>
        </w:rPr>
        <w:t xml:space="preserve">        if truncated / implausible / reference too short:  refuse n</w:t>
      </w:r>
      <w:r>
        <w:br/>
      </w:r>
      <w:r>
        <w:rPr>
          <w:rStyle w:val="VerbatimChar"/>
        </w:rPr>
        <w:t xml:space="preserve">        Q(n)  &lt;- charge delivered inside window (coulomb count)</w:t>
      </w:r>
      <w:r>
        <w:br/>
      </w:r>
      <w:r>
        <w:rPr>
          <w:rStyle w:val="VerbatimChar"/>
        </w:rPr>
        <w:t xml:space="preserve">        SOH(n) &lt;- Q(n) / Q_ref</w:t>
      </w:r>
      <w:r>
        <w:br/>
      </w:r>
      <w:r>
        <w:rPr>
          <w:rStyle w:val="VerbatimChar"/>
        </w:rPr>
        <w:t xml:space="preserve">    if enough complete discharges (30):</w:t>
      </w:r>
      <w:r>
        <w:br/>
      </w:r>
      <w:r>
        <w:rPr>
          <w:rStyle w:val="VerbatimChar"/>
        </w:rPr>
        <w:t xml:space="preserve">        RUL &lt;- cycles until fade of complete-discharge capacity</w:t>
      </w:r>
      <w:r>
        <w:br/>
      </w:r>
      <w:r>
        <w:rPr>
          <w:rStyle w:val="VerbatimChar"/>
        </w:rPr>
        <w:t xml:space="preserve">               crosses the EOL threshold (90 % default)</w:t>
      </w:r>
      <w:r>
        <w:br/>
      </w:r>
      <w:r>
        <w:rPr>
          <w:rStyle w:val="VerbatimChar"/>
        </w:rPr>
        <w:t xml:space="preserve">    else:  refuse RUL</w:t>
      </w:r>
      <w:r>
        <w:br/>
      </w:r>
      <w:r>
        <w:rPr>
          <w:rStyle w:val="VerbatimChar"/>
        </w:rPr>
        <w:t xml:space="preserve">    if evidence inconsistent:  confidence &lt;- low</w:t>
      </w:r>
      <w:r>
        <w:br/>
      </w:r>
      <w:r>
        <w:rPr>
          <w:rStyle w:val="VerbatimChar"/>
        </w:rPr>
        <w:t xml:space="preserve">    return SOH, R, RUL, confidence, band, refusals</w:t>
      </w:r>
    </w:p>
    <w:p>
      <w:pPr>
        <w:pStyle w:val="FirstParagraph"/>
      </w:pPr>
      <w:r>
        <w:t xml:space="preserve">Remaining life is taken from the capacity of complete discharges only: extrapolating the windowed health of partial discharges was tested and is not accurate enough to report (Chapter 5). The reference</w:t>
      </w:r>
      <w:r>
        <w:t xml:space="preserve"> </w:t>
      </w:r>
      <m:oMath>
        <m:sSub>
          <m:e>
            <m:r>
              <m:t>Q</m:t>
            </m:r>
          </m:e>
          <m:sub>
            <m:r>
              <m:rPr>
                <m:sty m:val="p"/>
              </m:rPr>
              <m:t>r</m:t>
            </m:r>
            <m:r>
              <m:rPr>
                <m:sty m:val="p"/>
              </m:rPr>
              <m:t>e</m:t>
            </m:r>
            <m:r>
              <m:rPr>
                <m:sty m:val="p"/>
              </m:rPr>
              <m:t>f</m:t>
            </m:r>
          </m:sub>
        </m:sSub>
      </m:oMath>
      <w:r>
        <w:t xml:space="preserve"> </w:t>
      </w:r>
      <w:r>
        <w:t xml:space="preserve">is the declared rated capacity when the source gives one, or the cell’s own early capacity otherwise, and the source of the reference is returned with the result. The error band attached to each output is the measured error of that output on the validation data and is not a quantity computed from the cell being scored.</w:t>
      </w:r>
    </w:p>
    <w:bookmarkEnd w:id="80"/>
    <w:bookmarkStart w:id="81" w:name="validation-protocol"/>
    <w:p>
      <w:pPr>
        <w:pStyle w:val="Heading2"/>
      </w:pP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81"/>
    <w:bookmarkStart w:id="82" w:name="parameters-of-the-estimators"/>
    <w:p>
      <w:pPr>
        <w:pStyle w:val="Heading2"/>
      </w:pPr>
      <w:r>
        <w:t>PARAMETERS OF THE ESTIMATORS</w:t>
      </w:r>
    </w:p>
    <w:p>
      <w:pPr>
        <w:pStyle w:val="FirstParagraph"/>
      </w:pPr>
      <w:r>
        <w:t xml:space="preserve">The estimators have few parameters, and each was fixed on the development data before the external datasets were scored. Table 3.7 lists those quoted in this chapter. None was changed when the estimators were applied to the Oxford and NASA data.</w:t>
      </w:r>
    </w:p>
    <w:p>
      <w:pPr>
        <w:pStyle w:val="TableCaption"/>
      </w:pPr>
      <w:r>
        <w:t xml:space="preserve">Table 3.7: Parameters Fixed Before External Validation</w:t>
      </w:r>
    </w:p>
    <w:tbl>
      <w:tblPr>
        <w:tblStyle w:val="Table"/>
        <w:tblW w:type="pct" w:w="4000"/>
        <w:tblLook w:firstRow="1" w:lastRow="0" w:firstColumn="0" w:lastColumn="0" w:noHBand="0" w:noVBand="0" w:val="0020"/>
        <w:jc w:val="start"/>
        <w:tblCaption w:val="Table 3.7: Parameters Fixed Before External Validation"/>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108"/>
        <w:gridCol w:w="2217"/>
      </w:tblGrid>
      <w:tr>
        <w:trPr>
          <w:tblHeader w:val="true"/>
        </w:trPr>
        <w:tc>
          <w:tcPr/>
          <w:p>
            <w:pPr>
              <w:pStyle w:val="Compact"/>
              <w:spacing w:after="40" w:line="240" w:lineRule="auto"/>
              <w:jc w:val="left"/>
            </w:pPr>
            <w:r>
              <w:rPr>
                <w:bCs/>
                <w:b/>
                <w:sz w:val="20"/>
              </w:rPr>
              <w:t xml:space="preserve">Parameter</w:t>
            </w:r>
          </w:p>
        </w:tc>
        <w:tc>
          <w:tcPr/>
          <w:p>
            <w:pPr>
              <w:pStyle w:val="Compact"/>
              <w:spacing w:after="40" w:line="240" w:lineRule="auto"/>
              <w:jc w:val="left"/>
            </w:pPr>
            <w:r>
              <w:rPr>
                <w:bCs/>
                <w:b/>
                <w:sz w:val="20"/>
              </w:rPr>
              <w:t xml:space="preserve">Value</w:t>
            </w:r>
          </w:p>
        </w:tc>
        <w:tc>
          <w:tcPr/>
          <w:p>
            <w:pPr>
              <w:pStyle w:val="Compact"/>
              <w:spacing w:after="40" w:line="240" w:lineRule="auto"/>
              <w:jc w:val="left"/>
            </w:pPr>
            <w:r>
              <w:rPr>
                <w:bCs/>
                <w:b/>
                <w:sz w:val="20"/>
              </w:rPr>
              <w:t xml:space="preserve">Used for</w:t>
            </w:r>
          </w:p>
        </w:tc>
      </w:tr>
      <w:tr>
        <w:tc>
          <w:tcPr/>
          <w:p>
            <w:pPr>
              <w:pStyle w:val="Compact"/>
              <w:spacing w:after="40" w:line="240" w:lineRule="auto"/>
              <w:jc w:val="left"/>
            </w:pPr>
            <w:r>
              <w:rPr>
                <w:sz w:val="20"/>
              </w:rPr>
              <w:t xml:space="preserve">Maximum gap between rest and load samples</w:t>
            </w:r>
          </w:p>
        </w:tc>
        <w:tc>
          <w:tcPr/>
          <w:p>
            <w:pPr>
              <w:pStyle w:val="Compact"/>
              <w:spacing w:after="40" w:line="240" w:lineRule="auto"/>
              <w:jc w:val="left"/>
            </w:pPr>
            <w:r>
              <w:rPr>
                <w:sz w:val="20"/>
              </w:rPr>
              <w:t xml:space="preserve">60 s</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Minimum current change at the step</w:t>
            </w:r>
          </w:p>
        </w:tc>
        <w:tc>
          <w:tcPr/>
          <w:p>
            <w:pPr>
              <w:pStyle w:val="Compact"/>
              <w:spacing w:after="40" w:line="240" w:lineRule="auto"/>
              <w:jc w:val="left"/>
            </w:pPr>
            <w:r>
              <w:rPr>
                <w:sz w:val="20"/>
              </w:rPr>
              <w:t xml:space="preserve">0.05 A</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Length of trailing resistance median</w:t>
            </w:r>
          </w:p>
        </w:tc>
        <w:tc>
          <w:tcPr/>
          <w:p>
            <w:pPr>
              <w:pStyle w:val="Compact"/>
              <w:spacing w:after="40" w:line="240" w:lineRule="auto"/>
              <w:jc w:val="left"/>
            </w:pPr>
            <w:r>
              <w:rPr>
                <w:sz w:val="20"/>
              </w:rPr>
              <w:t xml:space="preserve">11 steps</w:t>
            </w:r>
          </w:p>
        </w:tc>
        <w:tc>
          <w:tcPr/>
          <w:p>
            <w:pPr>
              <w:pStyle w:val="Compact"/>
              <w:spacing w:after="40" w:line="240" w:lineRule="auto"/>
              <w:jc w:val="left"/>
            </w:pPr>
            <w:r>
              <w:rPr>
                <w:sz w:val="20"/>
              </w:rPr>
              <w:t xml:space="preserve">Ohmic correction</w:t>
            </w:r>
          </w:p>
        </w:tc>
      </w:tr>
      <w:tr>
        <w:tc>
          <w:tcPr/>
          <w:p>
            <w:pPr>
              <w:pStyle w:val="Compact"/>
              <w:spacing w:after="40" w:line="240" w:lineRule="auto"/>
              <w:jc w:val="left"/>
            </w:pPr>
            <w:r>
              <w:rPr>
                <w:sz w:val="20"/>
              </w:rPr>
              <w:t xml:space="preserve">Rest threshold of mode inference</w:t>
            </w:r>
          </w:p>
        </w:tc>
        <w:tc>
          <w:tcPr/>
          <w:p>
            <w:pPr>
              <w:pStyle w:val="Compact"/>
              <w:spacing w:after="40" w:line="240" w:lineRule="auto"/>
              <w:jc w:val="left"/>
            </w:pPr>
            <m:oMath>
              <m:r>
                <m:rPr>
                  <m:sty m:val="p"/>
                </m:rPr>
                <m:t>±</m:t>
              </m:r>
            </m:oMath>
            <w:r>
              <w:rPr>
                <w:sz w:val="20"/>
              </w:rPr>
              <w:t xml:space="preserve">0.02 A</w:t>
            </w:r>
          </w:p>
        </w:tc>
        <w:tc>
          <w:tcPr/>
          <w:p>
            <w:pPr>
              <w:pStyle w:val="Compact"/>
              <w:spacing w:after="40" w:line="240" w:lineRule="auto"/>
              <w:jc w:val="left"/>
            </w:pPr>
            <w:r>
              <w:rPr>
                <w:sz w:val="20"/>
              </w:rPr>
              <w:t xml:space="preserve">Schema-level operating mode</w:t>
            </w:r>
          </w:p>
        </w:tc>
      </w:tr>
      <w:tr>
        <w:tc>
          <w:tcPr/>
          <w:p>
            <w:pPr>
              <w:pStyle w:val="Compact"/>
              <w:spacing w:after="40" w:line="240" w:lineRule="auto"/>
              <w:jc w:val="left"/>
            </w:pPr>
            <w:r>
              <w:rPr>
                <w:sz w:val="20"/>
              </w:rPr>
              <w:t xml:space="preserve">Serial sampling period (rig)</w:t>
            </w:r>
          </w:p>
        </w:tc>
        <w:tc>
          <w:tcPr/>
          <w:p>
            <w:pPr>
              <w:pStyle w:val="Compact"/>
              <w:spacing w:after="40" w:line="240" w:lineRule="auto"/>
              <w:jc w:val="left"/>
            </w:pPr>
            <w:r>
              <w:rPr>
                <w:sz w:val="20"/>
              </w:rPr>
              <w:t xml:space="preserve">1 s</w:t>
            </w:r>
          </w:p>
        </w:tc>
        <w:tc>
          <w:tcPr/>
          <w:p>
            <w:pPr>
              <w:pStyle w:val="Compact"/>
              <w:spacing w:after="40" w:line="240" w:lineRule="auto"/>
              <w:jc w:val="left"/>
            </w:pPr>
            <w:r>
              <w:rPr>
                <w:sz w:val="20"/>
              </w:rPr>
              <w:t xml:space="preserve">Rig firmware</w:t>
            </w:r>
          </w:p>
        </w:tc>
      </w:tr>
      <w:tr>
        <w:tc>
          <w:tcPr/>
          <w:p>
            <w:pPr>
              <w:pStyle w:val="Compact"/>
              <w:spacing w:after="40" w:line="240" w:lineRule="auto"/>
              <w:jc w:val="left"/>
            </w:pPr>
            <w:r>
              <w:rPr>
                <w:sz w:val="20"/>
              </w:rPr>
              <w:t xml:space="preserve">Default end-of-life threshold</w:t>
            </w:r>
          </w:p>
        </w:tc>
        <w:tc>
          <w:tcPr/>
          <w:p>
            <w:pPr>
              <w:pStyle w:val="Compact"/>
              <w:spacing w:after="40" w:line="240" w:lineRule="auto"/>
              <w:jc w:val="left"/>
            </w:pPr>
            <w:r>
              <w:rPr>
                <w:sz w:val="20"/>
              </w:rPr>
              <w:t xml:space="preserve">90%</w:t>
            </w:r>
          </w:p>
        </w:tc>
        <w:tc>
          <w:tcPr/>
          <w:p>
            <w:pPr>
              <w:pStyle w:val="Compact"/>
              <w:spacing w:after="40" w:line="240" w:lineRule="auto"/>
              <w:jc w:val="left"/>
            </w:pPr>
            <w:r>
              <w:rPr>
                <w:sz w:val="20"/>
              </w:rPr>
              <w:t xml:space="preserve">RUL target (80% is the convention but is seldom reached on CALCE)</w:t>
            </w:r>
          </w:p>
        </w:tc>
      </w:tr>
    </w:tbl>
    <w:p>
      <w:pPr>
        <w:pStyle w:val="BodyText"/>
      </w:pPr>
      <w:r>
        <w:t xml:space="preserve">Fixing the parameters in advance has a cost. They are not the best possible values for any one dataset, and the errors reported on the external data are therefore a fair statement of what the estimators do on data they were not tuned on, and not the best that could be obtained by tuning.</w:t>
      </w:r>
    </w:p>
    <w:bookmarkEnd w:id="82"/>
    <w:bookmarkStart w:id="83" w:name="evaluation-metrics"/>
    <w:p>
      <w:pPr>
        <w:pStyle w:val="Heading2"/>
      </w:pP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83"/>
    <w:bookmarkStart w:id="84" w:name="X9488bfda7dec3ab9246fabbcfd71c2a744e6000"/>
    <w:p>
      <w:pPr>
        <w:pStyle w:val="Heading2"/>
      </w:pPr>
      <w:r>
        <w:t>EXPERIMENTAL CONTROLS AND REPRODUCIBILITY</w:t>
      </w:r>
    </w:p>
    <w:p>
      <w:pPr>
        <w:pStyle w:val="FirstParagraph"/>
      </w:pPr>
      <w:r>
        <w:t xml:space="preserve">Every reported number is regenerated by a named script from committed artifacts,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84"/>
    <w:bookmarkEnd w:id="85"/>
    <w:bookmarkStart w:id="126" w:name="implementation-and-deployment"/>
    <w:p>
      <w:pPr>
        <w:pStyle w:val="Heading1"/>
      </w:pPr>
      <w:r>
        <w:t>IMPLEMENTATION AND DEPLOYMENT</w:t>
      </w:r>
    </w:p>
    <w:bookmarkStart w:id="86" w:name="implementation-overview"/>
    <w:p>
      <w:pPr>
        <w:pStyle w:val="Heading2"/>
      </w:pP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4.8).</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4.9).</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4.10 to 4.17).</w:t>
      </w:r>
    </w:p>
    <w:bookmarkEnd w:id="86"/>
    <w:bookmarkStart w:id="87" w:name="development-environment-and-tools"/>
    <w:p>
      <w:pPr>
        <w:pStyle w:val="Heading2"/>
      </w:pP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87"/>
    <w:bookmarkStart w:id="88" w:name="code-organisation"/>
    <w:p>
      <w:pPr>
        <w:pStyle w:val="Heading2"/>
      </w:pP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and DBC examples; the unified schema is in</w:t>
            </w:r>
            <w:r>
              <w:rPr>
                <w:sz w:val="20"/>
              </w:rPr>
              <w:t xml:space="preserve"> </w:t>
            </w:r>
            <w:r>
              <w:rPr>
                <w:rStyle w:val="VerbatimChar"/>
                <w:sz w:val="20"/>
              </w:rPr>
              <w:t xml:space="preserve">preprocessing</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and health index (heuristic layer); measured field SOH, voltage-window, evidence and error-band estimators</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 and the earlier heuristic estimate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88"/>
    <w:bookmarkStart w:id="90" w:name="X7eaa5200497e4c8792a7f4decf2c153d520ea13"/>
    <w:p>
      <w:pPr>
        <w:pStyle w:val="Heading2"/>
      </w:pPr>
      <w:r>
        <w:t>TELEMETRY ACQUISITION AND THE UNIFIED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4.7).</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89" w:name="Xb6c4cd69878264dd4ff33a260f137ecc295e96f"/>
    <w:p>
      <w:pPr>
        <w:pStyle w:val="Heading3"/>
      </w:pPr>
      <w:r>
        <w:t xml:space="preserve">Interface Between Acquisition and Scoring</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89"/>
    <w:bookmarkEnd w:id="90"/>
    <w:bookmarkStart w:id="91" w:name="unified-schema-implementation"/>
    <w:p>
      <w:pPr>
        <w:pStyle w:val="Heading2"/>
      </w:pPr>
      <w:r>
        <w:t>UNIFIED SCHEMA IMPLEMENTATION</w:t>
      </w:r>
    </w:p>
    <w:p>
      <w:pPr>
        <w:pStyle w:val="FirstParagraph"/>
      </w:pPr>
      <w:r>
        <w:t xml:space="preserve">Each source has its own loader, whose only job is to map that source onto the schema of Section 3.6. The NASA and CALCE loaders read the laboratory files, the CAN loader decodes frames, and the serial loader parses lines. Every loader corrects the current sign convention of its source before the validator runs, so the pipeline never sees a mixed convention. The derived fields, power, operating mode and state-of-charge band, are recomputed after each preprocessing run and not stored from an earlier one, so a change to a threshold takes effect everywhere at once. A loader that cannot supply a required channel returns a frame that the validator rejects with the name of the missing column, which is preferable to a loader that fills the gap with a plausible constant.</w:t>
      </w:r>
    </w:p>
    <w:bookmarkEnd w:id="91"/>
    <w:bookmarkStart w:id="94" w:name="can-and-dbc-adapter"/>
    <w:p>
      <w:pPr>
        <w:pStyle w:val="Heading2"/>
      </w:pPr>
      <w:r>
        <w:t>CAN AND DBC ADAPTER</w:t>
      </w:r>
    </w:p>
    <w:p>
      <w:pPr>
        <w:pStyle w:val="FirstParagraph"/>
      </w:pPr>
      <w:r>
        <w:t xml:space="preserve">The CAN adapter decodes raw frames described by a DBC file into the unified schema. It uses an established library,</w:t>
      </w:r>
      <w:r>
        <w:t xml:space="preserve"> </w:t>
      </w:r>
      <w:r>
        <w:rPr>
          <w:rStyle w:val="VerbatimChar"/>
        </w:rPr>
        <w:t xml:space="preserve">cantools</w:t>
      </w:r>
      <w:r>
        <w:t xml:space="preserve">, for the decoding and does not implement the bit extraction itself. This is a deliberate choice: the big-endian bit numbering used in DBC files is a well-known source of subtle errors, and an almost-correct hand-written decoder would produce values that look plausible and are wrong, the failure the project is designed to avoid.</w:t>
      </w:r>
    </w:p>
    <w:p>
      <w:pPr>
        <w:pStyle w:val="BodyText"/>
      </w:pPr>
      <w:r>
        <w:t xml:space="preserve">The decoder is general, because it parses any standard DBC file. The bundled example describes the primary battery status message of a Renault Twizy, identifier 0x155, transcribed from the public documentation of the Open Vehicles Monitoring System. Its correctness is checked against an independent source: a test decodes the exact bytes of the worked example in that documentation and asserts that the current and state of charge match the published result, 58.25 A and 69.98%, so the test does not merely confirm that the code agrees with itself.</w:t>
      </w:r>
    </w:p>
    <w:bookmarkStart w:id="92" w:name="vehicle-registry"/>
    <w:p>
      <w:pPr>
        <w:pStyle w:val="Heading3"/>
      </w:pPr>
      <w:r>
        <w:t xml:space="preserve">Vehicle Registry</w:t>
      </w:r>
    </w:p>
    <w:p>
      <w:pPr>
        <w:pStyle w:val="FirstParagraph"/>
      </w:pPr>
      <w:r>
        <w:t xml:space="preserve">The single-file adapter is generalised by a registry in which several vehicles’ DBC files can be registered. Given a batch of raw frames, the registry identifies the vehicle by comparing the observed identifiers with the identifiers each vehicle defines, and decodes accordingly. If no registered vehicle matches with confidence, it raises an error and does not choose the closest match, which is the same refusal stance as elsewhere in the system. By default exactly one real vehicle is registered. A synthetic fixture, clearly named as not a real vehicle, can be added in tests to exercise the disambiguation logic and is never part of the default registry, so application code cannot mistake it for real coverage.</w:t>
      </w:r>
    </w:p>
    <w:bookmarkEnd w:id="92"/>
    <w:bookmarkStart w:id="93" w:name="limits-of-the-adapter"/>
    <w:p>
      <w:pPr>
        <w:pStyle w:val="Heading3"/>
      </w:pPr>
      <w:r>
        <w:t xml:space="preserve">Limits of the Adapter</w:t>
      </w:r>
    </w:p>
    <w:p>
      <w:pPr>
        <w:pStyle w:val="FirstParagraph"/>
      </w:pPr>
      <w:r>
        <w:t xml:space="preserve">The adapter proves the pattern, a CAN frame becomes decoded signals and then a unified frame, against real vehicle protocol data. It does not prove broad coverage of manufacturers. Most vehicles supported by community projects are decoded by hand-written code and not by a portable DBC file, and manufacturer files are proprietary. The documented message carries current and state of charge but no voltage or temperature, so the validator correctly reports that it cannot be scored on its own. Reading a live bus is implemented as a separate source built on the</w:t>
      </w:r>
      <w:r>
        <w:t xml:space="preserve"> </w:t>
      </w:r>
      <w:r>
        <w:rPr>
          <w:rStyle w:val="VerbatimChar"/>
        </w:rPr>
        <w:t xml:space="preserve">python-can</w:t>
      </w:r>
      <w:r>
        <w:t xml:space="preserve"> </w:t>
      </w:r>
      <w:r>
        <w:t xml:space="preserve">library, layered under the decoder and exposed through a live-capture route, but it has not been exercised on a physical vehicle.</w:t>
      </w:r>
    </w:p>
    <w:bookmarkEnd w:id="93"/>
    <w:bookmarkEnd w:id="94"/>
    <w:bookmarkStart w:id="98" w:name="serial-wire-protocol"/>
    <w:p>
      <w:pPr>
        <w:pStyle w:val="Heading2"/>
      </w:pP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95" w:name="frame-delimitation"/>
    <w:p>
      <w:pPr>
        <w:pStyle w:val="Heading3"/>
      </w:pPr>
      <w:r>
        <w:t xml:space="preserve">Frame Delimitation</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95"/>
    <w:bookmarkStart w:id="96" w:name="error-detection"/>
    <w:p>
      <w:pPr>
        <w:pStyle w:val="Heading3"/>
      </w:pP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96"/>
    <w:bookmarkStart w:id="97" w:name="channel-utilisation"/>
    <w:p>
      <w:pPr>
        <w:pStyle w:val="Heading3"/>
      </w:pP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97"/>
    <w:bookmarkEnd w:id="98"/>
    <w:bookmarkStart w:id="99" w:name="refusal-gates"/>
    <w:p>
      <w:pPr>
        <w:pStyle w:val="Heading2"/>
      </w:pP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is flagged as a likely cause; the run is refused because no complete discharge is found, although the stream looks perfect.</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99"/>
    <w:bookmarkStart w:id="107" w:name="hardware-bench-rig"/>
    <w:p>
      <w:pPr>
        <w:pStyle w:val="Heading2"/>
      </w:pPr>
      <w:r>
        <w:t>HARDWARE BENCH RIG</w:t>
      </w:r>
    </w:p>
    <w:bookmarkStart w:id="100" w:name="requirement-and-design-calculations"/>
    <w:p>
      <w:pPr>
        <w:pStyle w:val="Heading3"/>
      </w:pP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100"/>
    <w:bookmarkStart w:id="104" w:name="as-built-rig"/>
    <w:p>
      <w:pPr>
        <w:pStyle w:val="Heading3"/>
      </w:pP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102" name="Picture"/>
            <a:graphic>
              <a:graphicData uri="http://schemas.openxmlformats.org/drawingml/2006/picture">
                <pic:pic>
                  <pic:nvPicPr>
                    <pic:cNvPr descr="fig/t3.png" id="103" name="Picture"/>
                    <pic:cNvPicPr>
                      <a:picLocks noChangeArrowheads="1" noChangeAspect="1"/>
                    </pic:cNvPicPr>
                  </pic:nvPicPr>
                  <pic:blipFill>
                    <a:blip r:embed="rId10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104"/>
    <w:bookmarkStart w:id="105" w:name="firmware"/>
    <w:p>
      <w:pPr>
        <w:pStyle w:val="Heading3"/>
      </w:pP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the continuous-integration build is the stub configuration without the sensor libraries,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105"/>
    <w:bookmarkStart w:id="106" w:name="bring-up-procedure"/>
    <w:p>
      <w:pPr>
        <w:pStyle w:val="Heading3"/>
      </w:pP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106"/>
    <w:bookmarkEnd w:id="107"/>
    <w:bookmarkStart w:id="114" w:name="Xfd48512d5f70e04d50df1141f37bb841ce2dac8"/>
    <w:p>
      <w:pPr>
        <w:pStyle w:val="Heading2"/>
      </w:pP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bench-rig panel, a digital-twin sheet, and a banner stating where the run’s data came from. An earlier version had separate tabs for fleet, CAN replay, thermal and transfer views. They were removed because two parallel dashboards meant two provenance banners that could disagree about the same run. The twin sheet is present but displays</w:t>
      </w:r>
      <w:r>
        <w:t xml:space="preserve"> </w:t>
      </w:r>
      <w:r>
        <w:t xml:space="preserve">“</w:t>
      </w:r>
      <w:r>
        <w:t xml:space="preserve">not available</w:t>
      </w:r>
      <w:r>
        <w:t xml:space="preserve">”</w:t>
      </w:r>
      <w:r>
        <w:t xml:space="preserve"> </w:t>
      </w:r>
      <w:r>
        <w:t xml:space="preserve">for the observed and predicted state, because the twin module does not yet emit its state into the dashboard payload, and no substitute trajectory is drawn. A Guardian explanation is shown next to the run it explains, and refusals are rendered as results and not as errors.</w:t>
      </w:r>
    </w:p>
    <w:p>
      <w:pPr>
        <w:pStyle w:val="BodyText"/>
      </w:pPr>
      <w:r>
        <w:t xml:space="preserve">Fig. 4.3 and Fig. 4.4 show the dashboard. Both are screenshots of the running system, taken on a synthetic fleet, which the interface labels as simulated data; the bench-rig panel below the fleet summary is the only part backed by a physical measurement.</w:t>
      </w:r>
    </w:p>
    <w:p>
      <w:pPr>
        <w:pStyle w:val="CaptionedFigure"/>
      </w:pPr>
      <w:r>
        <w:drawing>
          <wp:inline>
            <wp:extent cx="4937760" cy="4238244"/>
            <wp:effectExtent b="0" l="0" r="0" t="0"/>
            <wp:docPr descr="" title="" id="109" name="Picture"/>
            <a:graphic>
              <a:graphicData uri="http://schemas.openxmlformats.org/drawingml/2006/picture">
                <pic:pic>
                  <pic:nvPicPr>
                    <pic:cNvPr descr="images/ui_overview.png" id="110" name="Picture"/>
                    <pic:cNvPicPr>
                      <a:picLocks noChangeArrowheads="1" noChangeAspect="1"/>
                    </pic:cNvPicPr>
                  </pic:nvPicPr>
                  <pic:blipFill>
                    <a:blip r:embed="rId108"/>
                    <a:stretch>
                      <a:fillRect/>
                    </a:stretch>
                  </pic:blipFill>
                  <pic:spPr bwMode="auto">
                    <a:xfrm>
                      <a:off x="0" y="0"/>
                      <a:ext cx="4937760" cy="4238244"/>
                    </a:xfrm>
                    <a:prstGeom prst="rect">
                      <a:avLst/>
                    </a:prstGeom>
                    <a:noFill/>
                    <a:ln w="9525">
                      <a:noFill/>
                      <a:headEnd/>
                      <a:tailEnd/>
                    </a:ln>
                  </pic:spPr>
                </pic:pic>
              </a:graphicData>
            </a:graphic>
          </wp:inline>
        </w:drawing>
      </w:r>
    </w:p>
    <w:p>
      <w:pPr>
        <w:pStyle w:val="ImageCaption"/>
      </w:pPr>
      <w:r>
        <w:t xml:space="preserve">Figure 4.3: Overview screen of the BEACON dashboard on a synthetic fleet. The banner marks the values as simulated, and the panel at the bottom shows the measured bench-rig readings, with the health index and remaining life refused because no temperature channel exists.</w:t>
      </w:r>
    </w:p>
    <w:p>
      <w:pPr>
        <w:pStyle w:val="CaptionedFigure"/>
      </w:pPr>
      <w:r>
        <w:drawing>
          <wp:inline>
            <wp:extent cx="4937760" cy="3915917"/>
            <wp:effectExtent b="0" l="0" r="0" t="0"/>
            <wp:docPr descr="" title="" id="112" name="Picture"/>
            <a:graphic>
              <a:graphicData uri="http://schemas.openxmlformats.org/drawingml/2006/picture">
                <pic:pic>
                  <pic:nvPicPr>
                    <pic:cNvPr descr="images/ui_health.png" id="113" name="Picture"/>
                    <pic:cNvPicPr>
                      <a:picLocks noChangeArrowheads="1" noChangeAspect="1"/>
                    </pic:cNvPicPr>
                  </pic:nvPicPr>
                  <pic:blipFill>
                    <a:blip r:embed="rId111"/>
                    <a:stretch>
                      <a:fillRect/>
                    </a:stretch>
                  </pic:blipFill>
                  <pic:spPr bwMode="auto">
                    <a:xfrm>
                      <a:off x="0" y="0"/>
                      <a:ext cx="4937760" cy="3915917"/>
                    </a:xfrm>
                    <a:prstGeom prst="rect">
                      <a:avLst/>
                    </a:prstGeom>
                    <a:noFill/>
                    <a:ln w="9525">
                      <a:noFill/>
                      <a:headEnd/>
                      <a:tailEnd/>
                    </a:ln>
                  </pic:spPr>
                </pic:pic>
              </a:graphicData>
            </a:graphic>
          </wp:inline>
        </w:drawing>
      </w:r>
    </w:p>
    <w:p>
      <w:pPr>
        <w:pStyle w:val="ImageCaption"/>
      </w:pPr>
      <w:r>
        <w:t xml:space="preserve">Figure 4.4: Battery health screen: state of health over cycles for one battery, the attribution of its health index to behaviour terms, and its aggregate usage parameters (synthetic fleet).</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114"/>
    <w:bookmarkStart w:id="115" w:name="digital-twin-and-fleet-store"/>
    <w:p>
      <w:pPr>
        <w:pStyle w:val="Heading2"/>
      </w:pPr>
      <w:r>
        <w:t>DIGITAL TWIN AND FLEET STORE</w:t>
      </w:r>
    </w:p>
    <w:p>
      <w:pPr>
        <w:pStyle w:val="FirstParagraph"/>
      </w:pPr>
      <w:r>
        <w:t xml:space="preserve">The twin is implemented as a domain module with no transport dependency. The API layer is a thin adapter over it, so adding another front end, for example a message broker, means writing a new adapter and leaves the module unchanged. The fleet store holds the latest twin state, the transition history and the telemetry of the most recent run for each battery. It is held in process memory and does not survive a restart, which is stated in the API documentation and shown in the compose file by the absence of a database service.</w:t>
      </w:r>
    </w:p>
    <w:p>
      <w:pPr>
        <w:pStyle w:val="BodyText"/>
      </w:pPr>
      <w:r>
        <w:t xml:space="preserve">The twin also carries a field called evidence confidence, which takes one of four values: validated, heuristic, mixed or not applicable. It states whether the causes the Guardian identified for a battery are supported by the calibration work or are hand-chosen thresholds. Temperature exposure is the only cause with a measured, cohort-controlled effect (0.0038 Ah per</w:t>
      </w:r>
      <w:r>
        <w:t xml:space="preserve"> </w:t>
      </w:r>
      <m:oMath>
        <m:sSup>
          <m:e>
            <m:r>
              <m:t>​</m:t>
            </m:r>
          </m:e>
          <m:sup>
            <m:r>
              <m:rPr>
                <m:sty m:val="p"/>
              </m:rPr>
              <m:t>∘</m:t>
            </m:r>
          </m:sup>
        </m:sSup>
      </m:oMath>
      <w:r>
        <w:t xml:space="preserve">C), while the current-based causes and the health index itself are marked heuristic. This does not change what the Guardian detects. It changes what the system says about its own certainty, which was previously not visible in the output.</w:t>
      </w:r>
    </w:p>
    <w:bookmarkEnd w:id="115"/>
    <w:bookmarkStart w:id="116" w:name="api-reference"/>
    <w:p>
      <w:pPr>
        <w:pStyle w:val="Heading2"/>
      </w:pPr>
      <w:r>
        <w:t>API REFERENCE</w:t>
      </w:r>
    </w:p>
    <w:p>
      <w:pPr>
        <w:pStyle w:val="FirstParagraph"/>
      </w:pPr>
      <w:r>
        <w:t xml:space="preserve">Table 4.9 lists the principal routes of the Python service. Further routes cover live CAN capture, serial emulation, live serial capture, latest and live state, thermal and twin views, transfer feasibility and the dataset listing. The interactive documentation generated by FastAPI from the same code is served at</w:t>
      </w:r>
      <w:r>
        <w:t xml:space="preserve"> </w:t>
      </w:r>
      <w:r>
        <w:rPr>
          <w:rStyle w:val="VerbatimChar"/>
        </w:rPr>
        <w:t xml:space="preserve">/docs</w:t>
      </w:r>
      <w:r>
        <w:t xml:space="preserve">, so it cannot drift from the code in the way a hand-written reference can.</w:t>
      </w:r>
    </w:p>
    <w:p>
      <w:pPr>
        <w:pStyle w:val="TableCaption"/>
      </w:pPr>
      <w:r>
        <w:t xml:space="preserve">Table 4.9: Principal Routes of the Python Service</w:t>
      </w:r>
    </w:p>
    <w:tbl>
      <w:tblPr>
        <w:tblStyle w:val="Table"/>
        <w:tblW w:type="pct" w:w="4000"/>
        <w:tblLook w:firstRow="1" w:lastRow="0" w:firstColumn="0" w:lastColumn="0" w:noHBand="0" w:noVBand="0" w:val="0020"/>
        <w:jc w:val="start"/>
        <w:tblCaption w:val="Table 4.9: Principal Routes of the Python Service"/>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168"/>
      </w:tblGrid>
      <w:tr>
        <w:trPr>
          <w:tblHeader w:val="true"/>
        </w:trPr>
        <w:tc>
          <w:tcPr/>
          <w:p>
            <w:pPr>
              <w:pStyle w:val="Compact"/>
              <w:spacing w:after="40" w:line="240" w:lineRule="auto"/>
              <w:jc w:val="left"/>
            </w:pPr>
            <w:r>
              <w:rPr>
                <w:bCs/>
                <w:b/>
                <w:sz w:val="20"/>
              </w:rPr>
              <w:t xml:space="preserve">Route</w:t>
            </w:r>
          </w:p>
        </w:tc>
        <w:tc>
          <w:tcPr/>
          <w:p>
            <w:pPr>
              <w:pStyle w:val="Compact"/>
              <w:spacing w:after="40" w:line="240" w:lineRule="auto"/>
              <w:jc w:val="left"/>
            </w:pPr>
            <w:r>
              <w:rPr>
                <w:bCs/>
                <w:b/>
                <w:sz w:val="20"/>
              </w:rPr>
              <w:t xml:space="preserve">Purpose</w:t>
            </w:r>
          </w:p>
        </w:tc>
      </w:tr>
      <w:tr>
        <w:tc>
          <w:tcPr/>
          <w:p>
            <w:pPr>
              <w:pStyle w:val="Compact"/>
              <w:spacing w:after="40" w:line="240" w:lineRule="auto"/>
              <w:jc w:val="left"/>
            </w:pPr>
            <w:r>
              <w:rPr>
                <w:rStyle w:val="VerbatimChar"/>
                <w:sz w:val="20"/>
              </w:rPr>
              <w:t xml:space="preserve">GET /healthz</w:t>
            </w:r>
          </w:p>
        </w:tc>
        <w:tc>
          <w:tcPr/>
          <w:p>
            <w:pPr>
              <w:pStyle w:val="Compact"/>
              <w:spacing w:after="40" w:line="240" w:lineRule="auto"/>
              <w:jc w:val="left"/>
            </w:pPr>
            <w:r>
              <w:rPr>
                <w:sz w:val="20"/>
              </w:rPr>
              <w:t xml:space="preserve">Service liveness, with run and battery counts</w:t>
            </w:r>
          </w:p>
        </w:tc>
      </w:tr>
      <w:tr>
        <w:tc>
          <w:tcPr/>
          <w:p>
            <w:pPr>
              <w:pStyle w:val="Compact"/>
              <w:spacing w:after="40" w:line="240" w:lineRule="auto"/>
              <w:jc w:val="left"/>
            </w:pPr>
            <w:r>
              <w:rPr>
                <w:rStyle w:val="VerbatimChar"/>
                <w:sz w:val="20"/>
              </w:rPr>
              <w:t xml:space="preserve">POST /pipeline/simulate</w:t>
            </w:r>
          </w:p>
        </w:tc>
        <w:tc>
          <w:tcPr/>
          <w:p>
            <w:pPr>
              <w:pStyle w:val="Compact"/>
              <w:spacing w:after="40" w:line="240" w:lineRule="auto"/>
              <w:jc w:val="left"/>
            </w:pPr>
            <w:r>
              <w:rPr>
                <w:sz w:val="20"/>
              </w:rPr>
              <w:t xml:space="preserve">Score a simulated fleet and fold it into the store</w:t>
            </w:r>
          </w:p>
        </w:tc>
      </w:tr>
      <w:tr>
        <w:tc>
          <w:tcPr/>
          <w:p>
            <w:pPr>
              <w:pStyle w:val="Compact"/>
              <w:spacing w:after="40" w:line="240" w:lineRule="auto"/>
              <w:jc w:val="left"/>
            </w:pPr>
            <w:r>
              <w:rPr>
                <w:rStyle w:val="VerbatimChar"/>
                <w:sz w:val="20"/>
              </w:rPr>
              <w:t xml:space="preserve">GET /batteries</w:t>
            </w:r>
          </w:p>
        </w:tc>
        <w:tc>
          <w:tcPr/>
          <w:p>
            <w:pPr>
              <w:pStyle w:val="Compact"/>
              <w:spacing w:after="40" w:line="240" w:lineRule="auto"/>
              <w:jc w:val="left"/>
            </w:pPr>
            <w:r>
              <w:rPr>
                <w:sz w:val="20"/>
              </w:rPr>
              <w:t xml:space="preserve">Twin state of every battery seen</w:t>
            </w:r>
          </w:p>
        </w:tc>
      </w:tr>
      <w:tr>
        <w:tc>
          <w:tcPr/>
          <w:p>
            <w:pPr>
              <w:pStyle w:val="Compact"/>
              <w:spacing w:after="40" w:line="240" w:lineRule="auto"/>
              <w:jc w:val="left"/>
            </w:pPr>
            <w:r>
              <w:rPr>
                <w:rStyle w:val="VerbatimChar"/>
                <w:sz w:val="20"/>
              </w:rPr>
              <w:t xml:space="preserve">GET /batteries/{id}</w:t>
            </w:r>
          </w:p>
        </w:tc>
        <w:tc>
          <w:tcPr/>
          <w:p>
            <w:pPr>
              <w:pStyle w:val="Compact"/>
              <w:spacing w:after="40" w:line="240" w:lineRule="auto"/>
              <w:jc w:val="left"/>
            </w:pPr>
            <w:r>
              <w:rPr>
                <w:sz w:val="20"/>
              </w:rPr>
              <w:t xml:space="preserve">Twin, Guardian report, risk, history, evidence confidence</w:t>
            </w:r>
          </w:p>
        </w:tc>
      </w:tr>
      <w:tr>
        <w:tc>
          <w:tcPr/>
          <w:p>
            <w:pPr>
              <w:pStyle w:val="Compact"/>
              <w:spacing w:after="40" w:line="240" w:lineRule="auto"/>
              <w:jc w:val="left"/>
            </w:pPr>
            <w:r>
              <w:rPr>
                <w:rStyle w:val="VerbatimChar"/>
                <w:sz w:val="20"/>
              </w:rPr>
              <w:t xml:space="preserve">GET /batteries/{id}/timeline</w:t>
            </w:r>
          </w:p>
        </w:tc>
        <w:tc>
          <w:tcPr/>
          <w:p>
            <w:pPr>
              <w:pStyle w:val="Compact"/>
              <w:spacing w:after="40" w:line="240" w:lineRule="auto"/>
              <w:jc w:val="left"/>
            </w:pPr>
            <w:r>
              <w:rPr>
                <w:sz w:val="20"/>
              </w:rPr>
              <w:t xml:space="preserve">Per-cycle stress, state of charge and temperature</w:t>
            </w:r>
          </w:p>
        </w:tc>
      </w:tr>
      <w:tr>
        <w:tc>
          <w:tcPr/>
          <w:p>
            <w:pPr>
              <w:pStyle w:val="Compact"/>
              <w:spacing w:after="40" w:line="240" w:lineRule="auto"/>
              <w:jc w:val="left"/>
            </w:pPr>
            <w:r>
              <w:rPr>
                <w:rStyle w:val="VerbatimChar"/>
                <w:sz w:val="20"/>
              </w:rPr>
              <w:t xml:space="preserve">POST /telemetry/replay</w:t>
            </w:r>
          </w:p>
        </w:tc>
        <w:tc>
          <w:tcPr/>
          <w:p>
            <w:pPr>
              <w:pStyle w:val="Compact"/>
              <w:spacing w:after="40" w:line="240" w:lineRule="auto"/>
              <w:jc w:val="left"/>
            </w:pPr>
            <w:r>
              <w:rPr>
                <w:sz w:val="20"/>
              </w:rPr>
              <w:t xml:space="preserve">Replay a recorded CAN log through the pipeline</w:t>
            </w:r>
          </w:p>
        </w:tc>
      </w:tr>
      <w:tr>
        <w:tc>
          <w:tcPr/>
          <w:p>
            <w:pPr>
              <w:pStyle w:val="Compact"/>
              <w:spacing w:after="40" w:line="240" w:lineRule="auto"/>
              <w:jc w:val="left"/>
            </w:pPr>
            <w:r>
              <w:rPr>
                <w:rStyle w:val="VerbatimChar"/>
                <w:sz w:val="20"/>
              </w:rPr>
              <w:t xml:space="preserve">POST /telemetry/serial/replay</w:t>
            </w:r>
          </w:p>
        </w:tc>
        <w:tc>
          <w:tcPr/>
          <w:p>
            <w:pPr>
              <w:pStyle w:val="Compact"/>
              <w:spacing w:after="40" w:line="240" w:lineRule="auto"/>
              <w:jc w:val="left"/>
            </w:pPr>
            <w:r>
              <w:rPr>
                <w:sz w:val="20"/>
              </w:rPr>
              <w:t xml:space="preserve">Replay a recorded serial capture</w:t>
            </w:r>
          </w:p>
        </w:tc>
      </w:tr>
      <w:tr>
        <w:tc>
          <w:tcPr/>
          <w:p>
            <w:pPr>
              <w:pStyle w:val="Compact"/>
              <w:spacing w:after="40" w:line="240" w:lineRule="auto"/>
              <w:jc w:val="left"/>
            </w:pPr>
            <w:r>
              <w:rPr>
                <w:rStyle w:val="VerbatimChar"/>
                <w:sz w:val="20"/>
              </w:rPr>
              <w:t xml:space="preserve">GET /telemetry/coverage</w:t>
            </w:r>
          </w:p>
        </w:tc>
        <w:tc>
          <w:tcPr/>
          <w:p>
            <w:pPr>
              <w:pStyle w:val="Compact"/>
              <w:spacing w:after="40" w:line="240" w:lineRule="auto"/>
              <w:jc w:val="left"/>
            </w:pPr>
            <w:r>
              <w:rPr>
                <w:sz w:val="20"/>
              </w:rPr>
              <w:t xml:space="preserve">Report which required signals a DBC file provides</w:t>
            </w:r>
          </w:p>
        </w:tc>
      </w:tr>
    </w:tbl>
    <w:p>
      <w:pPr>
        <w:pStyle w:val="BodyText"/>
      </w:pPr>
      <w:r>
        <w:t xml:space="preserve">A battery that is in the store but absent from the most recent run has a twin state and a history but no timeline, and a request for its timeline returns a not-found response and not a stale series. Every request body is validated by Pydantic. The duration of a live capture is bounded above by 300 s, the number of emulated cycles lies between 1 and 50, the sampling period lies between 0 and 3600 s and the accepted fraction lies between 0 and 1, so no request can start a capture that never returns.</w:t>
      </w:r>
    </w:p>
    <w:bookmarkEnd w:id="116"/>
    <w:bookmarkStart w:id="118" w:name="security-considerations"/>
    <w:p>
      <w:pPr>
        <w:pStyle w:val="Heading2"/>
      </w:pPr>
      <w:r>
        <w:t>SECURITY CONSIDERATIONS</w:t>
      </w:r>
    </w:p>
    <w:p>
      <w:pPr>
        <w:pStyle w:val="FirstParagraph"/>
      </w:pPr>
      <w:r>
        <w:t xml:space="preserve">The service is a local bench and analysis tool, and its security review asked a narrow question: can a caller who reaches the service make it do something it should not? The review was carried out against the repository and recorded, with the findings and the decision taken on each. Table 4.10 summarises them.</w:t>
      </w:r>
    </w:p>
    <w:p>
      <w:pPr>
        <w:pStyle w:val="TableCaption"/>
      </w:pPr>
      <w:r>
        <w:t xml:space="preserve">Table 4.10: Security Review of the Service</w:t>
      </w:r>
    </w:p>
    <w:tbl>
      <w:tblPr>
        <w:tblStyle w:val="Table"/>
        <w:tblW w:type="pct" w:w="4000"/>
        <w:tblLook w:firstRow="1" w:lastRow="0" w:firstColumn="0" w:lastColumn="0" w:noHBand="0" w:noVBand="0" w:val="0020"/>
        <w:jc w:val="start"/>
        <w:tblCaption w:val="Table 4.10: Security Review of the Service"/>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960"/>
      </w:tblGrid>
      <w:tr>
        <w:trPr>
          <w:tblHeader w:val="true"/>
        </w:trPr>
        <w:tc>
          <w:tcPr/>
          <w:p>
            <w:pPr>
              <w:pStyle w:val="Compact"/>
              <w:spacing w:after="40" w:line="240" w:lineRule="auto"/>
              <w:jc w:val="left"/>
            </w:pPr>
            <w:r>
              <w:rPr>
                <w:bCs/>
                <w:b/>
                <w:sz w:val="20"/>
              </w:rPr>
              <w:t xml:space="preserve">Finding</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Request-supplied file paths on replay and coverage routes</w:t>
            </w:r>
          </w:p>
        </w:tc>
        <w:tc>
          <w:tcPr/>
          <w:p>
            <w:pPr>
              <w:pStyle w:val="Compact"/>
              <w:spacing w:after="40" w:line="240" w:lineRule="auto"/>
              <w:jc w:val="left"/>
            </w:pPr>
            <w:r>
              <w:rPr>
                <w:sz w:val="20"/>
              </w:rPr>
              <w:t xml:space="preserve">Fixed: path must resolve under an allowed root</w:t>
            </w:r>
          </w:p>
        </w:tc>
      </w:tr>
      <w:tr>
        <w:tc>
          <w:tcPr/>
          <w:p>
            <w:pPr>
              <w:pStyle w:val="Compact"/>
              <w:spacing w:after="40" w:line="240" w:lineRule="auto"/>
              <w:jc w:val="left"/>
            </w:pPr>
            <w:r>
              <w:rPr>
                <w:sz w:val="20"/>
              </w:rPr>
              <w:t xml:space="preserve">Cross-origin policy permissive by default</w:t>
            </w:r>
          </w:p>
        </w:tc>
        <w:tc>
          <w:tcPr/>
          <w:p>
            <w:pPr>
              <w:pStyle w:val="Compact"/>
              <w:spacing w:after="40" w:line="240" w:lineRule="auto"/>
              <w:jc w:val="left"/>
            </w:pPr>
            <w:r>
              <w:rPr>
                <w:sz w:val="20"/>
              </w:rPr>
              <w:t xml:space="preserve">Made configurable; not presented as a security boundary</w:t>
            </w:r>
          </w:p>
        </w:tc>
      </w:tr>
      <w:tr>
        <w:tc>
          <w:tcPr/>
          <w:p>
            <w:pPr>
              <w:pStyle w:val="Compact"/>
              <w:spacing w:after="40" w:line="240" w:lineRule="auto"/>
              <w:jc w:val="left"/>
            </w:pPr>
            <w:r>
              <w:rPr>
                <w:sz w:val="20"/>
              </w:rPr>
              <w:t xml:space="preserve">Secrets and language-model integration</w:t>
            </w:r>
          </w:p>
        </w:tc>
        <w:tc>
          <w:tcPr/>
          <w:p>
            <w:pPr>
              <w:pStyle w:val="Compact"/>
              <w:spacing w:after="40" w:line="240" w:lineRule="auto"/>
              <w:jc w:val="left"/>
            </w:pPr>
            <w:r>
              <w:rPr>
                <w:sz w:val="20"/>
              </w:rPr>
              <w:t xml:space="preserve">Verified absent by search of the repository</w:t>
            </w:r>
          </w:p>
        </w:tc>
      </w:tr>
      <w:tr>
        <w:tc>
          <w:tcPr/>
          <w:p>
            <w:pPr>
              <w:pStyle w:val="Compact"/>
              <w:spacing w:after="40" w:line="240" w:lineRule="auto"/>
              <w:jc w:val="left"/>
            </w:pPr>
            <w:r>
              <w:rPr>
                <w:sz w:val="20"/>
              </w:rPr>
              <w:t xml:space="preserve">Request validation</w:t>
            </w:r>
          </w:p>
        </w:tc>
        <w:tc>
          <w:tcPr/>
          <w:p>
            <w:pPr>
              <w:pStyle w:val="Compact"/>
              <w:spacing w:after="40" w:line="240" w:lineRule="auto"/>
              <w:jc w:val="left"/>
            </w:pPr>
            <w:r>
              <w:rPr>
                <w:sz w:val="20"/>
              </w:rPr>
              <w:t xml:space="preserve">Adequate; bounds on durations and counts</w:t>
            </w:r>
          </w:p>
        </w:tc>
      </w:tr>
      <w:tr>
        <w:tc>
          <w:tcPr/>
          <w:p>
            <w:pPr>
              <w:pStyle w:val="Compact"/>
              <w:spacing w:after="40" w:line="240" w:lineRule="auto"/>
              <w:jc w:val="left"/>
            </w:pPr>
            <w:r>
              <w:rPr>
                <w:sz w:val="20"/>
              </w:rPr>
              <w:t xml:space="preserve">Serial parser under adversarial input</w:t>
            </w:r>
          </w:p>
        </w:tc>
        <w:tc>
          <w:tcPr/>
          <w:p>
            <w:pPr>
              <w:pStyle w:val="Compact"/>
              <w:spacing w:after="40" w:line="240" w:lineRule="auto"/>
              <w:jc w:val="left"/>
            </w:pPr>
            <w:r>
              <w:rPr>
                <w:sz w:val="20"/>
              </w:rPr>
              <w:t xml:space="preserve">Safe: bad lines counted, values rejected, capture refused below a threshold</w:t>
            </w:r>
          </w:p>
        </w:tc>
      </w:tr>
      <w:tr>
        <w:tc>
          <w:tcPr/>
          <w:p>
            <w:pPr>
              <w:pStyle w:val="Compact"/>
              <w:spacing w:after="40" w:line="240" w:lineRule="auto"/>
              <w:jc w:val="left"/>
            </w:pPr>
            <w:r>
              <w:rPr>
                <w:sz w:val="20"/>
              </w:rPr>
              <w:t xml:space="preserve">Notebook metadata</w:t>
            </w:r>
          </w:p>
        </w:tc>
        <w:tc>
          <w:tcPr/>
          <w:p>
            <w:pPr>
              <w:pStyle w:val="Compact"/>
              <w:spacing w:after="40" w:line="240" w:lineRule="auto"/>
              <w:jc w:val="left"/>
            </w:pPr>
            <w:r>
              <w:rPr>
                <w:sz w:val="20"/>
              </w:rPr>
              <w:t xml:space="preserve">Noted; left to the author</w:t>
            </w:r>
          </w:p>
        </w:tc>
      </w:tr>
    </w:tbl>
    <w:p>
      <w:pPr>
        <w:pStyle w:val="BodyText"/>
      </w:pPr>
      <w:r>
        <w:t xml:space="preserve">The one substantive finding was that three routes opened a filesystem path taken from the request body without any containment. A caller could name a private key or a configuration file, and the per-line rejection reasons returned by the serial path could carry fragments of what was read. The difference between a not-found and a parse error also revealed whether a file existed. The fix resolves the path first and requires it to lie under an allowed root, and rejects it with a client error before any existence check, so an out-of-bounds path cannot be used to probe the disk. A list of allowed roots was chosen over a blocklist of path patterns, because blocklists on path strings can be defeated by symbolic links, percent-encoding and short file names, whereas resolving first and then asking where the path ended up is decided after any such trick has been applied. The allowed roots can be replaced through an environment variable, and the variable replaces the defaults and does not extend them, so setting it cannot leave a development convenience in place. Thirteen tests cover the containment.</w:t>
      </w:r>
    </w:p>
    <w:bookmarkStart w:id="117" w:name="what-is-deliberately-not-defended"/>
    <w:p>
      <w:pPr>
        <w:pStyle w:val="Heading3"/>
      </w:pPr>
      <w:r>
        <w:t xml:space="preserve">What Is Deliberately Not Defended</w:t>
      </w:r>
    </w:p>
    <w:p>
      <w:pPr>
        <w:pStyle w:val="FirstParagraph"/>
      </w:pPr>
      <w:r>
        <w:t xml:space="preserve">The service has no authentication, no rate limiting, no transport security and no tenant isolation, and it keeps one global in-memory store. These are consequences of its scope as a local tool and are recorded as such. The correct remedy for a shared deployment is an authenticating reverse proxy in front of the service and not code inside it.</w:t>
      </w:r>
    </w:p>
    <w:bookmarkEnd w:id="117"/>
    <w:bookmarkEnd w:id="118"/>
    <w:bookmarkStart w:id="119" w:name="dashboard-components"/>
    <w:p>
      <w:pPr>
        <w:pStyle w:val="Heading2"/>
      </w:pPr>
      <w:r>
        <w:t>DASHBOARD COMPONENTS</w:t>
      </w:r>
    </w:p>
    <w:p>
      <w:pPr>
        <w:pStyle w:val="FirstParagraph"/>
      </w:pPr>
      <w:r>
        <w:t xml:space="preserve">The dashboard is a React application with one surface, rendered from the pipeline output. Table 4.11 lists its views. (The repository also keeps earlier per-panel components that the current surface no longer uses.) The panels that display a measured result carry the provenance of the value, so a reader can tell whether a figure comes from a vehicle, a rig, a dataset or a simulation.</w:t>
      </w:r>
    </w:p>
    <w:p>
      <w:pPr>
        <w:pStyle w:val="TableCaption"/>
      </w:pPr>
      <w:r>
        <w:t xml:space="preserve">Table 4.11: Views of the Dashboard</w:t>
      </w:r>
    </w:p>
    <w:tbl>
      <w:tblPr>
        <w:tblStyle w:val="Table"/>
        <w:tblW w:type="pct" w:w="3700"/>
        <w:tblLook w:firstRow="1" w:lastRow="0" w:firstColumn="0" w:lastColumn="0" w:noHBand="0" w:noVBand="0" w:val="0020"/>
        <w:jc w:val="start"/>
        <w:tblCaption w:val="Table 4.11: Views of the Dashboard"/>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484"/>
      </w:tblGrid>
      <w:tr>
        <w:trPr>
          <w:tblHeader w:val="true"/>
        </w:trPr>
        <w:tc>
          <w:tcPr/>
          <w:p>
            <w:pPr>
              <w:pStyle w:val="Compact"/>
              <w:spacing w:after="40" w:line="240" w:lineRule="auto"/>
              <w:jc w:val="left"/>
            </w:pPr>
            <w:r>
              <w:rPr>
                <w:bCs/>
                <w:b/>
                <w:sz w:val="20"/>
              </w:rPr>
              <w:t xml:space="preserve">View</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Fleet risk distribution</w:t>
            </w:r>
          </w:p>
        </w:tc>
        <w:tc>
          <w:tcPr/>
          <w:p>
            <w:pPr>
              <w:pStyle w:val="Compact"/>
              <w:spacing w:after="40" w:line="240" w:lineRule="auto"/>
              <w:jc w:val="left"/>
            </w:pPr>
            <w:r>
              <w:rPr>
                <w:sz w:val="20"/>
              </w:rPr>
              <w:t xml:space="preserve">Risk category of every battery</w:t>
            </w:r>
          </w:p>
        </w:tc>
      </w:tr>
      <w:tr>
        <w:tc>
          <w:tcPr/>
          <w:p>
            <w:pPr>
              <w:pStyle w:val="Compact"/>
              <w:spacing w:after="40" w:line="240" w:lineRule="auto"/>
              <w:jc w:val="left"/>
            </w:pPr>
            <w:r>
              <w:rPr>
                <w:sz w:val="20"/>
              </w:rPr>
              <w:t xml:space="preserve">Behaviour flag incidence</w:t>
            </w:r>
          </w:p>
        </w:tc>
        <w:tc>
          <w:tcPr/>
          <w:p>
            <w:pPr>
              <w:pStyle w:val="Compact"/>
              <w:spacing w:after="40" w:line="240" w:lineRule="auto"/>
              <w:jc w:val="left"/>
            </w:pPr>
            <w:r>
              <w:rPr>
                <w:sz w:val="20"/>
              </w:rPr>
              <w:t xml:space="preserve">How often each flagged behaviour occurs</w:t>
            </w:r>
          </w:p>
        </w:tc>
      </w:tr>
      <w:tr>
        <w:tc>
          <w:tcPr/>
          <w:p>
            <w:pPr>
              <w:pStyle w:val="Compact"/>
              <w:spacing w:after="40" w:line="240" w:lineRule="auto"/>
              <w:jc w:val="left"/>
            </w:pPr>
            <w:r>
              <w:rPr>
                <w:sz w:val="20"/>
              </w:rPr>
              <w:t xml:space="preserve">Battery health</w:t>
            </w:r>
          </w:p>
        </w:tc>
        <w:tc>
          <w:tcPr/>
          <w:p>
            <w:pPr>
              <w:pStyle w:val="Compact"/>
              <w:spacing w:after="40" w:line="240" w:lineRule="auto"/>
              <w:jc w:val="left"/>
            </w:pPr>
            <w:r>
              <w:rPr>
                <w:sz w:val="20"/>
              </w:rPr>
              <w:t xml:space="preserve">Stress score over cycles, risk and health-index attribution</w:t>
            </w:r>
          </w:p>
        </w:tc>
      </w:tr>
      <w:tr>
        <w:tc>
          <w:tcPr/>
          <w:p>
            <w:pPr>
              <w:pStyle w:val="Compact"/>
              <w:spacing w:after="40" w:line="240" w:lineRule="auto"/>
              <w:jc w:val="left"/>
            </w:pPr>
            <w:r>
              <w:rPr>
                <w:sz w:val="20"/>
              </w:rPr>
              <w:t xml:space="preserve">Aggregate parameters</w:t>
            </w:r>
          </w:p>
        </w:tc>
        <w:tc>
          <w:tcPr/>
          <w:p>
            <w:pPr>
              <w:pStyle w:val="Compact"/>
              <w:spacing w:after="40" w:line="240" w:lineRule="auto"/>
              <w:jc w:val="left"/>
            </w:pPr>
            <w:r>
              <w:rPr>
                <w:sz w:val="20"/>
              </w:rPr>
              <w:t xml:space="preserve">Usage parameters of the selected battery</w:t>
            </w:r>
          </w:p>
        </w:tc>
      </w:tr>
      <w:tr>
        <w:tc>
          <w:tcPr/>
          <w:p>
            <w:pPr>
              <w:pStyle w:val="Compact"/>
              <w:spacing w:after="40" w:line="240" w:lineRule="auto"/>
              <w:jc w:val="left"/>
            </w:pPr>
            <w:r>
              <w:rPr>
                <w:sz w:val="20"/>
              </w:rPr>
              <w:t xml:space="preserve">Guardian explanation</w:t>
            </w:r>
          </w:p>
        </w:tc>
        <w:tc>
          <w:tcPr/>
          <w:p>
            <w:pPr>
              <w:pStyle w:val="Compact"/>
              <w:spacing w:after="40" w:line="240" w:lineRule="auto"/>
              <w:jc w:val="left"/>
            </w:pPr>
            <w:r>
              <w:rPr>
                <w:sz w:val="20"/>
              </w:rPr>
              <w:t xml:space="preserve">Plain-language report of the causes found</w:t>
            </w:r>
          </w:p>
        </w:tc>
      </w:tr>
      <w:tr>
        <w:tc>
          <w:tcPr/>
          <w:p>
            <w:pPr>
              <w:pStyle w:val="Compact"/>
              <w:spacing w:after="40" w:line="240" w:lineRule="auto"/>
              <w:jc w:val="left"/>
            </w:pPr>
            <w:r>
              <w:rPr>
                <w:sz w:val="20"/>
              </w:rPr>
              <w:t xml:space="preserve">Bench rig panel</w:t>
            </w:r>
          </w:p>
        </w:tc>
        <w:tc>
          <w:tcPr/>
          <w:p>
            <w:pPr>
              <w:pStyle w:val="Compact"/>
              <w:spacing w:after="40" w:line="240" w:lineRule="auto"/>
              <w:jc w:val="left"/>
            </w:pPr>
            <w:r>
              <w:rPr>
                <w:sz w:val="20"/>
              </w:rPr>
              <w:t xml:space="preserve">Measured readings, with refusals shown where a channel is missing</w:t>
            </w:r>
          </w:p>
        </w:tc>
      </w:tr>
      <w:tr>
        <w:tc>
          <w:tcPr/>
          <w:p>
            <w:pPr>
              <w:pStyle w:val="Compact"/>
              <w:spacing w:after="40" w:line="240" w:lineRule="auto"/>
              <w:jc w:val="left"/>
            </w:pPr>
            <w:r>
              <w:rPr>
                <w:sz w:val="20"/>
              </w:rPr>
              <w:t xml:space="preserve">Twin sheet</w:t>
            </w:r>
          </w:p>
        </w:tc>
        <w:tc>
          <w:tcPr/>
          <w:p>
            <w:pPr>
              <w:pStyle w:val="Compact"/>
              <w:spacing w:after="40" w:line="240" w:lineRule="auto"/>
              <w:jc w:val="left"/>
            </w:pPr>
            <w:r>
              <w:rPr>
                <w:sz w:val="20"/>
              </w:rPr>
              <w:t xml:space="preserve">Observed and predicted state; shows not available until the twin is wired in</w:t>
            </w:r>
          </w:p>
        </w:tc>
      </w:tr>
      <w:tr>
        <w:tc>
          <w:tcPr/>
          <w:p>
            <w:pPr>
              <w:pStyle w:val="Compact"/>
              <w:spacing w:after="40" w:line="240" w:lineRule="auto"/>
              <w:jc w:val="left"/>
            </w:pPr>
            <w:r>
              <w:rPr>
                <w:sz w:val="20"/>
              </w:rPr>
              <w:t xml:space="preserve">Provenance banner</w:t>
            </w:r>
          </w:p>
        </w:tc>
        <w:tc>
          <w:tcPr/>
          <w:p>
            <w:pPr>
              <w:pStyle w:val="Compact"/>
              <w:spacing w:after="40" w:line="240" w:lineRule="auto"/>
              <w:jc w:val="left"/>
            </w:pPr>
            <w:r>
              <w:rPr>
                <w:sz w:val="20"/>
              </w:rPr>
              <w:t xml:space="preserve">Source of the displayed values</w:t>
            </w:r>
          </w:p>
        </w:tc>
      </w:tr>
    </w:tbl>
    <w:p>
      <w:pPr>
        <w:pStyle w:val="BodyText"/>
      </w:pPr>
      <w:r>
        <w:t xml:space="preserve">The design mock-up of the dashboard contained placeholder readings, such as a state of health of 92.4% and a remaining life of 1,245 cycles. A decision record fixes that the interface renders only values that were computed, and shows a refusal or an empty state in place of a placeholder when the pipeline has produced nothing. This is the same stance as in the estimators, applied to the display.</w:t>
      </w:r>
    </w:p>
    <w:bookmarkEnd w:id="119"/>
    <w:bookmarkStart w:id="120" w:name="health-report-card"/>
    <w:p>
      <w:pPr>
        <w:pStyle w:val="Heading2"/>
      </w:pP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120"/>
    <w:bookmarkStart w:id="122" w:name="X4ad724ce4bc60d3d774effce658d43aa469ce9a"/>
    <w:p>
      <w:pPr>
        <w:pStyle w:val="Heading2"/>
      </w:pP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Start w:id="121" w:name="test-modules-by-subsystem"/>
    <w:p>
      <w:pPr>
        <w:pStyle w:val="Heading3"/>
      </w:pPr>
      <w:r>
        <w:t xml:space="preserve">Test Modules by Subsystem</w:t>
      </w:r>
    </w:p>
    <w:p>
      <w:pPr>
        <w:pStyle w:val="FirstParagraph"/>
      </w:pPr>
      <w:r>
        <w:t xml:space="preserve">Table 4.12 lists some of the test modules and the behaviour each one pins. Each subsystem has tests at its own boundary, so a fault is caught where it is introduced and not where it is first noticed.</w:t>
      </w:r>
    </w:p>
    <w:p>
      <w:pPr>
        <w:pStyle w:val="TableCaption"/>
      </w:pPr>
      <w:r>
        <w:t xml:space="preserve">Table 4.12: Selected Test Modules and What They Check</w:t>
      </w:r>
    </w:p>
    <w:tbl>
      <w:tblPr>
        <w:tblStyle w:val="Table"/>
        <w:tblW w:type="pct" w:w="4200"/>
        <w:tblLook w:firstRow="1" w:lastRow="0" w:firstColumn="0" w:lastColumn="0" w:noHBand="0" w:noVBand="0" w:val="0020"/>
        <w:jc w:val="start"/>
        <w:tblCaption w:val="Table 4.12: Selected Test Modules and What They Check"/>
        <w:tblBorders>
          <w:top w:val="single" w:sz="4" w:color="000000"/>
          <w:left w:val="single" w:sz="4" w:color="000000"/>
          <w:bottom w:val="single" w:sz="4" w:color="000000"/>
          <w:right w:val="single" w:sz="4" w:color="000000"/>
          <w:insideH w:val="single" w:sz="4" w:color="000000"/>
          <w:insideV w:val="single" w:sz="4" w:color="000000"/>
        </w:tblBorders>
      </w:tblPr>
      <w:tblGrid>
        <w:gridCol w:w="3326"/>
        <w:gridCol w:w="3326"/>
      </w:tblGrid>
      <w:tr>
        <w:trPr>
          <w:tblHeader w:val="true"/>
        </w:trPr>
        <w:tc>
          <w:tcPr/>
          <w:p>
            <w:pPr>
              <w:pStyle w:val="Compact"/>
              <w:spacing w:after="40" w:line="240" w:lineRule="auto"/>
              <w:jc w:val="left"/>
            </w:pPr>
            <w:r>
              <w:rPr>
                <w:bCs/>
                <w:b/>
                <w:sz w:val="20"/>
              </w:rPr>
              <w:t xml:space="preserve">Module</w:t>
            </w:r>
          </w:p>
        </w:tc>
        <w:tc>
          <w:tcPr/>
          <w:p>
            <w:pPr>
              <w:pStyle w:val="Compact"/>
              <w:spacing w:after="40" w:line="240" w:lineRule="auto"/>
              <w:jc w:val="left"/>
            </w:pPr>
            <w:r>
              <w:rPr>
                <w:bCs/>
                <w:b/>
                <w:sz w:val="20"/>
              </w:rPr>
              <w:t xml:space="preserve">Behaviour checked</w:t>
            </w:r>
          </w:p>
        </w:tc>
      </w:tr>
      <w:tr>
        <w:tc>
          <w:tcPr/>
          <w:p>
            <w:pPr>
              <w:pStyle w:val="Compact"/>
              <w:spacing w:after="40" w:line="240" w:lineRule="auto"/>
              <w:jc w:val="left"/>
            </w:pPr>
            <w:r>
              <w:rPr>
                <w:rStyle w:val="VerbatimChar"/>
                <w:sz w:val="20"/>
              </w:rPr>
              <w:t xml:space="preserve">test_api</w:t>
            </w:r>
          </w:p>
        </w:tc>
        <w:tc>
          <w:tcPr/>
          <w:p>
            <w:pPr>
              <w:pStyle w:val="Compact"/>
              <w:spacing w:after="40" w:line="240" w:lineRule="auto"/>
              <w:jc w:val="left"/>
            </w:pPr>
            <w:r>
              <w:rPr>
                <w:sz w:val="20"/>
              </w:rPr>
              <w:t xml:space="preserve">Route behaviour, repeated identical seeded run produces no new twin transitions</w:t>
            </w:r>
          </w:p>
        </w:tc>
      </w:tr>
      <w:tr>
        <w:tc>
          <w:tcPr/>
          <w:p>
            <w:pPr>
              <w:pStyle w:val="Compact"/>
              <w:spacing w:after="40" w:line="240" w:lineRule="auto"/>
              <w:jc w:val="left"/>
            </w:pPr>
            <w:r>
              <w:rPr>
                <w:rStyle w:val="VerbatimChar"/>
                <w:sz w:val="20"/>
              </w:rPr>
              <w:t xml:space="preserve">test_api_path_containment</w:t>
            </w:r>
          </w:p>
        </w:tc>
        <w:tc>
          <w:tcPr/>
          <w:p>
            <w:pPr>
              <w:pStyle w:val="Compact"/>
              <w:spacing w:after="40" w:line="240" w:lineRule="auto"/>
              <w:jc w:val="left"/>
            </w:pPr>
            <w:r>
              <w:rPr>
                <w:sz w:val="20"/>
              </w:rPr>
              <w:t xml:space="preserve">Absolute sensitive paths, parent-directory traversal and empty paths are rejected before any existence check; the environment-variable override is covered</w:t>
            </w:r>
          </w:p>
        </w:tc>
      </w:tr>
      <w:tr>
        <w:tc>
          <w:tcPr/>
          <w:p>
            <w:pPr>
              <w:pStyle w:val="Compact"/>
              <w:spacing w:after="40" w:line="240" w:lineRule="auto"/>
              <w:jc w:val="left"/>
            </w:pPr>
            <w:r>
              <w:rPr>
                <w:rStyle w:val="VerbatimChar"/>
                <w:sz w:val="20"/>
              </w:rPr>
              <w:t xml:space="preserve">test_can_dbc</w:t>
            </w:r>
          </w:p>
        </w:tc>
        <w:tc>
          <w:tcPr/>
          <w:p>
            <w:pPr>
              <w:pStyle w:val="Compact"/>
              <w:spacing w:after="40" w:line="240" w:lineRule="auto"/>
              <w:jc w:val="left"/>
            </w:pPr>
            <w:r>
              <w:rPr>
                <w:sz w:val="20"/>
              </w:rPr>
              <w:t xml:space="preserve">Decoded values match the published worked example; missing voltage and temperature reported by the validator</w:t>
            </w:r>
          </w:p>
        </w:tc>
      </w:tr>
      <w:tr>
        <w:tc>
          <w:tcPr/>
          <w:p>
            <w:pPr>
              <w:pStyle w:val="Compact"/>
              <w:spacing w:after="40" w:line="240" w:lineRule="auto"/>
              <w:jc w:val="left"/>
            </w:pPr>
            <w:r>
              <w:rPr>
                <w:rStyle w:val="VerbatimChar"/>
                <w:sz w:val="20"/>
              </w:rPr>
              <w:t xml:space="preserve">test_can_vehicle_registry</w:t>
            </w:r>
          </w:p>
        </w:tc>
        <w:tc>
          <w:tcPr/>
          <w:p>
            <w:pPr>
              <w:pStyle w:val="Compact"/>
              <w:spacing w:after="40" w:line="240" w:lineRule="auto"/>
              <w:jc w:val="left"/>
            </w:pPr>
            <w:r>
              <w:rPr>
                <w:sz w:val="20"/>
              </w:rPr>
              <w:t xml:space="preserve">Vehicle identified from observed identifiers; ambiguous input refused</w:t>
            </w:r>
          </w:p>
        </w:tc>
      </w:tr>
      <w:tr>
        <w:tc>
          <w:tcPr/>
          <w:p>
            <w:pPr>
              <w:pStyle w:val="Compact"/>
              <w:spacing w:after="40" w:line="240" w:lineRule="auto"/>
              <w:jc w:val="left"/>
            </w:pPr>
            <w:r>
              <w:rPr>
                <w:rStyle w:val="VerbatimChar"/>
                <w:sz w:val="20"/>
              </w:rPr>
              <w:t xml:space="preserve">test_digital_twin</w:t>
            </w:r>
          </w:p>
        </w:tc>
        <w:tc>
          <w:tcPr/>
          <w:p>
            <w:pPr>
              <w:pStyle w:val="Compact"/>
              <w:spacing w:after="40" w:line="240" w:lineRule="auto"/>
              <w:jc w:val="left"/>
            </w:pPr>
            <w:r>
              <w:rPr>
                <w:sz w:val="20"/>
              </w:rPr>
              <w:t xml:space="preserve">State derivation and transition recording</w:t>
            </w:r>
          </w:p>
        </w:tc>
      </w:tr>
      <w:tr>
        <w:tc>
          <w:tcPr/>
          <w:p>
            <w:pPr>
              <w:pStyle w:val="Compact"/>
              <w:spacing w:after="40" w:line="240" w:lineRule="auto"/>
              <w:jc w:val="left"/>
            </w:pPr>
            <w:r>
              <w:rPr>
                <w:rStyle w:val="VerbatimChar"/>
                <w:sz w:val="20"/>
              </w:rPr>
              <w:t xml:space="preserve">test_serial_telemetry</w:t>
            </w:r>
          </w:p>
        </w:tc>
        <w:tc>
          <w:tcPr/>
          <w:p>
            <w:pPr>
              <w:pStyle w:val="Compact"/>
              <w:spacing w:after="40" w:line="240" w:lineRule="auto"/>
              <w:jc w:val="left"/>
            </w:pPr>
            <w:r>
              <w:rPr>
                <w:sz w:val="20"/>
              </w:rPr>
              <w:t xml:space="preserve">Framing, checksum, rejected values, capture-level refusal</w:t>
            </w:r>
          </w:p>
        </w:tc>
      </w:tr>
      <w:tr>
        <w:tc>
          <w:tcPr/>
          <w:p>
            <w:pPr>
              <w:pStyle w:val="Compact"/>
              <w:spacing w:after="40" w:line="240" w:lineRule="auto"/>
              <w:jc w:val="left"/>
            </w:pPr>
            <w:r>
              <w:rPr>
                <w:rStyle w:val="VerbatimChar"/>
                <w:sz w:val="20"/>
              </w:rPr>
              <w:t xml:space="preserve">test_hardware_readiness</w:t>
            </w:r>
          </w:p>
        </w:tc>
        <w:tc>
          <w:tcPr/>
          <w:p>
            <w:pPr>
              <w:pStyle w:val="Compact"/>
              <w:spacing w:after="40" w:line="240" w:lineRule="auto"/>
              <w:jc w:val="left"/>
            </w:pPr>
            <w:r>
              <w:rPr>
                <w:sz w:val="20"/>
              </w:rPr>
              <w:t xml:space="preserve">Truncated lines, corrupted checksums, non-finite and out-of-range fields</w:t>
            </w:r>
          </w:p>
        </w:tc>
      </w:tr>
      <w:tr>
        <w:tc>
          <w:tcPr/>
          <w:p>
            <w:pPr>
              <w:pStyle w:val="Compact"/>
              <w:spacing w:after="40" w:line="240" w:lineRule="auto"/>
              <w:jc w:val="left"/>
            </w:pPr>
            <w:r>
              <w:rPr>
                <w:sz w:val="20"/>
              </w:rPr>
              <w:t xml:space="preserve">Gateway tests (</w:t>
            </w:r>
            <w:r>
              <w:rPr>
                <w:rStyle w:val="VerbatimChar"/>
                <w:sz w:val="20"/>
              </w:rPr>
              <w:t xml:space="preserve">gateway</w:t>
            </w:r>
            <w:r>
              <w:rPr>
                <w:sz w:val="20"/>
              </w:rPr>
              <w:t xml:space="preserve">,</w:t>
            </w:r>
            <w:r>
              <w:rPr>
                <w:sz w:val="20"/>
              </w:rPr>
              <w:t xml:space="preserve"> </w:t>
            </w:r>
            <w:r>
              <w:rPr>
                <w:rStyle w:val="VerbatimChar"/>
                <w:sz w:val="20"/>
              </w:rPr>
              <w:t xml:space="preserve">telemetry</w:t>
            </w:r>
            <w:r>
              <w:rPr>
                <w:sz w:val="20"/>
              </w:rPr>
              <w:t xml:space="preserve">)</w:t>
            </w:r>
          </w:p>
        </w:tc>
        <w:tc>
          <w:tcPr/>
          <w:p>
            <w:pPr>
              <w:pStyle w:val="Compact"/>
              <w:spacing w:after="40" w:line="240" w:lineRule="auto"/>
              <w:jc w:val="left"/>
            </w:pPr>
            <w:r>
              <w:rPr>
                <w:sz w:val="20"/>
              </w:rPr>
              <w:t xml:space="preserve">Each route forwards to the Python service and returns its result unchanged</w:t>
            </w:r>
          </w:p>
        </w:tc>
      </w:tr>
    </w:tbl>
    <w:bookmarkEnd w:id="121"/>
    <w:bookmarkEnd w:id="122"/>
    <w:bookmarkStart w:id="123" w:name="containerisation-and-deployment"/>
    <w:p>
      <w:pPr>
        <w:pStyle w:val="Heading2"/>
      </w:pP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123"/>
    <w:bookmarkStart w:id="124" w:name="operational-workflow"/>
    <w:p>
      <w:pPr>
        <w:pStyle w:val="Heading2"/>
      </w:pPr>
      <w:r>
        <w:t>OPERATIONAL WORKFLOW</w:t>
      </w:r>
    </w:p>
    <w:p>
      <w:pPr>
        <w:pStyle w:val="FirstParagraph"/>
      </w:pPr>
      <w:r>
        <w:t xml:space="preserve">A typical session with the system follows the same path whatever the source. An operator starts the three services, or runs the single command that produces the end-to-end result, and selects a source: a simulated fleet, a recorded CAN log with its DBC file, a serial capture, or a live capture from the rig. The service converts the source to the unified frame, applies the schema and capture-level checks, and scores the result. The dashboard then shows the fleet table first, with each battery’s health, risk and remaining life, and each value labelled with its source. Selecting a battery opens its detail, where the health over cycles, the attribution of the health index and the twin history are shown. If a capture was refused, the dashboard shows the refusal and its cause in the place where the number would have been.</w:t>
      </w:r>
    </w:p>
    <w:p>
      <w:pPr>
        <w:pStyle w:val="BodyText"/>
      </w:pPr>
      <w:r>
        <w:t xml:space="preserve">The same path serves a bench session. With the rig connected, the operator records a capture to a file and replays it through the serial route, which gives the same result as scoring it live and leaves a file that can be re-scored after any change to the code. Replay from a recorded file is also how the results of this report were reproduced, since a file scored twice gives the same output, and a live cell does not.</w:t>
      </w:r>
    </w:p>
    <w:bookmarkEnd w:id="124"/>
    <w:bookmarkStart w:id="125" w:name="chapter-summary"/>
    <w:p>
      <w:pPr>
        <w:pStyle w:val="Heading2"/>
      </w:pP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125"/>
    <w:bookmarkEnd w:id="126"/>
    <w:bookmarkStart w:id="165" w:name="results-and-discussion"/>
    <w:p>
      <w:pPr>
        <w:pStyle w:val="Heading1"/>
      </w:pPr>
      <w:r>
        <w:t>RESULTS AND DISCUSSION</w:t>
      </w:r>
    </w:p>
    <w:p>
      <w:pPr>
        <w:pStyle w:val="FirstParagraph"/>
      </w:pPr>
      <w:r>
        <w:t xml:space="preserve">This chapter reports what the system measured and interprets each result where it appears. Every number is traced to a committed artifact. Errors are mean absolute errors in SOH (0.01 equals one percentage point) per cell, summarised as a median over cells with a 95% bootstrap interval that resamples cells, unless stated otherwise. Results that failed are reported alongside those that worked.</w:t>
      </w:r>
    </w:p>
    <w:bookmarkStart w:id="130" w:name="X2645008fd9c42e69aa6e101a88701c5d6e9600f"/>
    <w:p>
      <w:pPr>
        <w:pStyle w:val="Heading2"/>
      </w:pPr>
      <w:r>
        <w:t>PERFORMANCE OF FITTED MODELS UNDER PROTOCOL SHIFT</w:t>
      </w:r>
    </w:p>
    <w:p>
      <w:pPr>
        <w:pStyle w:val="FirstParagraph"/>
      </w:pPr>
      <w:r>
        <w:t xml:space="preserve">On the NASA benchmark (31 cells, nine cohorts; the isotonic signal ceiling for the target SOH is 0.569), eleven of the twelve methods lost skill, and the twelfth, a train-mean baseline, cannot lose it by construction,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Fig. 5.1 shows the same comparison for all fourteen scored methods: nearly every bar drops from the blue (LOBO) to the red (LOCO) value when the held-out unit changes from a cell to a whole protocol cohort.</w:t>
      </w:r>
    </w:p>
    <w:p>
      <w:pPr>
        <w:pStyle w:val="CaptionedFigure"/>
      </w:pPr>
      <w:r>
        <w:drawing>
          <wp:inline>
            <wp:extent cx="4937760" cy="2468880"/>
            <wp:effectExtent b="0" l="0" r="0" t="0"/>
            <wp:docPr descr="" title="" id="128" name="Picture"/>
            <a:graphic>
              <a:graphicData uri="http://schemas.openxmlformats.org/drawingml/2006/picture">
                <pic:pic>
                  <pic:nvPicPr>
                    <pic:cNvPr descr="images/bench_lobo_loco.png" id="129" name="Picture"/>
                    <pic:cNvPicPr>
                      <a:picLocks noChangeArrowheads="1" noChangeAspect="1"/>
                    </pic:cNvPicPr>
                  </pic:nvPicPr>
                  <pic:blipFill>
                    <a:blip r:embed="rId127"/>
                    <a:stretch>
                      <a:fillRect/>
                    </a:stretch>
                  </pic:blipFill>
                  <pic:spPr bwMode="auto">
                    <a:xfrm>
                      <a:off x="0" y="0"/>
                      <a:ext cx="4937760" cy="2468880"/>
                    </a:xfrm>
                    <a:prstGeom prst="rect">
                      <a:avLst/>
                    </a:prstGeom>
                    <a:noFill/>
                    <a:ln w="9525">
                      <a:noFill/>
                      <a:headEnd/>
                      <a:tailEnd/>
                    </a:ln>
                  </pic:spPr>
                </pic:pic>
              </a:graphicData>
            </a:graphic>
          </wp:inline>
        </w:drawing>
      </w:r>
    </w:p>
    <w:p>
      <w:pPr>
        <w:pStyle w:val="ImageCaption"/>
      </w:pPr>
      <w:r>
        <w:t xml:space="preserve">Figure 5.1: LOBO and LOCO</w:t>
      </w:r>
      <w:r>
        <w:t xml:space="preserve"> </w:t>
      </w:r>
      <m:oMath>
        <m:sSup>
          <m:e>
            <m:r>
              <m:t>R</m:t>
            </m:r>
          </m:e>
          <m:sup>
            <m:r>
              <m:t>2</m:t>
            </m:r>
          </m:sup>
        </m:sSup>
      </m:oMath>
      <w:r>
        <w:t xml:space="preserve"> </w:t>
      </w:r>
      <w:r>
        <w:t xml:space="preserve">for SOH for every scored method on the 31-cell NASA benchmark (data:</w:t>
      </w:r>
      <w:r>
        <w:t xml:space="preserve"> </w:t>
      </w:r>
      <w:r>
        <w:rPr>
          <w:rStyle w:val="VerbatimChar"/>
        </w:rPr>
        <w:t xml:space="preserve">benchmark_results.csv</w:t>
      </w:r>
      <w:r>
        <w:t xml:space="preserve">). Skill measured across cells does not carry over to a new protocol.</w:t>
      </w:r>
    </w:p>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in the two cohorts where it was significant),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on the 33 cells of the earlier health-index ranking),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130"/>
    <w:bookmarkStart w:id="137" w:name="field-state-of-health-estimation"/>
    <w:p>
      <w:pPr>
        <w:pStyle w:val="Heading2"/>
      </w:pPr>
      <w:r>
        <w:t>FIELD STATE-OF-HEALTH ESTIMATION</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5.2 tracks the estimate against every laboratory capacity test, and Fig. 5.3 shows every measured cell.</w:t>
      </w:r>
    </w:p>
    <w:p>
      <w:pPr>
        <w:pStyle w:val="CaptionedFigure"/>
      </w:pPr>
      <w:r>
        <w:drawing>
          <wp:inline>
            <wp:extent cx="4937760" cy="3142210"/>
            <wp:effectExtent b="0" l="0" r="0" t="0"/>
            <wp:docPr descr="" title="" id="132" name="Picture"/>
            <a:graphic>
              <a:graphicData uri="http://schemas.openxmlformats.org/drawingml/2006/picture">
                <pic:pic>
                  <pic:nvPicPr>
                    <pic:cNvPr descr="images/results_soh_tracking.png" id="133" name="Picture"/>
                    <pic:cNvPicPr>
                      <a:picLocks noChangeArrowheads="1" noChangeAspect="1"/>
                    </pic:cNvPicPr>
                  </pic:nvPicPr>
                  <pic:blipFill>
                    <a:blip r:embed="rId131"/>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5.2: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135" name="Picture"/>
            <a:graphic>
              <a:graphicData uri="http://schemas.openxmlformats.org/drawingml/2006/picture">
                <pic:pic>
                  <pic:nvPicPr>
                    <pic:cNvPr descr="images/results_soh_per_cell.png" id="136" name="Picture"/>
                    <pic:cNvPicPr>
                      <a:picLocks noChangeArrowheads="1" noChangeAspect="1"/>
                    </pic:cNvPicPr>
                  </pic:nvPicPr>
                  <pic:blipFill>
                    <a:blip r:embed="rId134"/>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5.3: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SOH figure and an 88% RUL figure had been scored against a reference capacity taken from each cell’s whole life, which uses the future and which no BMS can hold.</w:t>
      </w:r>
    </w:p>
    <w:bookmarkEnd w:id="137"/>
    <w:bookmarkStart w:id="138" w:name="partial-discharges"/>
    <w:p>
      <w:pPr>
        <w:pStyle w:val="Heading2"/>
      </w:pP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138"/>
    <w:bookmarkStart w:id="139" w:name="internal-resistance-estimation"/>
    <w:p>
      <w:pPr>
        <w:pStyle w:val="Heading2"/>
      </w:pPr>
      <w:r>
        <w:t>INTERNAL RESISTANCE ESTIMATION</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139"/>
    <w:bookmarkStart w:id="143" w:name="remaining-useful-life-1"/>
    <w:p>
      <w:pPr>
        <w:pStyle w:val="Heading2"/>
      </w:pP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5.4 summarises the result.</w:t>
      </w:r>
    </w:p>
    <w:p>
      <w:pPr>
        <w:pStyle w:val="CaptionedFigure"/>
      </w:pPr>
      <w:r>
        <w:drawing>
          <wp:inline>
            <wp:extent cx="4937760" cy="2064880"/>
            <wp:effectExtent b="0" l="0" r="0" t="0"/>
            <wp:docPr descr="" title="" id="141" name="Picture"/>
            <a:graphic>
              <a:graphicData uri="http://schemas.openxmlformats.org/drawingml/2006/picture">
                <pic:pic>
                  <pic:nvPicPr>
                    <pic:cNvPr descr="images/results_rul.png" id="142" name="Picture"/>
                    <pic:cNvPicPr>
                      <a:picLocks noChangeArrowheads="1" noChangeAspect="1"/>
                    </pic:cNvPicPr>
                  </pic:nvPicPr>
                  <pic:blipFill>
                    <a:blip r:embed="rId140"/>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5.4: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143"/>
    <w:bookmarkStart w:id="144" w:name="X24282a59a17dfddc91bc7c82ae77a818da1bc2d"/>
    <w:p>
      <w:pPr>
        <w:pStyle w:val="Heading2"/>
      </w:pPr>
      <w:r>
        <w:t>RUL ESTIMATION UNDER SPARSE COMPLETE DISCHARGES</w:t>
      </w:r>
    </w:p>
    <w:p>
      <w:pPr>
        <w:pStyle w:val="FirstParagraph"/>
      </w:pPr>
      <w:r>
        <w:t xml:space="preserve">A driver who seldom fully discharges produces few complete discharges (on the partial-cycling cell CS2_24 they are rare).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144"/>
    <w:bookmarkStart w:id="145" w:name="evidence-sufficiency-analysis"/>
    <w:p>
      <w:pPr>
        <w:pStyle w:val="Heading2"/>
      </w:pPr>
      <w:r>
        <w:t>EVIDENCE SUFFICIENCY ANALYSIS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145"/>
    <w:bookmarkStart w:id="146" w:name="external-validation-on-a-second-dataset"/>
    <w:p>
      <w:pPr>
        <w:pStyle w:val="Heading2"/>
      </w:pP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the 80% Threshold.</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46"/>
    <w:bookmarkStart w:id="147" w:name="X2f5777ec1cd3c9e2bdc40f140bc70c360603f05"/>
    <w:p>
      <w:pPr>
        <w:pStyle w:val="Heading2"/>
      </w:pPr>
      <w:r>
        <w:t>VALIDATION ON A THIRD DATASET AND REFUSAL BEHAVIOUR</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47"/>
    <w:bookmarkStart w:id="157" w:name="system-and-hardware-results"/>
    <w:p>
      <w:pPr>
        <w:pStyle w:val="Heading2"/>
      </w:pPr>
      <w:r>
        <w:t>SYSTEM AND HARDWARE RESULTS</w:t>
      </w:r>
    </w:p>
    <w:bookmarkStart w:id="154" w:name="bench-rig-captures"/>
    <w:p>
      <w:pPr>
        <w:pStyle w:val="Heading3"/>
      </w:pPr>
      <w:r>
        <w:t xml:space="preserve">Bench Rig Captures</w:t>
      </w:r>
    </w:p>
    <w:p>
      <w:pPr>
        <w:pStyle w:val="FirstParagraph"/>
      </w:pPr>
      <w:r>
        <w:t xml:space="preserve">Three captures are discussed here (Table 5.9); the repository holds further bring-up files, including one garbled capture from the baud-rate fault and one longer synthetic run.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p>
      <w:pPr>
        <w:pStyle w:val="BodyText"/>
      </w:pPr>
      <w:r>
        <w:t xml:space="preserve">Fig. 5.5 plots the Stage B capture and Fig. 5.6 shows how the dashboard presents it.</w:t>
      </w:r>
    </w:p>
    <w:p>
      <w:pPr>
        <w:pStyle w:val="CaptionedFigure"/>
      </w:pPr>
      <w:r>
        <w:drawing>
          <wp:inline>
            <wp:extent cx="4937760" cy="2606039"/>
            <wp:effectExtent b="0" l="0" r="0" t="0"/>
            <wp:docPr descr="" title="" id="149" name="Picture"/>
            <a:graphic>
              <a:graphicData uri="http://schemas.openxmlformats.org/drawingml/2006/picture">
                <pic:pic>
                  <pic:nvPicPr>
                    <pic:cNvPr descr="images/rig_capture.png" id="150" name="Picture"/>
                    <pic:cNvPicPr>
                      <a:picLocks noChangeArrowheads="1" noChangeAspect="1"/>
                    </pic:cNvPicPr>
                  </pic:nvPicPr>
                  <pic:blipFill>
                    <a:blip r:embed="rId148"/>
                    <a:stretch>
                      <a:fillRect/>
                    </a:stretch>
                  </pic:blipFill>
                  <pic:spPr bwMode="auto">
                    <a:xfrm>
                      <a:off x="0" y="0"/>
                      <a:ext cx="4937760" cy="2606039"/>
                    </a:xfrm>
                    <a:prstGeom prst="rect">
                      <a:avLst/>
                    </a:prstGeom>
                    <a:noFill/>
                    <a:ln w="9525">
                      <a:noFill/>
                      <a:headEnd/>
                      <a:tailEnd/>
                    </a:ln>
                  </pic:spPr>
                </pic:pic>
              </a:graphicData>
            </a:graphic>
          </wp:inline>
        </w:drawing>
      </w:r>
    </w:p>
    <w:p>
      <w:pPr>
        <w:pStyle w:val="ImageCaption"/>
      </w:pPr>
      <w:r>
        <w:t xml:space="preserve">Figure 5.5: Stage B capture from the bench rig (83 frames over 82 s, one cell at rest). Voltage moves between 3.984 and 3.992 V in steps of the INA219’s 4 mV LSB, and current stays at the</w:t>
      </w:r>
      <w:r>
        <w:t xml:space="preserve"> </w:t>
      </w:r>
      <m:oMath>
        <m:r>
          <m:rPr>
            <m:sty m:val="p"/>
          </m:rPr>
          <m:t>±</m:t>
        </m:r>
      </m:oMath>
      <w:r>
        <w:t xml:space="preserve">0.4 mA noise floor.</w:t>
      </w:r>
    </w:p>
    <w:p>
      <w:pPr>
        <w:pStyle w:val="CaptionedFigure"/>
      </w:pPr>
      <w:r>
        <w:drawing>
          <wp:inline>
            <wp:extent cx="4937760" cy="3833621"/>
            <wp:effectExtent b="0" l="0" r="0" t="0"/>
            <wp:docPr descr="" title="" id="152" name="Picture"/>
            <a:graphic>
              <a:graphicData uri="http://schemas.openxmlformats.org/drawingml/2006/picture">
                <pic:pic>
                  <pic:nvPicPr>
                    <pic:cNvPr descr="images/ui_evidence.png" id="153" name="Picture"/>
                    <pic:cNvPicPr>
                      <a:picLocks noChangeArrowheads="1" noChangeAspect="1"/>
                    </pic:cNvPicPr>
                  </pic:nvPicPr>
                  <pic:blipFill>
                    <a:blip r:embed="rId151"/>
                    <a:stretch>
                      <a:fillRect/>
                    </a:stretch>
                  </pic:blipFill>
                  <pic:spPr bwMode="auto">
                    <a:xfrm>
                      <a:off x="0" y="0"/>
                      <a:ext cx="4937760" cy="3833621"/>
                    </a:xfrm>
                    <a:prstGeom prst="rect">
                      <a:avLst/>
                    </a:prstGeom>
                    <a:noFill/>
                    <a:ln w="9525">
                      <a:noFill/>
                      <a:headEnd/>
                      <a:tailEnd/>
                    </a:ln>
                  </pic:spPr>
                </pic:pic>
              </a:graphicData>
            </a:graphic>
          </wp:inline>
        </w:drawing>
      </w:r>
    </w:p>
    <w:p>
      <w:pPr>
        <w:pStyle w:val="ImageCaption"/>
      </w:pPr>
      <w:r>
        <w:t xml:space="preserve">Figure 5.6: Evidence view of the BEACON dashboard for the bench rig: 83 of 83 records accepted, voltage and current as measured, temperature reported as not supplied, and the health index, remaining life and state of health refused because coverage is incomplete.</w:t>
      </w:r>
    </w:p>
    <w:bookmarkEnd w:id="154"/>
    <w:bookmarkStart w:id="155" w:name="fault-injection"/>
    <w:p>
      <w:pPr>
        <w:pStyle w:val="Heading3"/>
      </w:pP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55"/>
    <w:bookmarkStart w:id="156" w:name="Xa02a71f04cbfbaee63c846a057c53165dabfc4c"/>
    <w:p>
      <w:pPr>
        <w:pStyle w:val="Heading3"/>
      </w:pP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56"/>
    <w:bookmarkEnd w:id="157"/>
    <w:bookmarkStart w:id="158" w:name="Xd3f8ad7df265cef58eca5272d7d9dc9db31ce47"/>
    <w:p>
      <w:pPr>
        <w:pStyle w:val="Heading2"/>
      </w:pPr>
      <w:r>
        <w:t>ILLUSTRATIVE EXAMPLE: THE HEALTH REPORT CARD</w:t>
      </w:r>
    </w:p>
    <w:p>
      <w:pPr>
        <w:pStyle w:val="FirstParagraph"/>
      </w:pPr>
      <w:r>
        <w:t xml:space="preserve">Fig. 5.7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5.7: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58"/>
    <w:bookmarkStart w:id="159" w:name="discussion"/>
    <w:p>
      <w:pPr>
        <w:pStyle w:val="Heading2"/>
      </w:pPr>
      <w:r>
        <w:t>DISCUSSION</w:t>
      </w:r>
    </w:p>
    <w:p>
      <w:pPr>
        <w:pStyle w:val="FirstParagraph"/>
      </w:pPr>
      <w:r>
        <w:rPr>
          <w:bCs/>
          <w:b/>
        </w:rPr>
        <w:t xml:space="preserve">Effect of Conditioning Versus Model Choice.</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Dependence on the Reference Definition.</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Sensitivity of Threshold Crossings to Bias.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Quantifying Evidence Sufficiency.</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 of the Findings.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59"/>
    <w:bookmarkStart w:id="160" w:name="implications-for-bms-software-design"/>
    <w:p>
      <w:pPr>
        <w:pStyle w:val="Heading2"/>
      </w:pPr>
      <w:r>
        <w:t>IMPLICATIONS FOR BMS SOFTWARE DESIGN</w:t>
      </w:r>
    </w:p>
    <w:p>
      <w:pPr>
        <w:pStyle w:val="FirstParagraph"/>
      </w:pPr>
      <w:r>
        <w:t xml:space="preserve">Four implications follow from the results and are stated here as design guidance for a software layer above a BMS.</w:t>
      </w:r>
    </w:p>
    <w:p>
      <w:pPr>
        <w:pStyle w:val="BodyText"/>
      </w:pPr>
      <w:r>
        <w:rPr>
          <w:bCs/>
          <w:b/>
        </w:rPr>
        <w:t xml:space="preserve">Validate on the Unit of Deployment.</w:t>
      </w:r>
      <w:r>
        <w:t xml:space="preserve"> </w:t>
      </w:r>
      <w:r>
        <w:t xml:space="preserve">A model is deployed on a battery that has not been seen and often on a protocol that has not been seen. The validation split should hold out that unit, and the interval around the result should be reported, because on the benchmark of this project the interval on a single method was wider than the difference between methods.</w:t>
      </w:r>
    </w:p>
    <w:p>
      <w:pPr>
        <w:pStyle w:val="BodyText"/>
      </w:pPr>
      <w:r>
        <w:rPr>
          <w:bCs/>
          <w:b/>
        </w:rPr>
        <w:t xml:space="preserve">Prefer Measurement to Fitting Where Measurement Is Possible.</w:t>
      </w:r>
      <w:r>
        <w:t xml:space="preserve"> </w:t>
      </w:r>
      <w:r>
        <w:t xml:space="preserve">Voltage, current and time are enough to measure capacity on a discharge that spans a voltage window, and the measurement needs no training cells. Fitting is then needed only for the quantities that cannot be measured directly.</w:t>
      </w:r>
    </w:p>
    <w:p>
      <w:pPr>
        <w:pStyle w:val="BodyText"/>
      </w:pPr>
      <w:r>
        <w:rPr>
          <w:bCs/>
          <w:b/>
        </w:rPr>
        <w:t xml:space="preserve">Make Refusal a Normal Output.</w:t>
      </w:r>
      <w:r>
        <w:t xml:space="preserve"> </w:t>
      </w:r>
      <w:r>
        <w:t xml:space="preserve">A refusal that carries its cause is information, since it tells the operator what data to collect. The consistency criterion separated a 4.5% median error from a 13.2% median error without any knowledge of the true capacity, which shows that a system can recognise its own poor conditions.</w:t>
      </w:r>
    </w:p>
    <w:p>
      <w:pPr>
        <w:pStyle w:val="BodyText"/>
      </w:pPr>
      <w:r>
        <w:rPr>
          <w:bCs/>
          <w:b/>
        </w:rPr>
        <w:t xml:space="preserve">Keep One Scoring Path.</w:t>
      </w:r>
      <w:r>
        <w:t xml:space="preserve"> </w:t>
      </w:r>
      <w:r>
        <w:t xml:space="preserve">When a vehicle, a rig and a dataset all pass through the same function, a result obtained on a dataset says something about the vehicle, and a defect found on the rig is fixed for all three.</w:t>
      </w:r>
    </w:p>
    <w:bookmarkEnd w:id="160"/>
    <w:bookmarkStart w:id="161" w:name="validation-summary"/>
    <w:p>
      <w:pPr>
        <w:pStyle w:val="Heading2"/>
      </w:pP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61"/>
    <w:bookmarkStart w:id="162" w:name="assessment-against-the-objectives"/>
    <w:p>
      <w:pPr>
        <w:pStyle w:val="Heading2"/>
      </w:pPr>
      <w:r>
        <w:t>ASSESSMENT AGAINST THE OBJECTIVES</w:t>
      </w:r>
    </w:p>
    <w:p>
      <w:pPr>
        <w:pStyle w:val="FirstParagraph"/>
      </w:pPr>
      <w:r>
        <w:t xml:space="preserve">Table 5.11 relates each objective of Section 1.5 to the evidence for it in this chapter and in Chapter 4.</w:t>
      </w:r>
    </w:p>
    <w:p>
      <w:pPr>
        <w:pStyle w:val="TableCaption"/>
      </w:pPr>
      <w:r>
        <w:t xml:space="preserve">Table 5.11: Objectives and Evidence</w:t>
      </w:r>
    </w:p>
    <w:tbl>
      <w:tblPr>
        <w:tblStyle w:val="Table"/>
        <w:tblW w:type="pct" w:w="4050"/>
        <w:tblLook w:firstRow="1" w:lastRow="0" w:firstColumn="0" w:lastColumn="0" w:noHBand="0" w:noVBand="0" w:val="0020"/>
        <w:jc w:val="start"/>
        <w:tblCaption w:val="Table 5.11: Objectives and Evidence"/>
        <w:tblBorders>
          <w:top w:val="single" w:sz="4" w:color="000000"/>
          <w:left w:val="single" w:sz="4" w:color="000000"/>
          <w:bottom w:val="single" w:sz="4" w:color="000000"/>
          <w:right w:val="single" w:sz="4" w:color="000000"/>
          <w:insideH w:val="single" w:sz="4" w:color="000000"/>
          <w:insideV w:val="single" w:sz="4" w:color="000000"/>
        </w:tblBorders>
      </w:tblPr>
      <w:tblGrid>
        <w:gridCol w:w="396"/>
        <w:gridCol w:w="3326"/>
        <w:gridCol w:w="2692"/>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Objective</w:t>
            </w:r>
          </w:p>
        </w:tc>
        <w:tc>
          <w:tcPr/>
          <w:p>
            <w:pPr>
              <w:pStyle w:val="Compact"/>
              <w:spacing w:after="40" w:line="240" w:lineRule="auto"/>
              <w:jc w:val="left"/>
            </w:pPr>
            <w:r>
              <w:rPr>
                <w:bCs/>
                <w:b/>
                <w:sz w:val="20"/>
              </w:rPr>
              <w:t xml:space="preserve">Evidence</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End-to-end ingestion of CAN, serial and dataset sources through one pipeline</w:t>
            </w:r>
          </w:p>
        </w:tc>
        <w:tc>
          <w:tcPr/>
          <w:p>
            <w:pPr>
              <w:pStyle w:val="Compact"/>
              <w:spacing w:after="40" w:line="240" w:lineRule="auto"/>
              <w:jc w:val="left"/>
            </w:pPr>
            <w:r>
              <w:rPr>
                <w:sz w:val="20"/>
              </w:rPr>
              <w:t xml:space="preserve">Single scoring function; three transports; test modules and continuous integration</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SOH from voltage, current and time with ohmic correction</w:t>
            </w:r>
          </w:p>
        </w:tc>
        <w:tc>
          <w:tcPr/>
          <w:p>
            <w:pPr>
              <w:pStyle w:val="Compact"/>
              <w:spacing w:after="40" w:line="240" w:lineRule="auto"/>
              <w:jc w:val="left"/>
            </w:pPr>
            <w:r>
              <w:rPr>
                <w:sz w:val="20"/>
              </w:rPr>
              <w:t xml:space="preserve">1.7% median error on 17 of 22 CALCE cells</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Resistance as a second quantity; RUL from each cell’s own fade</w:t>
            </w:r>
          </w:p>
        </w:tc>
        <w:tc>
          <w:tcPr/>
          <w:p>
            <w:pPr>
              <w:pStyle w:val="Compact"/>
              <w:spacing w:after="40" w:line="240" w:lineRule="auto"/>
              <w:jc w:val="left"/>
            </w:pPr>
            <w:r>
              <w:rPr>
                <w:sz w:val="20"/>
              </w:rPr>
              <w:t xml:space="preserve">Resistance trend in the same direction on 19 of 20 cells; 73% of RUL within</w:t>
            </w:r>
            <w:r>
              <w:rPr>
                <w:sz w:val="20"/>
              </w:rPr>
              <w:t xml:space="preserve"> </w:t>
            </w:r>
            <m:oMath>
              <m:r>
                <m:rPr>
                  <m:sty m:val="p"/>
                </m:rPr>
                <m:t>±</m:t>
              </m:r>
            </m:oMath>
            <w:r>
              <w:rPr>
                <w:sz w:val="20"/>
              </w:rPr>
              <w:t xml:space="preserve">20 cycles near end of life</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Measured evidence sufficiency; refusal of insufficient evidence</w:t>
            </w:r>
          </w:p>
        </w:tc>
        <w:tc>
          <w:tcPr/>
          <w:p>
            <w:pPr>
              <w:pStyle w:val="Compact"/>
              <w:spacing w:after="40" w:line="240" w:lineRule="auto"/>
              <w:jc w:val="left"/>
            </w:pPr>
            <w:r>
              <w:rPr>
                <w:sz w:val="20"/>
              </w:rPr>
              <w:t xml:space="preserve">Consistency criterion separates 4.5% from 13.2% error; every refusal carries a reason</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External validation without re-tuning; retention of negative results</w:t>
            </w:r>
          </w:p>
        </w:tc>
        <w:tc>
          <w:tcPr/>
          <w:p>
            <w:pPr>
              <w:pStyle w:val="Compact"/>
              <w:spacing w:after="40" w:line="240" w:lineRule="auto"/>
              <w:jc w:val="left"/>
            </w:pPr>
            <w:r>
              <w:rPr>
                <w:sz w:val="20"/>
              </w:rPr>
              <w:t xml:space="preserve">Oxford median error 3.0%; sparse-discharge RUL and fitted-model ranking retained as negative results</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Physical rig, API and dashboard</w:t>
            </w:r>
          </w:p>
        </w:tc>
        <w:tc>
          <w:tcPr/>
          <w:p>
            <w:pPr>
              <w:pStyle w:val="Compact"/>
              <w:spacing w:after="40" w:line="240" w:lineRule="auto"/>
              <w:jc w:val="left"/>
            </w:pPr>
            <w:r>
              <w:rPr>
                <w:sz w:val="20"/>
              </w:rPr>
              <w:t xml:space="preserve">83 of 83 frames received; routes and dashboard served from containers</w:t>
            </w:r>
          </w:p>
        </w:tc>
      </w:tr>
    </w:tbl>
    <w:bookmarkEnd w:id="162"/>
    <w:bookmarkStart w:id="163" w:name="threats-to-validity"/>
    <w:p>
      <w:pPr>
        <w:pStyle w:val="Heading2"/>
      </w:pPr>
      <w:r>
        <w:t>THREATS TO VALIDITY</w:t>
      </w:r>
    </w:p>
    <w:p>
      <w:pPr>
        <w:pStyle w:val="FirstParagraph"/>
      </w:pPr>
      <w:r>
        <w:t xml:space="preserve">The results are bounded by the way they were obtained, and the bounds are stated here so that they can be weighed against the figures.</w:t>
      </w:r>
    </w:p>
    <w:p>
      <w:pPr>
        <w:numPr>
          <w:ilvl w:val="0"/>
          <w:numId w:val="1015"/>
        </w:numPr>
      </w:pPr>
      <w:r>
        <w:rPr>
          <w:bCs/>
          <w:b/>
        </w:rPr>
        <w:t xml:space="preserve">Chemistry and format.</w:t>
      </w:r>
      <w:r>
        <w:t xml:space="preserve"> </w:t>
      </w:r>
      <w:r>
        <w:t xml:space="preserve">Development and primary validation use LCO prismatic cells at constant current. The external dataset is an NMC/LCO blend pouch cell at one temperature. Results for lithium iron phosphate, for packs and for dynamic loads are not claimed.</w:t>
      </w:r>
    </w:p>
    <w:p>
      <w:pPr>
        <w:numPr>
          <w:ilvl w:val="0"/>
          <w:numId w:val="1015"/>
        </w:numPr>
      </w:pPr>
      <w:r>
        <w:rPr>
          <w:bCs/>
          <w:b/>
        </w:rPr>
        <w:t xml:space="preserve">Reference definition.</w:t>
      </w:r>
      <w:r>
        <w:t xml:space="preserve"> </w:t>
      </w:r>
      <w:r>
        <w:t xml:space="preserve">Two results moved when the reference was changed to the capacity the cell’s own first discharges measure, which is what a BMS can know. A figure is therefore tied to the reference named with it.</w:t>
      </w:r>
    </w:p>
    <w:p>
      <w:pPr>
        <w:numPr>
          <w:ilvl w:val="0"/>
          <w:numId w:val="1015"/>
        </w:numPr>
      </w:pPr>
      <w:r>
        <w:rPr>
          <w:bCs/>
          <w:b/>
        </w:rPr>
        <w:t xml:space="preserve">Small numbers of cells.</w:t>
      </w:r>
      <w:r>
        <w:t xml:space="preserve"> </w:t>
      </w:r>
      <w:r>
        <w:t xml:space="preserve">Several results rest on a few cells, for example the partial-discharge result on two cells. They are reported as validated on those cells, and no claim is made beyond them.</w:t>
      </w:r>
    </w:p>
    <w:p>
      <w:pPr>
        <w:numPr>
          <w:ilvl w:val="0"/>
          <w:numId w:val="1015"/>
        </w:numPr>
      </w:pPr>
      <w:r>
        <w:rPr>
          <w:bCs/>
          <w:b/>
        </w:rPr>
        <w:t xml:space="preserve">Hardware.</w:t>
      </w:r>
      <w:r>
        <w:t xml:space="preserve"> </w:t>
      </w:r>
      <w:r>
        <w:t xml:space="preserve">The rig validates the data-acquisition path. No discharge has been recorded on it, so no health figure from the rig is claimed.</w:t>
      </w:r>
    </w:p>
    <w:p>
      <w:pPr>
        <w:numPr>
          <w:ilvl w:val="0"/>
          <w:numId w:val="1015"/>
        </w:numPr>
      </w:pPr>
      <w:r>
        <w:rPr>
          <w:bCs/>
          <w:b/>
        </w:rPr>
        <w:t xml:space="preserve">Heuristic layer.</w:t>
      </w:r>
      <w:r>
        <w:t xml:space="preserve"> </w:t>
      </w:r>
      <w:r>
        <w:t xml:space="preserve">The behaviour risk score was not significantly related to measured fade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the 33 cells of the earlier health-index ranking of the project, a slightly larger set than the 31-cell benchmark) and is labelled a heuristic wherever it appears.</w:t>
      </w:r>
    </w:p>
    <w:bookmarkEnd w:id="163"/>
    <w:bookmarkStart w:id="164" w:name="robustness-and-security-checks"/>
    <w:p>
      <w:pPr>
        <w:pStyle w:val="Heading2"/>
      </w:pPr>
      <w:r>
        <w:t>ROBUSTNESS AND SECURITY CHECKS</w:t>
      </w:r>
    </w:p>
    <w:p>
      <w:pPr>
        <w:pStyle w:val="FirstParagraph"/>
      </w:pPr>
      <w:r>
        <w:t xml:space="preserve">Beyond estimation accuracy, the system was checked for the behaviour of its interfaces under bad input. The serial parser ignores lines without the sentinel as noise, counts and discards malformed lines, rejects out-of-range, non-finite and checksum-failed values instead of clamping them, and refuses a capture whose accepted fraction falls below a configured threshold. These behaviours are exercised by tests with truncated lines, corrupted checksums, non-finite values, out-of-range fields and unknown record types. The path-containment fix was verified by thirteen tests, and a search of the source files for keys, secrets and language-model clients found none, apart from a benign file name in a test. Continuous integration runs with no key, no hardware and no external service beyond the package registries, so the checks run the same way on every commit.</w:t>
      </w:r>
    </w:p>
    <w:bookmarkEnd w:id="164"/>
    <w:bookmarkEnd w:id="165"/>
    <w:bookmarkStart w:id="171" w:name="conclusion-and-future-work"/>
    <w:p>
      <w:pPr>
        <w:pStyle w:val="Heading1"/>
      </w:pP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Eleven of twelve methods, all but a mean-only baseline,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The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66" w:name="summary-of-the-work"/>
    <w:p>
      <w:pPr>
        <w:pStyle w:val="Heading2"/>
      </w:pPr>
      <w:r>
        <w:t>SUMMARY OF THE WORK</w:t>
      </w:r>
    </w:p>
    <w:p>
      <w:pPr>
        <w:pStyle w:val="FirstParagraph"/>
      </w:pPr>
      <w:r>
        <w:t xml:space="preserve">The project proceeded in four stages. The first built the data pipeline and a behaviour layer of rules, and found by benchmarking that fitted models did not hold up when the test protocol changed. The second replaced fitted models with estimators that measure each cell against its own behaviour, validated them on CALCE, and added a criterion for when to refuse. The third tested the estimators on a second and a third dataset without re-tuning, and built the CAN, serial and dataset paths into one scoring function. The fourth built the bench rig, the service tier and the dashboard, and fixed the documentation to the artifacts that produced it, so that every number in the report can be traced to a script and a file.</w:t>
      </w:r>
    </w:p>
    <w:bookmarkEnd w:id="166"/>
    <w:bookmarkStart w:id="167" w:name="limitations"/>
    <w:p>
      <w:pPr>
        <w:pStyle w:val="Heading2"/>
      </w:pP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67"/>
    <w:bookmarkStart w:id="168" w:name="future-work"/>
    <w:p>
      <w:pPr>
        <w:pStyle w:val="Heading2"/>
      </w:pPr>
      <w:r>
        <w:t>FUTURE WORK</w:t>
      </w:r>
    </w:p>
    <w:p>
      <w:pPr>
        <w:pStyle w:val="FirstParagraph"/>
      </w:pPr>
      <w:r>
        <w:t xml:space="preserve">In order of dependency:</w:t>
      </w:r>
    </w:p>
    <w:p>
      <w:pPr>
        <w:numPr>
          <w:ilvl w:val="0"/>
          <w:numId w:val="1016"/>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6"/>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6"/>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6"/>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6"/>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6"/>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68"/>
    <w:bookmarkStart w:id="169" w:name="lessons-learned"/>
    <w:p>
      <w:pPr>
        <w:pStyle w:val="Heading2"/>
      </w:pPr>
      <w:r>
        <w:t>LESSONS LEARNED</w:t>
      </w:r>
    </w:p>
    <w:p>
      <w:pPr>
        <w:pStyle w:val="FirstParagraph"/>
      </w:pPr>
      <w:r>
        <w:t xml:space="preserve">Several lessons from the project apply beyond it. A validation split is part of the claim, and a result that is stated without it is incomplete. A default value is a hidden measurement, and removing defaults, as with the rated capacity that is now declared, closed a class of silent errors. Reading code and documents for defects before connecting hardware is cheaper than finding the same defects with a cell on the bench. A negative result retained with its evidence, such as the failure of sparse-discharge RUL, is more useful to a later reader than a positive result with no account of what was tried first.</w:t>
      </w:r>
    </w:p>
    <w:bookmarkEnd w:id="169"/>
    <w:bookmarkStart w:id="170" w:name="recommendations-for-deployment"/>
    <w:p>
      <w:pPr>
        <w:pStyle w:val="Heading2"/>
      </w:pPr>
      <w:r>
        <w:t>RECOMMENDATIONS FOR DEPLOYMENT</w:t>
      </w:r>
    </w:p>
    <w:p>
      <w:pPr>
        <w:pStyle w:val="FirstParagraph"/>
      </w:pPr>
      <w:r>
        <w:t xml:space="preserve">The system as built is a bench and analysis tool, and moving it beyond that needs the steps below, which follow from the limitations and from the security review.</w:t>
      </w:r>
    </w:p>
    <w:p>
      <w:pPr>
        <w:numPr>
          <w:ilvl w:val="0"/>
          <w:numId w:val="1017"/>
        </w:numPr>
      </w:pPr>
      <w:r>
        <w:t xml:space="preserve">Place an authenticating reverse proxy with transport security and rate limiting in front of the service, and restrict the allowed data roots to the deployment’s own directories through the environment variable provided for that.</w:t>
      </w:r>
    </w:p>
    <w:p>
      <w:pPr>
        <w:numPr>
          <w:ilvl w:val="0"/>
          <w:numId w:val="1017"/>
        </w:numPr>
      </w:pPr>
      <w:r>
        <w:t xml:space="preserve">Add a persistence layer behind the fleet store, so that the twin history survives a restart and more than one process can share it.</w:t>
      </w:r>
    </w:p>
    <w:p>
      <w:pPr>
        <w:numPr>
          <w:ilvl w:val="0"/>
          <w:numId w:val="1017"/>
        </w:numPr>
      </w:pPr>
      <w:r>
        <w:t xml:space="preserve">Register a rated capacity and a verified DBC file for each vehicle, so that neither the reference capacity nor the signal mapping is assumed.</w:t>
      </w:r>
    </w:p>
    <w:p>
      <w:pPr>
        <w:numPr>
          <w:ilvl w:val="0"/>
          <w:numId w:val="1017"/>
        </w:numPr>
      </w:pPr>
      <w:r>
        <w:t xml:space="preserve">Record a load step and a full discharge for a few cells of the target chemistry before relying on any health figure, so that the measured error bands can be confirmed for that chemistry.</w:t>
      </w:r>
    </w:p>
    <w:p>
      <w:pPr>
        <w:numPr>
          <w:ilvl w:val="0"/>
          <w:numId w:val="1017"/>
        </w:numPr>
      </w:pPr>
      <w:r>
        <w:t xml:space="preserve">Keep the displayed provenance and the refusals visible to operators, because they are what tells an operator how far to trust a figure.</w:t>
      </w:r>
    </w:p>
    <w:bookmarkEnd w:id="170"/>
    <w:bookmarkEnd w:id="171"/>
    <w:bookmarkStart w:id="172"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p>
      <w:pPr>
        <w:pStyle w:val="BodyText"/>
      </w:pPr>
      <w:r>
        <w:t xml:space="preserve">[19] 11898-1:2015, Road vehicles — Controller area network (</w:t>
      </w:r>
      <w:r>
        <w:t xml:space="preserve">CAN</w:t>
      </w:r>
      <w:r>
        <w:t xml:space="preserve">) — Part 1: Data link layer and physical signalling,” International Organization for Standardization, Geneva, Switzerland, 2015.</w:t>
      </w:r>
    </w:p>
    <w:p>
      <w:pPr>
        <w:pStyle w:val="BodyText"/>
      </w:pPr>
      <w:r>
        <w:t xml:space="preserve">[20]M. Grieves, Digital twin: Manufacturing excellence through virtual factory replication,” White Paper, 2014.</w:t>
      </w:r>
    </w:p>
    <w:p>
      <w:pPr>
        <w:pStyle w:val="BodyText"/>
      </w:pPr>
      <w:r>
        <w:t xml:space="preserve">[21]V. Pop, H. J. Bergveld, D. Danilov, P. P. L. Regtien, and P. H. L. Notten,</w:t>
      </w:r>
      <w:r>
        <w:t xml:space="preserve"> </w:t>
      </w:r>
      <w:r>
        <w:rPr>
          <w:iCs/>
          <w:i/>
        </w:rPr>
        <w:t xml:space="preserve">Battery Management Systems: Accurate State-of-Charge Indication for Battery-Powered Applications</w:t>
      </w:r>
      <w:r>
        <w:t xml:space="preserve">. Dordrecht, The Netherlands: Springer, 2008.</w:t>
      </w:r>
    </w:p>
    <w:p>
      <w:pPr>
        <w:pStyle w:val="BodyText"/>
      </w:pPr>
      <w:r>
        <w:t xml:space="preserve">[22]G. L. Plett,</w:t>
      </w:r>
      <w:r>
        <w:t xml:space="preserve"> </w:t>
      </w:r>
      <w:r>
        <w:rPr>
          <w:iCs/>
          <w:i/>
        </w:rPr>
        <w:t xml:space="preserve">Battery Management Systems, Volume I: Battery Modeling</w:t>
      </w:r>
      <w:r>
        <w:t xml:space="preserve">. Norwood, MA, USA: Artech House, 2015.</w:t>
      </w:r>
    </w:p>
    <w:bookmarkEnd w:id="172"/>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image" Target="media/rId57.png"/><Relationship Id="rId68" Type="http://schemas.openxmlformats.org/officeDocument/2006/relationships/image" Target="media/rId68.png"/><Relationship Id="rId101" Type="http://schemas.openxmlformats.org/officeDocument/2006/relationships/image" Target="media/rId101.png"/><Relationship Id="rId127" Type="http://schemas.openxmlformats.org/officeDocument/2006/relationships/image" Target="media/rId127.png"/><Relationship Id="rId140" Type="http://schemas.openxmlformats.org/officeDocument/2006/relationships/image" Target="media/rId140.png"/><Relationship Id="rId134" Type="http://schemas.openxmlformats.org/officeDocument/2006/relationships/image" Target="media/rId134.png"/><Relationship Id="rId131" Type="http://schemas.openxmlformats.org/officeDocument/2006/relationships/image" Target="media/rId131.png"/><Relationship Id="rId148" Type="http://schemas.openxmlformats.org/officeDocument/2006/relationships/image" Target="media/rId148.png"/><Relationship Id="rId151" Type="http://schemas.openxmlformats.org/officeDocument/2006/relationships/image" Target="media/rId151.png"/><Relationship Id="rId111" Type="http://schemas.openxmlformats.org/officeDocument/2006/relationships/image" Target="media/rId111.png"/><Relationship Id="rId108" Type="http://schemas.openxmlformats.org/officeDocument/2006/relationships/image" Target="media/rId10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2026-10-08T10:08:56Z</dcterms:created>
  <dcterms:modified xsi:type="dcterms:W3CDTF">2026-10-08T10:08:56Z</dcterms:modified>
</cp:coreProperties>
</file>

<file path=docProps/custom.xml><?xml version="1.0" encoding="utf-8"?>
<Properties xmlns="http://schemas.openxmlformats.org/officeDocument/2006/custom-properties" xmlns:vt="http://schemas.openxmlformats.org/officeDocument/2006/docPropsVTypes"/>
</file>