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in-brief"/>
    <w:p>
      <w:pPr>
        <w:pStyle w:val="Heading2"/>
      </w:pPr>
      <w:r>
        <w:t>PROPOSED APPROACH IN BRIEF</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bench-rigs"/>
    <w:p>
      <w:pPr>
        <w:pStyle w:val="Heading3"/>
      </w:pPr>
      <w:r>
        <w:t xml:space="preserve">Serial Bench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honest-reporting"/>
    <w:p>
      <w:pPr>
        <w:pStyle w:val="Heading2"/>
      </w:pPr>
      <w:r>
        <w:t>EXPLAINABILITY AND HONEST REPORTING</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leakage"/>
    <w:p>
      <w:pPr>
        <w:pStyle w:val="Heading2"/>
      </w:pPr>
      <w:r>
        <w:t>VALIDATION PRACTICE AND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What Each One Tests</w:t>
      </w:r>
    </w:p>
    <w:tbl>
      <w:tblPr>
        <w:tblStyle w:val="Table"/>
        <w:tblW w:type="pct" w:w="4200"/>
        <w:tblLook w:firstRow="1" w:lastRow="0" w:firstColumn="0" w:lastColumn="0" w:noHBand="0" w:noVBand="0" w:val="0020"/>
        <w:jc w:val="start"/>
        <w:tblCaption w:val="Table 2.2: Validation Splits and What Each One Test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positioning-of-this-work"/>
    <w:p>
      <w:pPr>
        <w:pStyle w:val="Heading2"/>
      </w:pPr>
      <w:r>
        <w:t>POSITIONING OF THIS WORK</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Approach Families and the Properties That Matter for a Deployed Layer</w:t>
      </w:r>
    </w:p>
    <w:tbl>
      <w:tblPr>
        <w:tblStyle w:val="Table"/>
        <w:tblW w:type="pct" w:w="4000"/>
        <w:tblLook w:firstRow="1" w:lastRow="0" w:firstColumn="0" w:lastColumn="0" w:noHBand="0" w:noVBand="0" w:val="0020"/>
        <w:jc w:val="start"/>
        <w:tblCaption w:val="Table 2.3: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X3d8b69131e03b137685df6cbfaaf9042b5ef7af"/>
    <w:p>
      <w:pPr>
        <w:pStyle w:val="Heading2"/>
      </w:pPr>
      <w:r>
        <w:t>IDENTIFIED GAPS AND HOW THEY ARE ADDRESSED</w:t>
      </w:r>
    </w:p>
    <w:p>
      <w:pPr>
        <w:pStyle w:val="FirstParagraph"/>
      </w:pPr>
      <w:r>
        <w:t xml:space="preserve">Table 2.4 lists the gaps that the review leaves open and the parts of this report that address them.</w:t>
      </w:r>
    </w:p>
    <w:p>
      <w:pPr>
        <w:pStyle w:val="TableCaption"/>
      </w:pPr>
      <w:r>
        <w:t xml:space="preserve">Table 2.4: Gaps in the Literature and Where They Are Addressed</w:t>
      </w:r>
    </w:p>
    <w:tbl>
      <w:tblPr>
        <w:tblStyle w:val="Table"/>
        <w:tblW w:type="pct" w:w="3800"/>
        <w:tblLook w:firstRow="1" w:lastRow="0" w:firstColumn="0" w:lastColumn="0" w:noHBand="0" w:noVBand="0" w:val="0020"/>
        <w:jc w:val="start"/>
        <w:tblCaption w:val="Table 2.4: Gaps in the Literature and Where They Are Addressed"/>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single-shared-scoring-path"/>
    <w:p>
      <w:pPr>
        <w:pStyle w:val="Heading3"/>
      </w:pPr>
      <w:r>
        <w:t xml:space="preserve">Single Shared Scoring Path</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A frame that fails these checks is reported with the reason, and is not scored. This is the point at which a source that lacks a required channel is stopped, as when a CAN message carries current and state of charge but no voltage or temperature.</w:t>
      </w:r>
    </w:p>
    <w:bookmarkEnd w:id="64"/>
    <w:bookmarkEnd w:id="65"/>
    <w:bookmarkStart w:id="66" w:name="data-flow-and-processing-sequence"/>
    <w:p>
      <w:pPr>
        <w:pStyle w:val="Heading2"/>
      </w:pPr>
      <w:r>
        <w:t>DATA FLOW AND PROCESSING SEQUENCE</w:t>
      </w:r>
    </w:p>
    <w:p>
      <w:pPr>
        <w:pStyle w:val="FirstParagraph"/>
      </w:pPr>
      <w:r>
        <w:t xml:space="preserve">For every source the processing follows the same eight steps, in the same order, in the same function.</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refusal-gates-and-data-quality-checks"/>
    <w:p>
      <w:pPr>
        <w:pStyle w:val="Heading2"/>
      </w:pPr>
      <w:r>
        <w:t>REFUSAL GATES AND DATA-QUALITY CHECKS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s"/>
    <w:p>
      <w:pPr>
        <w:pStyle w:val="Heading2"/>
      </w:pPr>
      <w:r>
        <w:t>DESIGN DECISIONS</w:t>
      </w:r>
    </w:p>
    <w:p>
      <w:pPr>
        <w:pStyle w:val="FirstParagraph"/>
      </w:pPr>
      <w:r>
        <w:t xml:space="preserve">Fourteen architecture decision records document the choices made during the project, with the context, the decision and its status.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fade   &lt;- trend of SOH(n) over the cell's own cycles</w:t>
      </w:r>
      <w:r>
        <w:br/>
      </w:r>
      <w:r>
        <w:rPr>
          <w:rStyle w:val="VerbatimChar"/>
        </w:rPr>
        <w:t xml:space="preserve">    if evidence inconsistent:  confidence &lt;- low</w:t>
      </w:r>
      <w:r>
        <w:br/>
      </w:r>
      <w:r>
        <w:rPr>
          <w:rStyle w:val="VerbatimChar"/>
        </w:rPr>
        <w:t xml:space="preserve">    RUL    &lt;- cycles until fade crosses EOL threshold</w:t>
      </w:r>
      <w:r>
        <w:br/>
      </w:r>
      <w:r>
        <w:rPr>
          <w:rStyle w:val="VerbatimChar"/>
        </w:rPr>
        <w:t xml:space="preserve">    return SOH, R, RUL, confidence, band, refusals</w:t>
      </w:r>
    </w:p>
    <w:p>
      <w:pPr>
        <w:pStyle w:val="FirstParagraph"/>
      </w:pPr>
      <w:r>
        <w:t xml:space="preserve">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or charge current threshold</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Mode inference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End-of-life threshold</w:t>
            </w:r>
          </w:p>
        </w:tc>
        <w:tc>
          <w:tcPr/>
          <w:p>
            <w:pPr>
              <w:pStyle w:val="Compact"/>
              <w:spacing w:after="40" w:line="240" w:lineRule="auto"/>
              <w:jc w:val="left"/>
            </w:pPr>
            <w:r>
              <w:rPr>
                <w:sz w:val="20"/>
              </w:rPr>
              <w:t xml:space="preserve">80%</w:t>
            </w:r>
          </w:p>
        </w:tc>
        <w:tc>
          <w:tcPr/>
          <w:p>
            <w:pPr>
              <w:pStyle w:val="Compact"/>
              <w:spacing w:after="40" w:line="240" w:lineRule="auto"/>
              <w:jc w:val="left"/>
            </w:pPr>
            <w:r>
              <w:rPr>
                <w:sz w:val="20"/>
              </w:rPr>
              <w:t xml:space="preserve">Conventional RUL target</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would be the task of a separate library layered under the decoder and has not been built.</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digital-twin sheet with the twin state and its transitions, and a banner stating where the run’s data came from. An earlier version had separate tabs for fleet, CAN replay, thermal and transfer views. They were removed because two parallel dashboards meant two provenance banners that could disagree about the same run.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routes of the Python service, grouped by purpose.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Routes of the Python Service</w:t>
      </w:r>
    </w:p>
    <w:tbl>
      <w:tblPr>
        <w:tblStyle w:val="Table"/>
        <w:tblW w:type="pct" w:w="4000"/>
        <w:tblLook w:firstRow="1" w:lastRow="0" w:firstColumn="0" w:lastColumn="0" w:noHBand="0" w:noVBand="0" w:val="0020"/>
        <w:jc w:val="start"/>
        <w:tblCaption w:val="Table 4.9: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what-is-deliberately-not-defended"/>
    <w:p>
      <w:pPr>
        <w:pStyle w:val="Heading3"/>
      </w:pPr>
      <w:r>
        <w:t xml:space="preserve">What Is Deliberately Not Defended</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made of small components, each with one view. Table 4.11 lists them. The panels that display a measured result carry the provenance of the value, so a reader can tell whether a figure comes from a vehicle, a rig, a dataset or a simulation.</w:t>
      </w:r>
    </w:p>
    <w:p>
      <w:pPr>
        <w:pStyle w:val="TableCaption"/>
      </w:pPr>
      <w:r>
        <w:t xml:space="preserve">Table 4.11: Components of the Dashboard</w:t>
      </w:r>
    </w:p>
    <w:tbl>
      <w:tblPr>
        <w:tblStyle w:val="Table"/>
        <w:tblW w:type="pct" w:w="3700"/>
        <w:tblLook w:firstRow="1" w:lastRow="0" w:firstColumn="0" w:lastColumn="0" w:noHBand="0" w:noVBand="0" w:val="0020"/>
        <w:jc w:val="start"/>
        <w:tblCaption w:val="Table 4.11: Component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Component</w:t>
            </w:r>
          </w:p>
        </w:tc>
        <w:tc>
          <w:tcPr/>
          <w:p>
            <w:pPr>
              <w:pStyle w:val="Compact"/>
              <w:spacing w:after="40" w:line="240" w:lineRule="auto"/>
              <w:jc w:val="left"/>
            </w:pPr>
            <w:r>
              <w:rPr>
                <w:bCs/>
                <w:b/>
                <w:sz w:val="20"/>
              </w:rPr>
              <w:t xml:space="preserve">View</w:t>
            </w:r>
          </w:p>
        </w:tc>
      </w:tr>
      <w:tr>
        <w:tc>
          <w:tcPr/>
          <w:p>
            <w:pPr>
              <w:pStyle w:val="Compact"/>
              <w:spacing w:after="40" w:line="240" w:lineRule="auto"/>
              <w:jc w:val="left"/>
            </w:pPr>
            <w:r>
              <w:rPr>
                <w:sz w:val="20"/>
              </w:rPr>
              <w:t xml:space="preserve">Fleet table</w:t>
            </w:r>
          </w:p>
        </w:tc>
        <w:tc>
          <w:tcPr/>
          <w:p>
            <w:pPr>
              <w:pStyle w:val="Compact"/>
              <w:spacing w:after="40" w:line="240" w:lineRule="auto"/>
              <w:jc w:val="left"/>
            </w:pPr>
            <w:r>
              <w:rPr>
                <w:sz w:val="20"/>
              </w:rPr>
              <w:t xml:space="preserve">Health, risk and remaining life of every battery</w:t>
            </w:r>
          </w:p>
        </w:tc>
      </w:tr>
      <w:tr>
        <w:tc>
          <w:tcPr/>
          <w:p>
            <w:pPr>
              <w:pStyle w:val="Compact"/>
              <w:spacing w:after="40" w:line="240" w:lineRule="auto"/>
              <w:jc w:val="left"/>
            </w:pPr>
            <w:r>
              <w:rPr>
                <w:sz w:val="20"/>
              </w:rPr>
              <w:t xml:space="preserve">Battery detail</w:t>
            </w:r>
          </w:p>
        </w:tc>
        <w:tc>
          <w:tcPr/>
          <w:p>
            <w:pPr>
              <w:pStyle w:val="Compact"/>
              <w:spacing w:after="40" w:line="240" w:lineRule="auto"/>
              <w:jc w:val="left"/>
            </w:pPr>
            <w:r>
              <w:rPr>
                <w:sz w:val="20"/>
              </w:rPr>
              <w:t xml:space="preserve">Health over cycles and attribution of the health index</w:t>
            </w:r>
          </w:p>
        </w:tc>
      </w:tr>
      <w:tr>
        <w:tc>
          <w:tcPr/>
          <w:p>
            <w:pPr>
              <w:pStyle w:val="Compact"/>
              <w:spacing w:after="40" w:line="240" w:lineRule="auto"/>
              <w:jc w:val="left"/>
            </w:pPr>
            <w:r>
              <w:rPr>
                <w:sz w:val="20"/>
              </w:rPr>
              <w:t xml:space="preserve">Guardian panel</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Twin panel</w:t>
            </w:r>
          </w:p>
        </w:tc>
        <w:tc>
          <w:tcPr/>
          <w:p>
            <w:pPr>
              <w:pStyle w:val="Compact"/>
              <w:spacing w:after="40" w:line="240" w:lineRule="auto"/>
              <w:jc w:val="left"/>
            </w:pPr>
            <w:r>
              <w:rPr>
                <w:sz w:val="20"/>
              </w:rPr>
              <w:t xml:space="preserve">Twin state and its transitions</w:t>
            </w:r>
          </w:p>
        </w:tc>
      </w:tr>
      <w:tr>
        <w:tc>
          <w:tcPr/>
          <w:p>
            <w:pPr>
              <w:pStyle w:val="Compact"/>
              <w:spacing w:after="40" w:line="240" w:lineRule="auto"/>
              <w:jc w:val="left"/>
            </w:pPr>
            <w:r>
              <w:rPr>
                <w:sz w:val="20"/>
              </w:rPr>
              <w:t xml:space="preserve">Telemetry replay</w:t>
            </w:r>
          </w:p>
        </w:tc>
        <w:tc>
          <w:tcPr/>
          <w:p>
            <w:pPr>
              <w:pStyle w:val="Compact"/>
              <w:spacing w:after="40" w:line="240" w:lineRule="auto"/>
              <w:jc w:val="left"/>
            </w:pPr>
            <w:r>
              <w:rPr>
                <w:sz w:val="20"/>
              </w:rPr>
              <w:t xml:space="preserve">Replay of a CAN log or serial capture</w:t>
            </w:r>
          </w:p>
        </w:tc>
      </w:tr>
      <w:tr>
        <w:tc>
          <w:tcPr/>
          <w:p>
            <w:pPr>
              <w:pStyle w:val="Compact"/>
              <w:spacing w:after="40" w:line="240" w:lineRule="auto"/>
              <w:jc w:val="left"/>
            </w:pPr>
            <w:r>
              <w:rPr>
                <w:sz w:val="20"/>
              </w:rPr>
              <w:t xml:space="preserve">Thermal map</w:t>
            </w:r>
          </w:p>
        </w:tc>
        <w:tc>
          <w:tcPr/>
          <w:p>
            <w:pPr>
              <w:pStyle w:val="Compact"/>
              <w:spacing w:after="40" w:line="240" w:lineRule="auto"/>
              <w:jc w:val="left"/>
            </w:pPr>
            <w:r>
              <w:rPr>
                <w:sz w:val="20"/>
              </w:rPr>
              <w:t xml:space="preserve">Temperature across the pack</w:t>
            </w:r>
          </w:p>
        </w:tc>
      </w:tr>
      <w:tr>
        <w:tc>
          <w:tcPr/>
          <w:p>
            <w:pPr>
              <w:pStyle w:val="Compact"/>
              <w:spacing w:after="40" w:line="240" w:lineRule="auto"/>
              <w:jc w:val="left"/>
            </w:pPr>
            <w:r>
              <w:rPr>
                <w:sz w:val="20"/>
              </w:rPr>
              <w:t xml:space="preserve">Validation panel</w:t>
            </w:r>
          </w:p>
        </w:tc>
        <w:tc>
          <w:tcPr/>
          <w:p>
            <w:pPr>
              <w:pStyle w:val="Compact"/>
              <w:spacing w:after="40" w:line="240" w:lineRule="auto"/>
              <w:jc w:val="left"/>
            </w:pPr>
            <w:r>
              <w:rPr>
                <w:sz w:val="20"/>
              </w:rPr>
              <w:t xml:space="preserve">Measured error of each estimator</w:t>
            </w:r>
          </w:p>
        </w:tc>
      </w:tr>
      <w:tr>
        <w:tc>
          <w:tcPr/>
          <w:p>
            <w:pPr>
              <w:pStyle w:val="Compact"/>
              <w:spacing w:after="40" w:line="240" w:lineRule="auto"/>
              <w:jc w:val="left"/>
            </w:pPr>
            <w:r>
              <w:rPr>
                <w:sz w:val="20"/>
              </w:rPr>
              <w:t xml:space="preserve">Transfer panel</w:t>
            </w:r>
          </w:p>
        </w:tc>
        <w:tc>
          <w:tcPr/>
          <w:p>
            <w:pPr>
              <w:pStyle w:val="Compact"/>
              <w:spacing w:after="40" w:line="240" w:lineRule="auto"/>
              <w:jc w:val="left"/>
            </w:pPr>
            <w:r>
              <w:rPr>
                <w:sz w:val="20"/>
              </w:rPr>
              <w:t xml:space="preserve">Result of transfer between datasets</w:t>
            </w:r>
          </w:p>
        </w:tc>
      </w:tr>
      <w:tr>
        <w:tc>
          <w:tcPr/>
          <w:p>
            <w:pPr>
              <w:pStyle w:val="Compact"/>
              <w:spacing w:after="40" w:line="240" w:lineRule="auto"/>
              <w:jc w:val="left"/>
            </w:pPr>
            <w:r>
              <w:rPr>
                <w:sz w:val="20"/>
              </w:rPr>
              <w:t xml:space="preserve">Provenance</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What They Check</w:t>
      </w:r>
    </w:p>
    <w:tbl>
      <w:tblPr>
        <w:tblStyle w:val="Table"/>
        <w:tblW w:type="pct" w:w="4200"/>
        <w:tblLook w:firstRow="1" w:lastRow="0" w:firstColumn="0" w:lastColumn="0" w:noHBand="0" w:noVBand="0" w:val="0020"/>
        <w:jc w:val="start"/>
        <w:tblCaption w:val="Table 4.12: Selected Test Modules and What They Check"/>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Out-of-root, relative and symbolic paths are rejected before any existence check</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137"/>
    <w:bookmarkStart w:id="138"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1"/>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2f5777ec1cd3c9e2bdc40f140bc70c360603f05"/>
    <w:p>
      <w:pPr>
        <w:pStyle w:val="Heading2"/>
      </w:pPr>
      <w:r>
        <w:t>VALIDATION ON A THIRD DATASET AND REFUSAL BEHAVIOUR</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Xd3f8ad7df265cef58eca5272d7d9dc9db31ce47"/>
    <w:p>
      <w:pPr>
        <w:pStyle w:val="Heading2"/>
      </w:pPr>
      <w:r>
        <w:t>ILLUSTRATIVE EXAMPLE: THE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Validate on the Unit of Deployment.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Prefer Measurement to Fitting Where Measurement Is Possible.</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Make Refusal a Normal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Keep One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NASA cells)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repository search found no key, secret or external language-model call. Continuous integration runs with no key, no hardware and no external service beyond the package registries, so the checks run the same way on every commit.</w:t>
      </w:r>
    </w:p>
    <w:bookmarkEnd w:id="164"/>
    <w:bookmarkEnd w:id="165"/>
    <w:bookmarkStart w:id="173"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practical-implications"/>
    <w:p>
      <w:pPr>
        <w:pStyle w:val="Heading2"/>
      </w:pPr>
      <w:r>
        <w:t>PRACTICAL IMPLICATIONS</w:t>
      </w:r>
    </w:p>
    <w:p>
      <w:pPr>
        <w:pStyle w:val="FirstParagraph"/>
      </w:pPr>
      <w:r>
        <w:t xml:space="preserve">For an operator, the system shows what a software layer can honestly say about a battery from the signals a BMS already has. A health figure arrives with the error measured for that kind of figure, or with a statement of what is missing. For a developer, the single scoring function means that a new source needs only a loader that produces the unified frame, and the validators, estimators and dashboard then apply without change. For an educator, the repository shows a complete chain from raw telemetry to a served result, with the decisions, the tests and the failed attempts documented.</w:t>
      </w:r>
    </w:p>
    <w:bookmarkEnd w:id="169"/>
    <w:bookmarkStart w:id="170"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70"/>
    <w:bookmarkStart w:id="171"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1"/>
    <w:bookmarkStart w:id="172" w:name="concluding-remarks"/>
    <w:p>
      <w:pPr>
        <w:pStyle w:val="Heading2"/>
      </w:pPr>
      <w:r>
        <w:t>CONCLUDING REMARKS</w:t>
      </w:r>
    </w:p>
    <w:p>
      <w:pPr>
        <w:pStyle w:val="FirstParagraph"/>
      </w:pPr>
      <w:r>
        <w:t xml:space="preserve">The project set out to build a software layer for battery health, and the most useful thing it found was where such a layer should stop. Voltage, current and time are enough to measure capacity and a resistance trend from a discharge, with a stated error, on cells of more than one kind. They are not enough to say how long a cell will last when it is far from the end of its life, and they are not enough when the telemetry lacks the channels or the discharges that the estimators need. A system that knows the difference, and says so at the point of use, is more valuable to an operator than one that always produces a figure. BEACON is an attempt at the first kind of system, and its limitations and its future work define the next steps toward a deployment on a real vehicle.</w:t>
      </w:r>
    </w:p>
    <w:bookmarkEnd w:id="172"/>
    <w:bookmarkEnd w:id="173"/>
    <w:bookmarkStart w:id="174"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74"/>
    <w:bookmarkStart w:id="176"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75">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76"/>
    <w:bookmarkStart w:id="177"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7"/>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175"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75"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2026-10-08T08:14:14Z</dcterms:created>
  <dcterms:modified xsi:type="dcterms:W3CDTF">2026-10-08T08:14:14Z</dcterms:modified>
</cp:coreProperties>
</file>

<file path=docProps/custom.xml><?xml version="1.0" encoding="utf-8"?>
<Properties xmlns="http://schemas.openxmlformats.org/officeDocument/2006/custom-properties" xmlns:vt="http://schemas.openxmlformats.org/officeDocument/2006/docPropsVTypes"/>
</file>