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97" name="Picture 9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98" name="Picture 9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120" w:before="0" w:line="276" w:lineRule="auto"/>
        <w:ind w:firstLine="0"/>
        <w:jc w:val="left"/>
      </w:pPr>
      <w:r>
        <w:rPr>
          <w:rFonts w:ascii="Times New Roman" w:hAnsi="Times New Roman"/>
          <w:b w:val="0"/>
          <w:i w:val="0"/>
          <w:sz w:val="24"/>
        </w:rPr>
        <w:t>[To be completed by the authors.]</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rStyle w:val="SectionNumber"/>
        </w:rPr>
        <w:t>1</w:t>
      </w:r>
      <w:r>
        <w:tab/>
      </w:r>
      <w: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rStyle w:val="SectionNumber"/>
        </w:rPr>
        <w:t>2</w:t>
      </w:r>
      <w:r>
        <w:tab/>
      </w:r>
      <w: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rStyle w:val="SectionNumber"/>
        </w:rPr>
        <w:t>3</w:t>
      </w:r>
      <w:r>
        <w:tab/>
      </w:r>
      <w: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4–43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Figure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it is capacity over the checks within the first ten cycles. This is the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3" w:name="implementation-and-deployment"/>
    <w:p>
      <w:pPr>
        <w:pStyle w:val="Heading1"/>
      </w:pPr>
      <w:r>
        <w:rPr>
          <w:rStyle w:val="SectionNumber"/>
        </w:rPr>
        <w:t>4</w:t>
      </w:r>
      <w:r>
        <w:tab/>
      </w:r>
      <w: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78"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has five views (Table 4.9). A Guardian explanation is rendered inside the CAN replay view and not as its own tab, because it is only meaningful next to the run it explains. Refusals are rendered as results and not as errors.</w:t>
      </w:r>
    </w:p>
    <w:p>
      <w:pPr>
        <w:pStyle w:val="TableCaption"/>
      </w:pPr>
      <w:r>
        <w:t xml:space="preserve">Table 4.9: Dashboard Views</w:t>
      </w:r>
    </w:p>
    <w:tbl>
      <w:tblPr>
        <w:tblStyle w:val="Table"/>
        <w:tblW w:type="pct" w:w="4250"/>
        <w:tblLook w:firstRow="1" w:lastRow="0" w:firstColumn="0" w:lastColumn="0" w:noHBand="0" w:noVBand="0" w:val="0020"/>
        <w:jc w:val="start"/>
        <w:tblCaption w:val="Table 4.9: Dashboard Views"/>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4752"/>
      </w:tblGrid>
      <w:tr>
        <w:trPr>
          <w:tblHeader w:val="true"/>
        </w:trPr>
        <w:tc>
          <w:tcPr/>
          <w:p>
            <w:pPr>
              <w:pStyle w:val="Compact"/>
              <w:spacing w:after="40" w:line="240" w:lineRule="auto"/>
              <w:jc w:val="left"/>
            </w:pPr>
            <w:r>
              <w:rPr>
                <w:bCs/>
                <w:b/>
                <w:sz w:val="20"/>
              </w:rPr>
              <w:t xml:space="preserve">View</w:t>
            </w:r>
          </w:p>
        </w:tc>
        <w:tc>
          <w:tcPr/>
          <w:p>
            <w:pPr>
              <w:pStyle w:val="Compact"/>
              <w:spacing w:after="40" w:line="240" w:lineRule="auto"/>
              <w:jc w:val="left"/>
            </w:pPr>
            <w:r>
              <w:rPr>
                <w:bCs/>
                <w:b/>
                <w:sz w:val="20"/>
              </w:rPr>
              <w:t xml:space="preserve">Shows</w:t>
            </w:r>
          </w:p>
        </w:tc>
      </w:tr>
      <w:tr>
        <w:tc>
          <w:tcPr/>
          <w:p>
            <w:pPr>
              <w:pStyle w:val="Compact"/>
              <w:spacing w:after="40" w:line="240" w:lineRule="auto"/>
              <w:jc w:val="left"/>
            </w:pPr>
            <w:r>
              <w:rPr>
                <w:sz w:val="20"/>
              </w:rPr>
              <w:t xml:space="preserve">Fleet</w:t>
            </w:r>
          </w:p>
        </w:tc>
        <w:tc>
          <w:tcPr/>
          <w:p>
            <w:pPr>
              <w:pStyle w:val="Compact"/>
              <w:spacing w:after="40" w:line="240" w:lineRule="auto"/>
              <w:jc w:val="left"/>
            </w:pPr>
            <w:r>
              <w:rPr>
                <w:sz w:val="20"/>
              </w:rPr>
              <w:t xml:space="preserve">Fleet table with health, risk and RUL per battery, from a simulated or loaded run</w:t>
            </w:r>
          </w:p>
        </w:tc>
      </w:tr>
      <w:tr>
        <w:tc>
          <w:tcPr/>
          <w:p>
            <w:pPr>
              <w:pStyle w:val="Compact"/>
              <w:spacing w:after="40" w:line="240" w:lineRule="auto"/>
              <w:jc w:val="left"/>
            </w:pPr>
            <w:r>
              <w:rPr>
                <w:sz w:val="20"/>
              </w:rPr>
              <w:t xml:space="preserve">CAN Replay</w:t>
            </w:r>
          </w:p>
        </w:tc>
        <w:tc>
          <w:tcPr/>
          <w:p>
            <w:pPr>
              <w:pStyle w:val="Compact"/>
              <w:spacing w:after="40" w:line="240" w:lineRule="auto"/>
              <w:jc w:val="left"/>
            </w:pPr>
            <w:r>
              <w:rPr>
                <w:sz w:val="20"/>
              </w:rPr>
              <w:t xml:space="preserve">Replay of a decoded CAN capture with coverage and the Guardian explanation</w:t>
            </w:r>
          </w:p>
        </w:tc>
      </w:tr>
      <w:tr>
        <w:tc>
          <w:tcPr/>
          <w:p>
            <w:pPr>
              <w:pStyle w:val="Compact"/>
              <w:spacing w:after="40" w:line="240" w:lineRule="auto"/>
              <w:jc w:val="left"/>
            </w:pPr>
            <w:r>
              <w:rPr>
                <w:sz w:val="20"/>
              </w:rPr>
              <w:t xml:space="preserve">Digital Twin</w:t>
            </w:r>
          </w:p>
        </w:tc>
        <w:tc>
          <w:tcPr/>
          <w:p>
            <w:pPr>
              <w:pStyle w:val="Compact"/>
              <w:spacing w:after="40" w:line="240" w:lineRule="auto"/>
              <w:jc w:val="left"/>
            </w:pPr>
            <w:r>
              <w:rPr>
                <w:sz w:val="20"/>
              </w:rPr>
              <w:t xml:space="preserve">Twin state and state transitions for a battery</w:t>
            </w:r>
          </w:p>
        </w:tc>
      </w:tr>
      <w:tr>
        <w:tc>
          <w:tcPr/>
          <w:p>
            <w:pPr>
              <w:pStyle w:val="Compact"/>
              <w:spacing w:after="40" w:line="240" w:lineRule="auto"/>
              <w:jc w:val="left"/>
            </w:pPr>
            <w:r>
              <w:rPr>
                <w:sz w:val="20"/>
              </w:rPr>
              <w:t xml:space="preserve">Thermal</w:t>
            </w:r>
          </w:p>
        </w:tc>
        <w:tc>
          <w:tcPr/>
          <w:p>
            <w:pPr>
              <w:pStyle w:val="Compact"/>
              <w:spacing w:after="40" w:line="240" w:lineRule="auto"/>
              <w:jc w:val="left"/>
            </w:pPr>
            <w:r>
              <w:rPr>
                <w:sz w:val="20"/>
              </w:rPr>
              <w:t xml:space="preserve">Pack temperature view built only from what was measured</w:t>
            </w:r>
          </w:p>
        </w:tc>
      </w:tr>
      <w:tr>
        <w:tc>
          <w:tcPr/>
          <w:p>
            <w:pPr>
              <w:pStyle w:val="Compact"/>
              <w:spacing w:after="40" w:line="240" w:lineRule="auto"/>
              <w:jc w:val="left"/>
            </w:pPr>
            <w:r>
              <w:rPr>
                <w:sz w:val="20"/>
              </w:rPr>
              <w:t xml:space="preserve">Transfer Validation</w:t>
            </w:r>
          </w:p>
        </w:tc>
        <w:tc>
          <w:tcPr/>
          <w:p>
            <w:pPr>
              <w:pStyle w:val="Compact"/>
              <w:spacing w:after="40" w:line="240" w:lineRule="auto"/>
              <w:jc w:val="left"/>
            </w:pPr>
            <w:r>
              <w:rPr>
                <w:sz w:val="20"/>
              </w:rPr>
              <w:t xml:space="preserve">Whether a model may be transferred between datasets, and why not</w:t>
            </w:r>
          </w:p>
        </w:tc>
      </w:tr>
    </w:tbl>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78"/>
    <w:bookmarkStart w:id="79"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79"/>
    <w:bookmarkStart w:id="80"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0"/>
    <w:bookmarkStart w:id="81"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1"/>
    <w:bookmarkStart w:id="82"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2"/>
    <w:bookmarkEnd w:id="83"/>
    <w:bookmarkStart w:id="109" w:name="results-and-discussion"/>
    <w:p>
      <w:pPr>
        <w:pStyle w:val="Heading1"/>
      </w:pPr>
      <w:r>
        <w:rPr>
          <w:rStyle w:val="SectionNumber"/>
        </w:rPr>
        <w:t>5</w:t>
      </w:r>
      <w:r>
        <w:tab/>
      </w:r>
      <w: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84"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84"/>
    <w:bookmarkStart w:id="91"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Figure 5.1 tracks the estimate against every laboratory capacity test, and Fig. 5.2 shows every measured cell.</w:t>
      </w:r>
    </w:p>
    <w:p>
      <w:pPr>
        <w:pStyle w:val="CaptionedFigure"/>
      </w:pPr>
      <w:r>
        <w:drawing>
          <wp:inline>
            <wp:extent cx="4937760" cy="3142210"/>
            <wp:effectExtent b="0" l="0" r="0" t="0"/>
            <wp:docPr descr="" title="" id="86" name="Picture"/>
            <a:graphic>
              <a:graphicData uri="http://schemas.openxmlformats.org/drawingml/2006/picture">
                <pic:pic>
                  <pic:nvPicPr>
                    <pic:cNvPr descr="images/results_soh_tracking.png" id="87" name="Picture"/>
                    <pic:cNvPicPr>
                      <a:picLocks noChangeArrowheads="1" noChangeAspect="1"/>
                    </pic:cNvPicPr>
                  </pic:nvPicPr>
                  <pic:blipFill>
                    <a:blip r:embed="rId85"/>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5.1: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89" name="Picture"/>
            <a:graphic>
              <a:graphicData uri="http://schemas.openxmlformats.org/drawingml/2006/picture">
                <pic:pic>
                  <pic:nvPicPr>
                    <pic:cNvPr descr="images/results_soh_per_cell.png" id="90" name="Picture"/>
                    <pic:cNvPicPr>
                      <a:picLocks noChangeArrowheads="1" noChangeAspect="1"/>
                    </pic:cNvPicPr>
                  </pic:nvPicPr>
                  <pic:blipFill>
                    <a:blip r:embed="rId88"/>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5.2: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1"/>
    <w:bookmarkStart w:id="92"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92"/>
    <w:bookmarkStart w:id="93"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93"/>
    <w:bookmarkStart w:id="97"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Figure 5.3 summarises the result.</w:t>
      </w:r>
    </w:p>
    <w:p>
      <w:pPr>
        <w:pStyle w:val="CaptionedFigure"/>
      </w:pPr>
      <w:r>
        <w:drawing>
          <wp:inline>
            <wp:extent cx="4937760" cy="2064880"/>
            <wp:effectExtent b="0" l="0" r="0" t="0"/>
            <wp:docPr descr="" title="" id="95" name="Picture"/>
            <a:graphic>
              <a:graphicData uri="http://schemas.openxmlformats.org/drawingml/2006/picture">
                <pic:pic>
                  <pic:nvPicPr>
                    <pic:cNvPr descr="images/results_rul.png" id="96" name="Picture"/>
                    <pic:cNvPicPr>
                      <a:picLocks noChangeArrowheads="1" noChangeAspect="1"/>
                    </pic:cNvPicPr>
                  </pic:nvPicPr>
                  <pic:blipFill>
                    <a:blip r:embed="rId94"/>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5.3: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(+17.6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97"/>
    <w:bookmarkStart w:id="98"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98"/>
    <w:bookmarkStart w:id="99"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99"/>
    <w:bookmarkStart w:id="100"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79% of the time (24 estimates, 5 cells).</w:t>
      </w:r>
    </w:p>
    <w:bookmarkEnd w:id="100"/>
    <w:bookmarkStart w:id="101" w:name="X26c779bc697a8a944fe6628e70e8feac4fbc77c"/>
    <w:p>
      <w:pPr>
        <w:pStyle w:val="Heading2"/>
      </w:pPr>
      <w:r>
        <w:rPr>
          <w:rStyle w:val="SectionNumber"/>
        </w:rPr>
        <w:t>5.9</w:t>
      </w:r>
      <w:r>
        <w:tab/>
      </w:r>
      <w:r>
        <w:t>A THIRD DATASET, TEMPERATURE,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1"/>
    <w:bookmarkStart w:id="105" w:name="system-and-hardware-results"/>
    <w:p>
      <w:pPr>
        <w:pStyle w:val="Heading2"/>
      </w:pPr>
      <w:r>
        <w:rPr>
          <w:rStyle w:val="SectionNumber"/>
        </w:rPr>
        <w:t>5.10</w:t>
      </w:r>
      <w:r>
        <w:tab/>
      </w:r>
      <w:r>
        <w:t>SYSTEM AND HARDWARE RESULTS</w:t>
      </w:r>
    </w:p>
    <w:bookmarkStart w:id="102"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bookmarkEnd w:id="102"/>
    <w:bookmarkStart w:id="103"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03"/>
    <w:bookmarkStart w:id="104"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04"/>
    <w:bookmarkEnd w:id="105"/>
    <w:bookmarkStart w:id="106" w:name="a-worked-example-the-report-card"/>
    <w:p>
      <w:pPr>
        <w:pStyle w:val="Heading2"/>
      </w:pPr>
      <w:r>
        <w:rPr>
          <w:rStyle w:val="SectionNumber"/>
        </w:rPr>
        <w:t>5.11</w:t>
      </w:r>
      <w:r>
        <w:tab/>
      </w:r>
      <w:r>
        <w:t>A WORKED EXAMPLE: THE REPORT CARD</w:t>
      </w:r>
    </w:p>
    <w:p>
      <w:pPr>
        <w:pStyle w:val="FirstParagraph"/>
      </w:pPr>
      <w:r>
        <w:t xml:space="preserve">Figure 5.4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5.4: Abridged health report card for CS2_35 at cycle 90, with the laboratory check.</w:t>
      </w:r>
    </w:p>
    <w:p>
      <w:pPr>
        <w:pStyle w:val="BodyText"/>
      </w:pPr>
      <w:r>
        <w:t xml:space="preserve">The health figure is within a third of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06"/>
    <w:bookmarkStart w:id="107"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fitted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at discharge 805 produced a 58%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07"/>
    <w:bookmarkStart w:id="108"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08"/>
    <w:bookmarkEnd w:id="109"/>
    <w:bookmarkStart w:id="112" w:name="conclusion-and-future-work"/>
    <w:p>
      <w:pPr>
        <w:pStyle w:val="Heading1"/>
      </w:pPr>
      <w:r>
        <w:rPr>
          <w:rStyle w:val="SectionNumber"/>
        </w:rPr>
        <w:t>6</w:t>
      </w:r>
      <w:r>
        <w:tab/>
      </w:r>
      <w: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10"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10"/>
    <w:bookmarkStart w:id="111"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11"/>
    <w:bookmarkEnd w:id="112"/>
    <w:bookmarkStart w:id="113"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1: Artifacts and Scripts Behind Each Results Section</w:t>
      </w:r>
    </w:p>
    <w:tbl>
      <w:tblPr>
        <w:tblStyle w:val="Table"/>
        <w:tblW w:type="pct" w:w="4400"/>
        <w:tblLook w:firstRow="1" w:lastRow="0" w:firstColumn="0" w:lastColumn="0" w:noHBand="0" w:noVBand="0" w:val="0020"/>
        <w:jc w:val="start"/>
        <w:tblCaption w:val="Table 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1108"/>
        <w:gridCol w:w="3168"/>
        <w:gridCol w:w="2692"/>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 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5.1, 5.2, 5.3</w:t>
            </w:r>
          </w:p>
        </w:tc>
        <w:tc>
          <w:tcPr/>
          <w:p>
            <w:pPr>
              <w:pStyle w:val="Compact"/>
              <w:spacing w:after="40" w:line="240" w:lineRule="auto"/>
              <w:jc w:val="left"/>
            </w:pPr>
            <w:r>
              <w:rPr>
                <w:rStyle w:val="VerbatimChar"/>
                <w:sz w:val="20"/>
              </w:rPr>
              <w:t xml:space="preserve">reports/figures/results_*.png</w:t>
            </w:r>
          </w:p>
        </w:tc>
        <w:tc>
          <w:tcPr/>
          <w:p>
            <w:pPr>
              <w:pStyle w:val="Compact"/>
              <w:spacing w:after="40" w:line="240" w:lineRule="auto"/>
              <w:jc w:val="left"/>
            </w:pPr>
            <w:r>
              <w:rPr>
                <w:rStyle w:val="VerbatimChar"/>
                <w:sz w:val="20"/>
              </w:rPr>
              <w:t xml:space="preserve">export_results.py</w:t>
            </w:r>
          </w:p>
        </w:tc>
      </w:tr>
    </w:tbl>
    <w:bookmarkEnd w:id="113"/>
    <w:bookmarkStart w:id="115"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14">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15"/>
    <w:bookmarkStart w:id="11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1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6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160" w:before="180" w:line="360" w:lineRule="auto"/>
      <w:ind w:firstLine="0"/>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6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36"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160" w:before="36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6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160" w:before="24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160" w:before="24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4" Type="http://schemas.openxmlformats.org/officeDocument/2006/relationships/image" Target="media/rId94.png"/><Relationship Id="rId88" Type="http://schemas.openxmlformats.org/officeDocument/2006/relationships/image" Target="media/rId88.png"/><Relationship Id="rId85" Type="http://schemas.openxmlformats.org/officeDocument/2006/relationships/image" Target="media/rId85.png"/><Relationship Id="rId114"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2026-10-07T07:29:57Z</dcterms:created>
  <dcterms:modified xsi:type="dcterms:W3CDTF">2026-10-07T07:29:57Z</dcterms:modified>
</cp:coreProperties>
</file>

<file path=docProps/custom.xml><?xml version="1.0" encoding="utf-8"?>
<Properties xmlns="http://schemas.openxmlformats.org/officeDocument/2006/custom-properties" xmlns:vt="http://schemas.openxmlformats.org/officeDocument/2006/docPropsVTypes"/>
</file>