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A454" w14:textId="77777777" w:rsidR="0064013E" w:rsidRPr="0064013E" w:rsidRDefault="0064013E" w:rsidP="0064013E">
      <w:pPr>
        <w:rPr>
          <w:b/>
          <w:bCs/>
        </w:rPr>
      </w:pPr>
      <w:proofErr w:type="spellStart"/>
      <w:r w:rsidRPr="0064013E">
        <w:rPr>
          <w:b/>
          <w:bCs/>
        </w:rPr>
        <w:t>roduct</w:t>
      </w:r>
      <w:proofErr w:type="spellEnd"/>
      <w:r w:rsidRPr="0064013E">
        <w:rPr>
          <w:b/>
          <w:bCs/>
        </w:rPr>
        <w:t xml:space="preserve"> Brief: AI-Powered Case Triage Agent for Public Sector Services</w:t>
      </w:r>
    </w:p>
    <w:p w14:paraId="2A89CFAF" w14:textId="77777777" w:rsidR="0064013E" w:rsidRPr="0064013E" w:rsidRDefault="0064013E" w:rsidP="0064013E">
      <w:pPr>
        <w:rPr>
          <w:b/>
          <w:bCs/>
        </w:rPr>
      </w:pPr>
      <w:r w:rsidRPr="0064013E">
        <w:rPr>
          <w:b/>
          <w:bCs/>
        </w:rPr>
        <w:t>Product Overview</w:t>
      </w:r>
    </w:p>
    <w:p w14:paraId="03F123A7" w14:textId="77777777" w:rsidR="0064013E" w:rsidRPr="0064013E" w:rsidRDefault="0064013E" w:rsidP="0064013E">
      <w:r w:rsidRPr="0064013E">
        <w:t xml:space="preserve">The Case Triage Agent is an AI-powered assistant designed for public-sector case management workflows. It automates the initial processing of citizen applications by reading documents, validating against policy criteria, and preparing comprehensive case packs for human caseworkers. Built on AWS </w:t>
      </w:r>
      <w:proofErr w:type="spellStart"/>
      <w:r w:rsidRPr="0064013E">
        <w:t>AgentCore</w:t>
      </w:r>
      <w:proofErr w:type="spellEnd"/>
      <w:r w:rsidRPr="0064013E">
        <w:t xml:space="preserve"> and integrated with Kiro, the solution provides a modular framework adaptable to any public sector case management flow, from hardship fund applications to licensing requests.</w:t>
      </w:r>
    </w:p>
    <w:p w14:paraId="54F15E30" w14:textId="77777777" w:rsidR="0064013E" w:rsidRPr="0064013E" w:rsidRDefault="0064013E" w:rsidP="0064013E">
      <w:pPr>
        <w:rPr>
          <w:b/>
          <w:bCs/>
        </w:rPr>
      </w:pPr>
      <w:r w:rsidRPr="0064013E">
        <w:rPr>
          <w:b/>
          <w:bCs/>
        </w:rPr>
        <w:t>Problem Statement</w:t>
      </w:r>
    </w:p>
    <w:p w14:paraId="4AB72AD5" w14:textId="77777777" w:rsidR="0064013E" w:rsidRPr="0064013E" w:rsidRDefault="0064013E" w:rsidP="0064013E">
      <w:r w:rsidRPr="0064013E">
        <w:t>Public sector caseworkers face overwhelming manual workloads when processing citizen applications. They must manually review documents, extract information, cross-reference multiple policy documents, check eligibility criteria, identify missing information, and prepare recommendations. This time-consuming process creates bottlenecks, delays citizen services, increases processing costs, and leads to inconsistent application of policies across cases.</w:t>
      </w:r>
    </w:p>
    <w:p w14:paraId="6FF30D96" w14:textId="77777777" w:rsidR="0064013E" w:rsidRPr="0064013E" w:rsidRDefault="0064013E" w:rsidP="0064013E">
      <w:pPr>
        <w:rPr>
          <w:b/>
          <w:bCs/>
        </w:rPr>
      </w:pPr>
      <w:r w:rsidRPr="0064013E">
        <w:rPr>
          <w:b/>
          <w:bCs/>
        </w:rPr>
        <w:t>Importance of Solving the Problem Now</w:t>
      </w:r>
    </w:p>
    <w:p w14:paraId="5A5D1606" w14:textId="77777777" w:rsidR="0064013E" w:rsidRPr="0064013E" w:rsidRDefault="0064013E" w:rsidP="0064013E">
      <w:r w:rsidRPr="0064013E">
        <w:t xml:space="preserve">With increasing demand for public services and shrinking budgets, councils cannot scale their workforce proportionally. Current manual triage processes result in weeks-long application backlogs, frustrated citizens, and burned-out staff. The immediate opportunity to deploy AI agents on AWS </w:t>
      </w:r>
      <w:proofErr w:type="spellStart"/>
      <w:r w:rsidRPr="0064013E">
        <w:t>AgentCore</w:t>
      </w:r>
      <w:proofErr w:type="spellEnd"/>
      <w:r w:rsidRPr="0064013E">
        <w:t xml:space="preserve"> enables public sector organizations to handle growing caseloads without proportional staffing increases while maintaining quality and consistency.</w:t>
      </w:r>
    </w:p>
    <w:p w14:paraId="4022B8A0" w14:textId="77777777" w:rsidR="0064013E" w:rsidRPr="0064013E" w:rsidRDefault="0064013E" w:rsidP="0064013E">
      <w:pPr>
        <w:rPr>
          <w:b/>
          <w:bCs/>
        </w:rPr>
      </w:pPr>
      <w:r w:rsidRPr="0064013E">
        <w:rPr>
          <w:b/>
          <w:bCs/>
        </w:rPr>
        <w:t>Opportunity</w:t>
      </w:r>
    </w:p>
    <w:p w14:paraId="0F11A0CE" w14:textId="77777777" w:rsidR="0064013E" w:rsidRPr="0064013E" w:rsidRDefault="0064013E" w:rsidP="0064013E">
      <w:r w:rsidRPr="0064013E">
        <w:t>Automating case triage delivers significant ROI through reduced processing time per application, lower operational costs, faster citizen service delivery, and improved consistency in policy application. The modular design allows deployment across multiple case management workflows, multiplying returns. Early adoption positions the organization as an innovator in public sector digital transformation, potentially creating a marketplace offering for other councils and agencies.</w:t>
      </w:r>
    </w:p>
    <w:p w14:paraId="3252A7AC" w14:textId="77777777" w:rsidR="0064013E" w:rsidRPr="0064013E" w:rsidRDefault="0064013E" w:rsidP="0064013E">
      <w:pPr>
        <w:rPr>
          <w:b/>
          <w:bCs/>
        </w:rPr>
      </w:pPr>
      <w:r w:rsidRPr="0064013E">
        <w:rPr>
          <w:b/>
          <w:bCs/>
        </w:rPr>
        <w:t>Risks</w:t>
      </w:r>
    </w:p>
    <w:p w14:paraId="27F74B1A" w14:textId="77777777" w:rsidR="0064013E" w:rsidRPr="0064013E" w:rsidRDefault="0064013E" w:rsidP="0064013E">
      <w:r w:rsidRPr="0064013E">
        <w:t>Key risks include ensuring AI recommendations remain unbiased across demographics, maintaining data privacy and security for sensitive citizen information, managing change resistance from caseworkers concerned about job displacement, and ensuring governance frameworks meet public sector compliance requirements. Technical risks include integration complexity with legacy systems and potential model hallucinations requiring robust guardrails.</w:t>
      </w:r>
    </w:p>
    <w:p w14:paraId="5508E136" w14:textId="77777777" w:rsidR="0064013E" w:rsidRPr="0064013E" w:rsidRDefault="0064013E" w:rsidP="0064013E">
      <w:pPr>
        <w:rPr>
          <w:b/>
          <w:bCs/>
        </w:rPr>
      </w:pPr>
      <w:r w:rsidRPr="0064013E">
        <w:rPr>
          <w:b/>
          <w:bCs/>
        </w:rPr>
        <w:lastRenderedPageBreak/>
        <w:t>Target Audience</w:t>
      </w:r>
    </w:p>
    <w:p w14:paraId="50B4BA5E" w14:textId="77777777" w:rsidR="0064013E" w:rsidRPr="0064013E" w:rsidRDefault="0064013E" w:rsidP="0064013E">
      <w:r w:rsidRPr="0064013E">
        <w:t>Primary users are public sector caseworkers in councils and government agencies handling citizen applications. Secondary stakeholders include citizens applying for services, agency leadership seeking efficiency improvements, and IT teams managing deployment and integration.</w:t>
      </w:r>
    </w:p>
    <w:p w14:paraId="405E9B9D" w14:textId="77777777" w:rsidR="0064013E" w:rsidRPr="0064013E" w:rsidRDefault="0064013E" w:rsidP="0064013E">
      <w:pPr>
        <w:rPr>
          <w:b/>
          <w:bCs/>
        </w:rPr>
      </w:pPr>
      <w:r w:rsidRPr="0064013E">
        <w:rPr>
          <w:b/>
          <w:bCs/>
        </w:rPr>
        <w:t>Definition of Done</w:t>
      </w:r>
    </w:p>
    <w:p w14:paraId="0884AC5B" w14:textId="1ECB5D4E" w:rsidR="0064013E" w:rsidRPr="0064013E" w:rsidRDefault="0064013E" w:rsidP="0064013E">
      <w:r w:rsidRPr="0064013E">
        <w:t>The project is complete when it delivers a working demo showcasing the full workflow from application submission through agent processing to caseworker review, comprehensive architecture documentation, implemented risk management and bias mitigation guardrails, and a marketplace-ready offering package, all delivered by March 3rd, 2026.</w:t>
      </w:r>
      <w:r w:rsidR="00AC4668">
        <w:br/>
      </w:r>
      <w:r w:rsidR="00AC4668">
        <w:br/>
      </w:r>
      <w:r w:rsidR="00AC4668">
        <w:br/>
      </w:r>
      <w:r w:rsidR="00AC4668">
        <w:br/>
        <w:t>--------------------------------------------------------------------------------------------------------------</w:t>
      </w:r>
      <w:r w:rsidR="00AC4668">
        <w:br/>
      </w:r>
      <w:r w:rsidR="00AC4668">
        <w:br/>
        <w:t>B</w:t>
      </w:r>
      <w:r w:rsidR="00AC4668" w:rsidRPr="00AC4668">
        <w:t xml:space="preserve">uilding a </w:t>
      </w:r>
      <w:r w:rsidR="00AC4668" w:rsidRPr="00AC4668">
        <w:rPr>
          <w:b/>
          <w:bCs/>
        </w:rPr>
        <w:t xml:space="preserve">productized </w:t>
      </w:r>
      <w:r w:rsidR="00AC4668">
        <w:rPr>
          <w:b/>
          <w:bCs/>
        </w:rPr>
        <w:t>A</w:t>
      </w:r>
      <w:r w:rsidR="00AC4668" w:rsidRPr="00AC4668">
        <w:rPr>
          <w:b/>
          <w:bCs/>
        </w:rPr>
        <w:t>gentic AI platform</w:t>
      </w:r>
      <w:r w:rsidR="00AC4668" w:rsidRPr="00AC4668">
        <w:t xml:space="preserve"> that </w:t>
      </w:r>
      <w:r w:rsidR="00AC4668" w:rsidRPr="00AC4668">
        <w:rPr>
          <w:b/>
          <w:bCs/>
        </w:rPr>
        <w:t>assists</w:t>
      </w:r>
      <w:r w:rsidR="00AC4668" w:rsidRPr="00AC4668">
        <w:t xml:space="preserve"> public-sector caseworkers</w:t>
      </w:r>
    </w:p>
    <w:p w14:paraId="45222477" w14:textId="77777777" w:rsidR="00AD597D" w:rsidRPr="00AD597D" w:rsidRDefault="00AD597D" w:rsidP="00AD597D">
      <w:r w:rsidRPr="00AD597D">
        <w:t xml:space="preserve">It does </w:t>
      </w:r>
      <w:r w:rsidRPr="00AD597D">
        <w:rPr>
          <w:b/>
          <w:bCs/>
        </w:rPr>
        <w:t>NOT</w:t>
      </w:r>
      <w:r w:rsidRPr="00AD597D">
        <w:t>:</w:t>
      </w:r>
    </w:p>
    <w:p w14:paraId="49DDD2E1" w14:textId="77777777" w:rsidR="00AD597D" w:rsidRPr="00AD597D" w:rsidRDefault="00AD597D" w:rsidP="00AD597D">
      <w:pPr>
        <w:numPr>
          <w:ilvl w:val="0"/>
          <w:numId w:val="1"/>
        </w:numPr>
      </w:pPr>
      <w:r w:rsidRPr="00AD597D">
        <w:t>Approve cases automatically</w:t>
      </w:r>
    </w:p>
    <w:p w14:paraId="5DEFDFEC" w14:textId="77777777" w:rsidR="00AD597D" w:rsidRPr="00AD597D" w:rsidRDefault="00AD597D" w:rsidP="00AD597D">
      <w:pPr>
        <w:numPr>
          <w:ilvl w:val="0"/>
          <w:numId w:val="1"/>
        </w:numPr>
      </w:pPr>
      <w:r w:rsidRPr="00AD597D">
        <w:t>Replace humans</w:t>
      </w:r>
    </w:p>
    <w:p w14:paraId="566E46EF" w14:textId="77777777" w:rsidR="00AD597D" w:rsidRPr="00AD597D" w:rsidRDefault="00AD597D" w:rsidP="00AD597D">
      <w:pPr>
        <w:numPr>
          <w:ilvl w:val="0"/>
          <w:numId w:val="1"/>
        </w:numPr>
      </w:pPr>
      <w:r w:rsidRPr="00AD597D">
        <w:t>Learn from citizen data</w:t>
      </w:r>
    </w:p>
    <w:p w14:paraId="5FA435BC" w14:textId="77777777" w:rsidR="00AD597D" w:rsidRPr="00AD597D" w:rsidRDefault="00AD597D" w:rsidP="00AD597D">
      <w:r w:rsidRPr="00AD597D">
        <w:t xml:space="preserve">It </w:t>
      </w:r>
      <w:r w:rsidRPr="00AD597D">
        <w:rPr>
          <w:b/>
          <w:bCs/>
        </w:rPr>
        <w:t>DOES</w:t>
      </w:r>
      <w:r w:rsidRPr="00AD597D">
        <w:t>:</w:t>
      </w:r>
    </w:p>
    <w:p w14:paraId="39AE5140" w14:textId="77777777" w:rsidR="00AD597D" w:rsidRPr="00AD597D" w:rsidRDefault="00AD597D" w:rsidP="00AD597D">
      <w:pPr>
        <w:numPr>
          <w:ilvl w:val="0"/>
          <w:numId w:val="2"/>
        </w:numPr>
      </w:pPr>
      <w:r w:rsidRPr="00AD597D">
        <w:t>Read applications</w:t>
      </w:r>
    </w:p>
    <w:p w14:paraId="6F6FE9ED" w14:textId="77777777" w:rsidR="00AD597D" w:rsidRPr="00AD597D" w:rsidRDefault="00AD597D" w:rsidP="00AD597D">
      <w:pPr>
        <w:numPr>
          <w:ilvl w:val="0"/>
          <w:numId w:val="2"/>
        </w:numPr>
      </w:pPr>
      <w:r w:rsidRPr="00AD597D">
        <w:t>Apply policies consistently</w:t>
      </w:r>
    </w:p>
    <w:p w14:paraId="336E1598" w14:textId="77777777" w:rsidR="00AD597D" w:rsidRPr="00AD597D" w:rsidRDefault="00AD597D" w:rsidP="00AD597D">
      <w:pPr>
        <w:numPr>
          <w:ilvl w:val="0"/>
          <w:numId w:val="2"/>
        </w:numPr>
      </w:pPr>
      <w:r w:rsidRPr="00AD597D">
        <w:t>Prepare explainable summaries</w:t>
      </w:r>
    </w:p>
    <w:p w14:paraId="213F42A9" w14:textId="77777777" w:rsidR="00AD597D" w:rsidRPr="00AD597D" w:rsidRDefault="00AD597D" w:rsidP="00AD597D">
      <w:pPr>
        <w:numPr>
          <w:ilvl w:val="0"/>
          <w:numId w:val="2"/>
        </w:numPr>
      </w:pPr>
      <w:r w:rsidRPr="00AD597D">
        <w:t>Surface risk and missing info</w:t>
      </w:r>
    </w:p>
    <w:p w14:paraId="7935CE15" w14:textId="71C9F7BB" w:rsidR="00D24005" w:rsidRDefault="00D24005" w:rsidP="0064013E"/>
    <w:sectPr w:rsidR="00D24005">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46FD" w14:textId="77777777" w:rsidR="004358A1" w:rsidRDefault="004358A1" w:rsidP="0064013E">
      <w:pPr>
        <w:spacing w:after="0" w:line="240" w:lineRule="auto"/>
      </w:pPr>
      <w:r>
        <w:separator/>
      </w:r>
    </w:p>
  </w:endnote>
  <w:endnote w:type="continuationSeparator" w:id="0">
    <w:p w14:paraId="33E07D36" w14:textId="77777777" w:rsidR="004358A1" w:rsidRDefault="004358A1" w:rsidP="0064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1111" w14:textId="513F695A" w:rsidR="0064013E" w:rsidRDefault="0064013E">
    <w:pPr>
      <w:pStyle w:val="Footer"/>
    </w:pPr>
    <w:r>
      <w:rPr>
        <w:noProof/>
      </w:rPr>
      <mc:AlternateContent>
        <mc:Choice Requires="wps">
          <w:drawing>
            <wp:anchor distT="0" distB="0" distL="0" distR="0" simplePos="0" relativeHeight="251658241" behindDoc="0" locked="0" layoutInCell="1" allowOverlap="1" wp14:anchorId="08B97C23" wp14:editId="02ECC915">
              <wp:simplePos x="635" y="635"/>
              <wp:positionH relativeFrom="page">
                <wp:align>left</wp:align>
              </wp:positionH>
              <wp:positionV relativeFrom="page">
                <wp:align>bottom</wp:align>
              </wp:positionV>
              <wp:extent cx="1092835" cy="298450"/>
              <wp:effectExtent l="0" t="0" r="12065" b="0"/>
              <wp:wrapNone/>
              <wp:docPr id="594882800"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8450"/>
                      </a:xfrm>
                      <a:prstGeom prst="rect">
                        <a:avLst/>
                      </a:prstGeom>
                      <a:noFill/>
                      <a:ln>
                        <a:noFill/>
                      </a:ln>
                    </wps:spPr>
                    <wps:txbx>
                      <w:txbxContent>
                        <w:p w14:paraId="429D2EE6" w14:textId="231D038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B97C23" id="_x0000_t202" coordsize="21600,21600" o:spt="202" path="m,l,21600r21600,l21600,xe">
              <v:stroke joinstyle="miter"/>
              <v:path gradientshapeok="t" o:connecttype="rect"/>
            </v:shapetype>
            <v:shape id="Text Box 2" o:spid="_x0000_s1026" type="#_x0000_t202" alt="Classification: Controlled" style="position:absolute;margin-left:0;margin-top:0;width:86.05pt;height:23.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" filled="f" stroked="f">
              <v:fill o:detectmouseclick="t"/>
              <v:textbox style="mso-fit-shape-to-text:t" inset="20pt,0,0,15pt">
                <w:txbxContent>
                  <w:p w14:paraId="429D2EE6" w14:textId="231D038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A8ED" w14:textId="5BC7F575" w:rsidR="0064013E" w:rsidRDefault="0064013E">
    <w:pPr>
      <w:pStyle w:val="Footer"/>
    </w:pPr>
    <w:r>
      <w:rPr>
        <w:noProof/>
      </w:rPr>
      <mc:AlternateContent>
        <mc:Choice Requires="wps">
          <w:drawing>
            <wp:anchor distT="0" distB="0" distL="0" distR="0" simplePos="0" relativeHeight="251658242" behindDoc="0" locked="0" layoutInCell="1" allowOverlap="1" wp14:anchorId="21207747" wp14:editId="228391DC">
              <wp:simplePos x="635" y="635"/>
              <wp:positionH relativeFrom="page">
                <wp:align>left</wp:align>
              </wp:positionH>
              <wp:positionV relativeFrom="page">
                <wp:align>bottom</wp:align>
              </wp:positionV>
              <wp:extent cx="1092835" cy="298450"/>
              <wp:effectExtent l="0" t="0" r="12065" b="0"/>
              <wp:wrapNone/>
              <wp:docPr id="1525229519"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8450"/>
                      </a:xfrm>
                      <a:prstGeom prst="rect">
                        <a:avLst/>
                      </a:prstGeom>
                      <a:noFill/>
                      <a:ln>
                        <a:noFill/>
                      </a:ln>
                    </wps:spPr>
                    <wps:txbx>
                      <w:txbxContent>
                        <w:p w14:paraId="383F4255" w14:textId="6DE0799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207747" id="_x0000_t202" coordsize="21600,21600" o:spt="202" path="m,l,21600r21600,l21600,xe">
              <v:stroke joinstyle="miter"/>
              <v:path gradientshapeok="t" o:connecttype="rect"/>
            </v:shapetype>
            <v:shape id="Text Box 3" o:spid="_x0000_s1027" type="#_x0000_t202" alt="Classification: Controlled" style="position:absolute;margin-left:0;margin-top:0;width:86.05pt;height:23.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" filled="f" stroked="f">
              <v:fill o:detectmouseclick="t"/>
              <v:textbox style="mso-fit-shape-to-text:t" inset="20pt,0,0,15pt">
                <w:txbxContent>
                  <w:p w14:paraId="383F4255" w14:textId="6DE0799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E5C0" w14:textId="619E9A17" w:rsidR="0064013E" w:rsidRDefault="0064013E">
    <w:pPr>
      <w:pStyle w:val="Footer"/>
    </w:pPr>
    <w:r>
      <w:rPr>
        <w:noProof/>
      </w:rPr>
      <mc:AlternateContent>
        <mc:Choice Requires="wps">
          <w:drawing>
            <wp:anchor distT="0" distB="0" distL="0" distR="0" simplePos="0" relativeHeight="251658240" behindDoc="0" locked="0" layoutInCell="1" allowOverlap="1" wp14:anchorId="1C8A59C5" wp14:editId="69C2A505">
              <wp:simplePos x="635" y="635"/>
              <wp:positionH relativeFrom="page">
                <wp:align>left</wp:align>
              </wp:positionH>
              <wp:positionV relativeFrom="page">
                <wp:align>bottom</wp:align>
              </wp:positionV>
              <wp:extent cx="1092835" cy="298450"/>
              <wp:effectExtent l="0" t="0" r="12065" b="0"/>
              <wp:wrapNone/>
              <wp:docPr id="1060814078"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2835" cy="298450"/>
                      </a:xfrm>
                      <a:prstGeom prst="rect">
                        <a:avLst/>
                      </a:prstGeom>
                      <a:noFill/>
                      <a:ln>
                        <a:noFill/>
                      </a:ln>
                    </wps:spPr>
                    <wps:txbx>
                      <w:txbxContent>
                        <w:p w14:paraId="3E60CD33" w14:textId="22ACE25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8A59C5" id="_x0000_t202" coordsize="21600,21600" o:spt="202" path="m,l,21600r21600,l21600,xe">
              <v:stroke joinstyle="miter"/>
              <v:path gradientshapeok="t" o:connecttype="rect"/>
            </v:shapetype>
            <v:shape id="Text Box 1" o:spid="_x0000_s1028" type="#_x0000_t202" alt="Classification: Controlled" style="position:absolute;margin-left:0;margin-top:0;width:86.05pt;height: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" filled="f" stroked="f">
              <v:fill o:detectmouseclick="t"/>
              <v:textbox style="mso-fit-shape-to-text:t" inset="20pt,0,0,15pt">
                <w:txbxContent>
                  <w:p w14:paraId="3E60CD33" w14:textId="22ACE250" w:rsidR="0064013E" w:rsidRPr="0064013E" w:rsidRDefault="0064013E" w:rsidP="0064013E">
                    <w:pPr>
                      <w:spacing w:after="0"/>
                      <w:rPr>
                        <w:rFonts w:ascii="Aptos" w:eastAsia="Aptos" w:hAnsi="Aptos" w:cs="Aptos"/>
                        <w:noProof/>
                        <w:color w:val="FF0000"/>
                        <w:sz w:val="12"/>
                        <w:szCs w:val="12"/>
                      </w:rPr>
                    </w:pPr>
                    <w:r w:rsidRPr="0064013E">
                      <w:rPr>
                        <w:rFonts w:ascii="Aptos" w:eastAsia="Aptos" w:hAnsi="Aptos" w:cs="Aptos"/>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31719" w14:textId="77777777" w:rsidR="004358A1" w:rsidRDefault="004358A1" w:rsidP="0064013E">
      <w:pPr>
        <w:spacing w:after="0" w:line="240" w:lineRule="auto"/>
      </w:pPr>
      <w:r>
        <w:separator/>
      </w:r>
    </w:p>
  </w:footnote>
  <w:footnote w:type="continuationSeparator" w:id="0">
    <w:p w14:paraId="729CB17D" w14:textId="77777777" w:rsidR="004358A1" w:rsidRDefault="004358A1" w:rsidP="00640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50A"/>
    <w:multiLevelType w:val="multilevel"/>
    <w:tmpl w:val="97C8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13783"/>
    <w:multiLevelType w:val="multilevel"/>
    <w:tmpl w:val="BA1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678446">
    <w:abstractNumId w:val="0"/>
  </w:num>
  <w:num w:numId="2" w16cid:durableId="230047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BFB"/>
    <w:rsid w:val="001356D6"/>
    <w:rsid w:val="001C7A65"/>
    <w:rsid w:val="002C66D6"/>
    <w:rsid w:val="002F6BFB"/>
    <w:rsid w:val="004358A1"/>
    <w:rsid w:val="00506962"/>
    <w:rsid w:val="006123E3"/>
    <w:rsid w:val="0064013E"/>
    <w:rsid w:val="00734EA4"/>
    <w:rsid w:val="007B319C"/>
    <w:rsid w:val="008847C6"/>
    <w:rsid w:val="00AC4668"/>
    <w:rsid w:val="00AD597D"/>
    <w:rsid w:val="00BB1B18"/>
    <w:rsid w:val="00D240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B3BCC"/>
  <w15:chartTrackingRefBased/>
  <w15:docId w15:val="{2C2B6734-B269-409C-8C25-F0BE6F817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BFB"/>
    <w:rPr>
      <w:rFonts w:eastAsiaTheme="majorEastAsia" w:cstheme="majorBidi"/>
      <w:color w:val="272727" w:themeColor="text1" w:themeTint="D8"/>
    </w:rPr>
  </w:style>
  <w:style w:type="paragraph" w:styleId="Title">
    <w:name w:val="Title"/>
    <w:basedOn w:val="Normal"/>
    <w:next w:val="Normal"/>
    <w:link w:val="TitleChar"/>
    <w:uiPriority w:val="10"/>
    <w:qFormat/>
    <w:rsid w:val="002F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BFB"/>
    <w:pPr>
      <w:spacing w:before="160"/>
      <w:jc w:val="center"/>
    </w:pPr>
    <w:rPr>
      <w:i/>
      <w:iCs/>
      <w:color w:val="404040" w:themeColor="text1" w:themeTint="BF"/>
    </w:rPr>
  </w:style>
  <w:style w:type="character" w:customStyle="1" w:styleId="QuoteChar">
    <w:name w:val="Quote Char"/>
    <w:basedOn w:val="DefaultParagraphFont"/>
    <w:link w:val="Quote"/>
    <w:uiPriority w:val="29"/>
    <w:rsid w:val="002F6BFB"/>
    <w:rPr>
      <w:i/>
      <w:iCs/>
      <w:color w:val="404040" w:themeColor="text1" w:themeTint="BF"/>
    </w:rPr>
  </w:style>
  <w:style w:type="paragraph" w:styleId="ListParagraph">
    <w:name w:val="List Paragraph"/>
    <w:basedOn w:val="Normal"/>
    <w:uiPriority w:val="34"/>
    <w:qFormat/>
    <w:rsid w:val="002F6BFB"/>
    <w:pPr>
      <w:ind w:left="720"/>
      <w:contextualSpacing/>
    </w:pPr>
  </w:style>
  <w:style w:type="character" w:styleId="IntenseEmphasis">
    <w:name w:val="Intense Emphasis"/>
    <w:basedOn w:val="DefaultParagraphFont"/>
    <w:uiPriority w:val="21"/>
    <w:qFormat/>
    <w:rsid w:val="002F6BFB"/>
    <w:rPr>
      <w:i/>
      <w:iCs/>
      <w:color w:val="0F4761" w:themeColor="accent1" w:themeShade="BF"/>
    </w:rPr>
  </w:style>
  <w:style w:type="paragraph" w:styleId="IntenseQuote">
    <w:name w:val="Intense Quote"/>
    <w:basedOn w:val="Normal"/>
    <w:next w:val="Normal"/>
    <w:link w:val="IntenseQuoteChar"/>
    <w:uiPriority w:val="30"/>
    <w:qFormat/>
    <w:rsid w:val="002F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BFB"/>
    <w:rPr>
      <w:i/>
      <w:iCs/>
      <w:color w:val="0F4761" w:themeColor="accent1" w:themeShade="BF"/>
    </w:rPr>
  </w:style>
  <w:style w:type="character" w:styleId="IntenseReference">
    <w:name w:val="Intense Reference"/>
    <w:basedOn w:val="DefaultParagraphFont"/>
    <w:uiPriority w:val="32"/>
    <w:qFormat/>
    <w:rsid w:val="002F6BFB"/>
    <w:rPr>
      <w:b/>
      <w:bCs/>
      <w:smallCaps/>
      <w:color w:val="0F4761" w:themeColor="accent1" w:themeShade="BF"/>
      <w:spacing w:val="5"/>
    </w:rPr>
  </w:style>
  <w:style w:type="paragraph" w:styleId="Footer">
    <w:name w:val="footer"/>
    <w:basedOn w:val="Normal"/>
    <w:link w:val="FooterChar"/>
    <w:uiPriority w:val="99"/>
    <w:unhideWhenUsed/>
    <w:rsid w:val="006401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013E"/>
  </w:style>
  <w:style w:type="paragraph" w:styleId="Header">
    <w:name w:val="header"/>
    <w:basedOn w:val="Normal"/>
    <w:link w:val="HeaderChar"/>
    <w:uiPriority w:val="99"/>
    <w:unhideWhenUsed/>
    <w:rsid w:val="006123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47B65-A362-42D2-A92A-E5D12FEA4728}">
  <ds:schemaRefs>
    <ds:schemaRef ds:uri="http://schemas.openxmlformats.org/officeDocument/2006/bibliography"/>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124</TotalTime>
  <Pages>2</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Areti</dc:creator>
  <cp:keywords/>
  <dc:description/>
  <cp:lastModifiedBy>Navya Areti</cp:lastModifiedBy>
  <cp:revision>11</cp:revision>
  <dcterms:created xsi:type="dcterms:W3CDTF">2026-02-01T21:57:00Z</dcterms:created>
  <dcterms:modified xsi:type="dcterms:W3CDTF">2026-02-02T00:01:00Z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3f3abcfe,237530f0,5ae927cf</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