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808B74" w14:textId="41A74E9D" w:rsidR="007A176C" w:rsidRPr="007A176C" w:rsidRDefault="007A176C" w:rsidP="007A176C">
      <w:pPr>
        <w:rPr>
          <w:b/>
          <w:bCs/>
          <w:sz w:val="32"/>
          <w:szCs w:val="32"/>
        </w:rPr>
      </w:pPr>
      <w:r w:rsidRPr="007A176C">
        <w:rPr>
          <w:b/>
          <w:bCs/>
          <w:sz w:val="32"/>
          <w:szCs w:val="32"/>
        </w:rPr>
        <w:t>HSBC Bank Personal Loan Acceptance Analysis</w:t>
      </w:r>
      <w:r w:rsidRPr="007A176C">
        <w:pict w14:anchorId="1025B6F8">
          <v:rect id="_x0000_i1169" style="width:0;height:1.5pt" o:hralign="center" o:hrstd="t" o:hr="t" fillcolor="#a0a0a0" stroked="f"/>
        </w:pict>
      </w:r>
    </w:p>
    <w:p w14:paraId="01544534" w14:textId="77777777" w:rsidR="007A176C" w:rsidRPr="007A176C" w:rsidRDefault="007A176C" w:rsidP="007A176C">
      <w:r w:rsidRPr="007A176C">
        <w:t>The objective of this analysis was to identify the key factors influencing personal loan acceptance among HSBC customers and provide data-driven recommendations to improve campaign targeting and conversion rates.</w:t>
      </w:r>
    </w:p>
    <w:p w14:paraId="18EF86AD" w14:textId="77777777" w:rsidR="007A176C" w:rsidRPr="007A176C" w:rsidRDefault="007A176C" w:rsidP="007A176C">
      <w:r w:rsidRPr="007A176C">
        <w:t>The analysis revealed that:</w:t>
      </w:r>
    </w:p>
    <w:p w14:paraId="380E69D3" w14:textId="77777777" w:rsidR="007A176C" w:rsidRPr="007A176C" w:rsidRDefault="007A176C" w:rsidP="007A176C">
      <w:pPr>
        <w:numPr>
          <w:ilvl w:val="0"/>
          <w:numId w:val="1"/>
        </w:numPr>
      </w:pPr>
      <w:r w:rsidRPr="007A176C">
        <w:t xml:space="preserve">Income </w:t>
      </w:r>
    </w:p>
    <w:p w14:paraId="1BFE93DE" w14:textId="77777777" w:rsidR="007A176C" w:rsidRPr="007A176C" w:rsidRDefault="007A176C" w:rsidP="007A176C">
      <w:pPr>
        <w:numPr>
          <w:ilvl w:val="0"/>
          <w:numId w:val="1"/>
        </w:numPr>
      </w:pPr>
      <w:r w:rsidRPr="007A176C">
        <w:t xml:space="preserve">Education </w:t>
      </w:r>
    </w:p>
    <w:p w14:paraId="107B5D1B" w14:textId="77777777" w:rsidR="007A176C" w:rsidRPr="007A176C" w:rsidRDefault="007A176C" w:rsidP="007A176C">
      <w:pPr>
        <w:numPr>
          <w:ilvl w:val="0"/>
          <w:numId w:val="1"/>
        </w:numPr>
      </w:pPr>
      <w:r w:rsidRPr="007A176C">
        <w:t xml:space="preserve">TD Account ownership </w:t>
      </w:r>
    </w:p>
    <w:p w14:paraId="67AF83C9" w14:textId="77777777" w:rsidR="007A176C" w:rsidRPr="007A176C" w:rsidRDefault="007A176C" w:rsidP="007A176C">
      <w:pPr>
        <w:numPr>
          <w:ilvl w:val="0"/>
          <w:numId w:val="1"/>
        </w:numPr>
      </w:pPr>
      <w:r w:rsidRPr="007A176C">
        <w:t xml:space="preserve">Credit card spending </w:t>
      </w:r>
      <w:proofErr w:type="spellStart"/>
      <w:r w:rsidRPr="007A176C">
        <w:t>behavior</w:t>
      </w:r>
      <w:proofErr w:type="spellEnd"/>
      <w:r w:rsidRPr="007A176C">
        <w:t xml:space="preserve"> (CCAvg) </w:t>
      </w:r>
    </w:p>
    <w:p w14:paraId="535FB1F3" w14:textId="0A96CE3E" w:rsidR="007A176C" w:rsidRPr="007A176C" w:rsidRDefault="007A176C" w:rsidP="007A176C">
      <w:r>
        <w:t xml:space="preserve">These </w:t>
      </w:r>
      <w:r w:rsidRPr="007A176C">
        <w:t>are the strongest predictors of loan acceptance.</w:t>
      </w:r>
    </w:p>
    <w:p w14:paraId="193AA1C1" w14:textId="0B0466F0" w:rsidR="007A176C" w:rsidRPr="007A176C" w:rsidRDefault="007A176C" w:rsidP="007A176C">
      <w:pPr>
        <w:rPr>
          <w:b/>
          <w:bCs/>
        </w:rPr>
      </w:pPr>
      <w:r w:rsidRPr="007A176C">
        <w:t>The overall personal loan acceptance rate was:</w:t>
      </w:r>
      <w:r w:rsidRPr="007A176C">
        <w:rPr>
          <w:b/>
          <w:bCs/>
        </w:rPr>
        <w:t xml:space="preserve"> </w:t>
      </w:r>
      <w:r w:rsidRPr="007A176C">
        <w:rPr>
          <w:b/>
          <w:bCs/>
        </w:rPr>
        <w:t>9.6%</w:t>
      </w:r>
    </w:p>
    <w:p w14:paraId="5E657727" w14:textId="77777777" w:rsidR="007A176C" w:rsidRPr="007A176C" w:rsidRDefault="007A176C" w:rsidP="007A176C">
      <w:r w:rsidRPr="007A176C">
        <w:t>This indicates that HSBC’s current marketing campaigns are reaching a large number of low-probability customers, resulting in inefficient targeting and increased marketing costs.</w:t>
      </w:r>
    </w:p>
    <w:p w14:paraId="0BC57DFB" w14:textId="77777777" w:rsidR="007A176C" w:rsidRPr="007A176C" w:rsidRDefault="007A176C" w:rsidP="007A176C">
      <w:r w:rsidRPr="007A176C">
        <w:pict w14:anchorId="11E8F727">
          <v:rect id="_x0000_i1170" style="width:0;height:1.5pt" o:hralign="center" o:hrstd="t" o:hr="t" fillcolor="#a0a0a0" stroked="f"/>
        </w:pict>
      </w:r>
    </w:p>
    <w:p w14:paraId="327EC50D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Business Insights</w:t>
      </w:r>
    </w:p>
    <w:p w14:paraId="445A4669" w14:textId="77777777" w:rsidR="007A176C" w:rsidRPr="007A176C" w:rsidRDefault="007A176C" w:rsidP="007A176C">
      <w:r w:rsidRPr="007A176C">
        <w:pict w14:anchorId="315E4958">
          <v:rect id="_x0000_i1171" style="width:0;height:1.5pt" o:hralign="center" o:hrstd="t" o:hr="t" fillcolor="#a0a0a0" stroked="f"/>
        </w:pict>
      </w:r>
    </w:p>
    <w:p w14:paraId="564BF6F2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1. Overall Loan Acceptance Rate Is Low</w:t>
      </w:r>
    </w:p>
    <w:p w14:paraId="3B4D82B9" w14:textId="77777777" w:rsidR="007A176C" w:rsidRPr="007A176C" w:rsidRDefault="007A176C" w:rsidP="007A176C">
      <w:r w:rsidRPr="007A176C">
        <w:t>The dataset shows that only:</w:t>
      </w:r>
    </w:p>
    <w:p w14:paraId="279CC0C2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9.6% of customers accepted the personal loan offer.</w:t>
      </w:r>
    </w:p>
    <w:p w14:paraId="439BAC3E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Business Insight</w:t>
      </w:r>
    </w:p>
    <w:p w14:paraId="462B913A" w14:textId="77777777" w:rsidR="007A176C" w:rsidRPr="007A176C" w:rsidRDefault="007A176C" w:rsidP="007A176C">
      <w:r w:rsidRPr="007A176C">
        <w:t>HSBC is currently marketing loans to a broad customer base with relatively low conversion efficiency.</w:t>
      </w:r>
    </w:p>
    <w:p w14:paraId="164D90FB" w14:textId="77777777" w:rsidR="007A176C" w:rsidRPr="007A176C" w:rsidRDefault="007A176C" w:rsidP="007A176C">
      <w:r w:rsidRPr="007A176C">
        <w:pict w14:anchorId="093074F6">
          <v:rect id="_x0000_i1172" style="width:0;height:1.5pt" o:hralign="center" o:hrstd="t" o:hr="t" fillcolor="#a0a0a0" stroked="f"/>
        </w:pict>
      </w:r>
    </w:p>
    <w:p w14:paraId="38BFBC75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2. High-Income Customers Show Significantly Higher Acceptance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4"/>
        <w:gridCol w:w="1935"/>
      </w:tblGrid>
      <w:tr w:rsidR="007A176C" w:rsidRPr="007A176C" w14:paraId="4652A22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ADB516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Income Group</w:t>
            </w:r>
          </w:p>
        </w:tc>
        <w:tc>
          <w:tcPr>
            <w:tcW w:w="0" w:type="auto"/>
            <w:vAlign w:val="center"/>
            <w:hideMark/>
          </w:tcPr>
          <w:p w14:paraId="5908EC00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Acceptance Rate</w:t>
            </w:r>
          </w:p>
        </w:tc>
      </w:tr>
      <w:tr w:rsidR="007A176C" w:rsidRPr="007A176C" w14:paraId="6BF2822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9591" w14:textId="77777777" w:rsidR="007A176C" w:rsidRPr="007A176C" w:rsidRDefault="007A176C" w:rsidP="007A176C">
            <w:r w:rsidRPr="007A176C">
              <w:t>&lt;50K</w:t>
            </w:r>
          </w:p>
        </w:tc>
        <w:tc>
          <w:tcPr>
            <w:tcW w:w="0" w:type="auto"/>
            <w:vAlign w:val="center"/>
            <w:hideMark/>
          </w:tcPr>
          <w:p w14:paraId="28D0C3C1" w14:textId="77777777" w:rsidR="007A176C" w:rsidRPr="007A176C" w:rsidRDefault="007A176C" w:rsidP="007A176C">
            <w:r w:rsidRPr="007A176C">
              <w:t>0.0%</w:t>
            </w:r>
          </w:p>
        </w:tc>
      </w:tr>
      <w:tr w:rsidR="007A176C" w:rsidRPr="007A176C" w14:paraId="2CECC3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76FC9C" w14:textId="77777777" w:rsidR="007A176C" w:rsidRPr="007A176C" w:rsidRDefault="007A176C" w:rsidP="007A176C">
            <w:r w:rsidRPr="007A176C">
              <w:t>50K–75K</w:t>
            </w:r>
          </w:p>
        </w:tc>
        <w:tc>
          <w:tcPr>
            <w:tcW w:w="0" w:type="auto"/>
            <w:vAlign w:val="center"/>
            <w:hideMark/>
          </w:tcPr>
          <w:p w14:paraId="5CC5D798" w14:textId="77777777" w:rsidR="007A176C" w:rsidRPr="007A176C" w:rsidRDefault="007A176C" w:rsidP="007A176C">
            <w:r w:rsidRPr="007A176C">
              <w:t>0.58%</w:t>
            </w:r>
          </w:p>
        </w:tc>
      </w:tr>
      <w:tr w:rsidR="007A176C" w:rsidRPr="007A176C" w14:paraId="31C9E4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1F6FCE" w14:textId="77777777" w:rsidR="007A176C" w:rsidRPr="007A176C" w:rsidRDefault="007A176C" w:rsidP="007A176C">
            <w:r w:rsidRPr="007A176C">
              <w:lastRenderedPageBreak/>
              <w:t>75K–100K</w:t>
            </w:r>
          </w:p>
        </w:tc>
        <w:tc>
          <w:tcPr>
            <w:tcW w:w="0" w:type="auto"/>
            <w:vAlign w:val="center"/>
            <w:hideMark/>
          </w:tcPr>
          <w:p w14:paraId="5B10E263" w14:textId="77777777" w:rsidR="007A176C" w:rsidRPr="007A176C" w:rsidRDefault="007A176C" w:rsidP="007A176C">
            <w:r w:rsidRPr="007A176C">
              <w:t>4.04%</w:t>
            </w:r>
          </w:p>
        </w:tc>
      </w:tr>
      <w:tr w:rsidR="007A176C" w:rsidRPr="007A176C" w14:paraId="14E1E5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5A86F4" w14:textId="77777777" w:rsidR="007A176C" w:rsidRPr="007A176C" w:rsidRDefault="007A176C" w:rsidP="007A176C">
            <w:r w:rsidRPr="007A176C">
              <w:t>100K–150K</w:t>
            </w:r>
          </w:p>
        </w:tc>
        <w:tc>
          <w:tcPr>
            <w:tcW w:w="0" w:type="auto"/>
            <w:vAlign w:val="center"/>
            <w:hideMark/>
          </w:tcPr>
          <w:p w14:paraId="10F7FE42" w14:textId="77777777" w:rsidR="007A176C" w:rsidRPr="007A176C" w:rsidRDefault="007A176C" w:rsidP="007A176C">
            <w:r w:rsidRPr="007A176C">
              <w:t>28.48%</w:t>
            </w:r>
          </w:p>
        </w:tc>
      </w:tr>
      <w:tr w:rsidR="007A176C" w:rsidRPr="007A176C" w14:paraId="11B354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2CEB7" w14:textId="77777777" w:rsidR="007A176C" w:rsidRPr="007A176C" w:rsidRDefault="007A176C" w:rsidP="007A176C">
            <w:r w:rsidRPr="007A176C">
              <w:t>&gt;150K</w:t>
            </w:r>
          </w:p>
        </w:tc>
        <w:tc>
          <w:tcPr>
            <w:tcW w:w="0" w:type="auto"/>
            <w:vAlign w:val="center"/>
            <w:hideMark/>
          </w:tcPr>
          <w:p w14:paraId="6D312708" w14:textId="77777777" w:rsidR="007A176C" w:rsidRPr="007A176C" w:rsidRDefault="007A176C" w:rsidP="007A176C">
            <w:r w:rsidRPr="007A176C">
              <w:t>48.57%</w:t>
            </w:r>
          </w:p>
        </w:tc>
      </w:tr>
    </w:tbl>
    <w:p w14:paraId="27CF79B3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Business Insight</w:t>
      </w:r>
    </w:p>
    <w:p w14:paraId="5D7C8611" w14:textId="77777777" w:rsidR="007A176C" w:rsidRPr="007A176C" w:rsidRDefault="007A176C" w:rsidP="007A176C">
      <w:r w:rsidRPr="007A176C">
        <w:t>Income is the strongest predictor of loan acceptance.</w:t>
      </w:r>
    </w:p>
    <w:p w14:paraId="0D30234E" w14:textId="77777777" w:rsidR="007A176C" w:rsidRPr="007A176C" w:rsidRDefault="007A176C" w:rsidP="007A176C">
      <w:r w:rsidRPr="007A176C">
        <w:t>Customers earning above 100K demonstrated dramatically higher conversion rates compared to lower-income groups.</w:t>
      </w:r>
    </w:p>
    <w:p w14:paraId="0AC714BF" w14:textId="77777777" w:rsidR="007A176C" w:rsidRPr="007A176C" w:rsidRDefault="007A176C" w:rsidP="007A176C">
      <w:r w:rsidRPr="007A176C">
        <w:pict w14:anchorId="2303B97E">
          <v:rect id="_x0000_i1173" style="width:0;height:1.5pt" o:hralign="center" o:hrstd="t" o:hr="t" fillcolor="#a0a0a0" stroked="f"/>
        </w:pict>
      </w:r>
    </w:p>
    <w:p w14:paraId="127399B6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3. Graduate &amp; Professional Customers Are More Likely to Accept Loans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7"/>
        <w:gridCol w:w="1935"/>
      </w:tblGrid>
      <w:tr w:rsidR="007A176C" w:rsidRPr="007A176C" w14:paraId="31C6BD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DCA90A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Education Level</w:t>
            </w:r>
          </w:p>
        </w:tc>
        <w:tc>
          <w:tcPr>
            <w:tcW w:w="0" w:type="auto"/>
            <w:vAlign w:val="center"/>
            <w:hideMark/>
          </w:tcPr>
          <w:p w14:paraId="674DE13D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Acceptance Rate</w:t>
            </w:r>
          </w:p>
        </w:tc>
      </w:tr>
      <w:tr w:rsidR="007A176C" w:rsidRPr="007A176C" w14:paraId="28E229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683C04" w14:textId="77777777" w:rsidR="007A176C" w:rsidRPr="007A176C" w:rsidRDefault="007A176C" w:rsidP="007A176C">
            <w:r w:rsidRPr="007A176C">
              <w:t>Undergraduate</w:t>
            </w:r>
          </w:p>
        </w:tc>
        <w:tc>
          <w:tcPr>
            <w:tcW w:w="0" w:type="auto"/>
            <w:vAlign w:val="center"/>
            <w:hideMark/>
          </w:tcPr>
          <w:p w14:paraId="29D343F0" w14:textId="77777777" w:rsidR="007A176C" w:rsidRPr="007A176C" w:rsidRDefault="007A176C" w:rsidP="007A176C">
            <w:r w:rsidRPr="007A176C">
              <w:t>4.44%</w:t>
            </w:r>
          </w:p>
        </w:tc>
      </w:tr>
      <w:tr w:rsidR="007A176C" w:rsidRPr="007A176C" w14:paraId="761650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E42FC" w14:textId="77777777" w:rsidR="007A176C" w:rsidRPr="007A176C" w:rsidRDefault="007A176C" w:rsidP="007A176C">
            <w:r w:rsidRPr="007A176C">
              <w:t>Graduate</w:t>
            </w:r>
          </w:p>
        </w:tc>
        <w:tc>
          <w:tcPr>
            <w:tcW w:w="0" w:type="auto"/>
            <w:vAlign w:val="center"/>
            <w:hideMark/>
          </w:tcPr>
          <w:p w14:paraId="2C0C7CA3" w14:textId="77777777" w:rsidR="007A176C" w:rsidRPr="007A176C" w:rsidRDefault="007A176C" w:rsidP="007A176C">
            <w:r w:rsidRPr="007A176C">
              <w:t>12.97%</w:t>
            </w:r>
          </w:p>
        </w:tc>
      </w:tr>
      <w:tr w:rsidR="007A176C" w:rsidRPr="007A176C" w14:paraId="4F1864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6D5A3" w14:textId="77777777" w:rsidR="007A176C" w:rsidRPr="007A176C" w:rsidRDefault="007A176C" w:rsidP="007A176C">
            <w:r w:rsidRPr="007A176C">
              <w:t>Professional</w:t>
            </w:r>
          </w:p>
        </w:tc>
        <w:tc>
          <w:tcPr>
            <w:tcW w:w="0" w:type="auto"/>
            <w:vAlign w:val="center"/>
            <w:hideMark/>
          </w:tcPr>
          <w:p w14:paraId="59DEB025" w14:textId="77777777" w:rsidR="007A176C" w:rsidRPr="007A176C" w:rsidRDefault="007A176C" w:rsidP="007A176C">
            <w:r w:rsidRPr="007A176C">
              <w:t>13.66%</w:t>
            </w:r>
          </w:p>
        </w:tc>
      </w:tr>
    </w:tbl>
    <w:p w14:paraId="75DF820E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Business Insight</w:t>
      </w:r>
    </w:p>
    <w:p w14:paraId="1A8D49C6" w14:textId="77777777" w:rsidR="007A176C" w:rsidRPr="007A176C" w:rsidRDefault="007A176C" w:rsidP="007A176C">
      <w:r w:rsidRPr="007A176C">
        <w:t xml:space="preserve">Highly educated customers showed significantly higher loan acceptance </w:t>
      </w:r>
      <w:proofErr w:type="spellStart"/>
      <w:r w:rsidRPr="007A176C">
        <w:t>behavior</w:t>
      </w:r>
      <w:proofErr w:type="spellEnd"/>
      <w:r w:rsidRPr="007A176C">
        <w:t>.</w:t>
      </w:r>
    </w:p>
    <w:p w14:paraId="3953FFFB" w14:textId="77777777" w:rsidR="007A176C" w:rsidRPr="007A176C" w:rsidRDefault="007A176C" w:rsidP="007A176C">
      <w:r w:rsidRPr="007A176C">
        <w:t>This customer segment likely represents financially stable professionals with greater borrowing needs.</w:t>
      </w:r>
    </w:p>
    <w:p w14:paraId="66900BDC" w14:textId="77777777" w:rsidR="007A176C" w:rsidRPr="007A176C" w:rsidRDefault="007A176C" w:rsidP="007A176C">
      <w:r w:rsidRPr="007A176C">
        <w:pict w14:anchorId="60EFCC1F">
          <v:rect id="_x0000_i1174" style="width:0;height:1.5pt" o:hralign="center" o:hrstd="t" o:hr="t" fillcolor="#a0a0a0" stroked="f"/>
        </w:pict>
      </w:r>
    </w:p>
    <w:p w14:paraId="3F23E24B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4. TD Account Holders Show Extremely High Conversion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27"/>
        <w:gridCol w:w="1935"/>
      </w:tblGrid>
      <w:tr w:rsidR="007A176C" w:rsidRPr="007A176C" w14:paraId="4572F6D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AD3C3F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TD Account</w:t>
            </w:r>
          </w:p>
        </w:tc>
        <w:tc>
          <w:tcPr>
            <w:tcW w:w="0" w:type="auto"/>
            <w:vAlign w:val="center"/>
            <w:hideMark/>
          </w:tcPr>
          <w:p w14:paraId="36ED3765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Acceptance Rate</w:t>
            </w:r>
          </w:p>
        </w:tc>
      </w:tr>
      <w:tr w:rsidR="007A176C" w:rsidRPr="007A176C" w14:paraId="4A377F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750F3D" w14:textId="77777777" w:rsidR="007A176C" w:rsidRPr="007A176C" w:rsidRDefault="007A176C" w:rsidP="007A176C">
            <w:r w:rsidRPr="007A176C">
              <w:t>No</w:t>
            </w:r>
          </w:p>
        </w:tc>
        <w:tc>
          <w:tcPr>
            <w:tcW w:w="0" w:type="auto"/>
            <w:vAlign w:val="center"/>
            <w:hideMark/>
          </w:tcPr>
          <w:p w14:paraId="33D695A4" w14:textId="77777777" w:rsidR="007A176C" w:rsidRPr="007A176C" w:rsidRDefault="007A176C" w:rsidP="007A176C">
            <w:r w:rsidRPr="007A176C">
              <w:t>7.24%</w:t>
            </w:r>
          </w:p>
        </w:tc>
      </w:tr>
      <w:tr w:rsidR="007A176C" w:rsidRPr="007A176C" w14:paraId="0318F3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08A68" w14:textId="77777777" w:rsidR="007A176C" w:rsidRPr="007A176C" w:rsidRDefault="007A176C" w:rsidP="007A176C">
            <w:r w:rsidRPr="007A176C">
              <w:t>Yes</w:t>
            </w:r>
          </w:p>
        </w:tc>
        <w:tc>
          <w:tcPr>
            <w:tcW w:w="0" w:type="auto"/>
            <w:vAlign w:val="center"/>
            <w:hideMark/>
          </w:tcPr>
          <w:p w14:paraId="516AA3C1" w14:textId="77777777" w:rsidR="007A176C" w:rsidRPr="007A176C" w:rsidRDefault="007A176C" w:rsidP="007A176C">
            <w:r w:rsidRPr="007A176C">
              <w:t>46.36%</w:t>
            </w:r>
          </w:p>
        </w:tc>
      </w:tr>
    </w:tbl>
    <w:p w14:paraId="6F345F40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Business Insight</w:t>
      </w:r>
    </w:p>
    <w:p w14:paraId="47371CC7" w14:textId="77777777" w:rsidR="007A176C" w:rsidRPr="007A176C" w:rsidRDefault="007A176C" w:rsidP="007A176C">
      <w:r w:rsidRPr="007A176C">
        <w:t>Customers holding TD Accounts are substantially more likely to accept personal loan offers.</w:t>
      </w:r>
    </w:p>
    <w:p w14:paraId="2857D8E2" w14:textId="77777777" w:rsidR="007A176C" w:rsidRPr="007A176C" w:rsidRDefault="007A176C" w:rsidP="007A176C">
      <w:r w:rsidRPr="007A176C">
        <w:t>This indicates strong relationship banking and cross-selling opportunities.</w:t>
      </w:r>
    </w:p>
    <w:p w14:paraId="4D2820BB" w14:textId="77777777" w:rsidR="007A176C" w:rsidRPr="007A176C" w:rsidRDefault="007A176C" w:rsidP="007A176C">
      <w:r w:rsidRPr="007A176C">
        <w:lastRenderedPageBreak/>
        <w:pict w14:anchorId="6A76A7B0">
          <v:rect id="_x0000_i1175" style="width:0;height:1.5pt" o:hralign="center" o:hrstd="t" o:hr="t" fillcolor="#a0a0a0" stroked="f"/>
        </w:pict>
      </w:r>
    </w:p>
    <w:p w14:paraId="177C7C7B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5. High Credit Card Spending Strongly Influences Loan Acceptance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21"/>
        <w:gridCol w:w="1935"/>
      </w:tblGrid>
      <w:tr w:rsidR="007A176C" w:rsidRPr="007A176C" w14:paraId="1682A18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C0264B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CCAvg Group</w:t>
            </w:r>
          </w:p>
        </w:tc>
        <w:tc>
          <w:tcPr>
            <w:tcW w:w="0" w:type="auto"/>
            <w:vAlign w:val="center"/>
            <w:hideMark/>
          </w:tcPr>
          <w:p w14:paraId="6F89DA25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Acceptance Rate</w:t>
            </w:r>
          </w:p>
        </w:tc>
      </w:tr>
      <w:tr w:rsidR="007A176C" w:rsidRPr="007A176C" w14:paraId="21195B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451D" w14:textId="77777777" w:rsidR="007A176C" w:rsidRPr="007A176C" w:rsidRDefault="007A176C" w:rsidP="007A176C">
            <w:r w:rsidRPr="007A176C">
              <w:t>0</w:t>
            </w:r>
          </w:p>
        </w:tc>
        <w:tc>
          <w:tcPr>
            <w:tcW w:w="0" w:type="auto"/>
            <w:vAlign w:val="center"/>
            <w:hideMark/>
          </w:tcPr>
          <w:p w14:paraId="3674276D" w14:textId="77777777" w:rsidR="007A176C" w:rsidRPr="007A176C" w:rsidRDefault="007A176C" w:rsidP="007A176C">
            <w:r w:rsidRPr="007A176C">
              <w:t>0.94%</w:t>
            </w:r>
          </w:p>
        </w:tc>
      </w:tr>
      <w:tr w:rsidR="007A176C" w:rsidRPr="007A176C" w14:paraId="500123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30A08" w14:textId="77777777" w:rsidR="007A176C" w:rsidRPr="007A176C" w:rsidRDefault="007A176C" w:rsidP="007A176C">
            <w:r w:rsidRPr="007A176C">
              <w:t>0–1</w:t>
            </w:r>
          </w:p>
        </w:tc>
        <w:tc>
          <w:tcPr>
            <w:tcW w:w="0" w:type="auto"/>
            <w:vAlign w:val="center"/>
            <w:hideMark/>
          </w:tcPr>
          <w:p w14:paraId="7504B0D7" w14:textId="77777777" w:rsidR="007A176C" w:rsidRPr="007A176C" w:rsidRDefault="007A176C" w:rsidP="007A176C">
            <w:r w:rsidRPr="007A176C">
              <w:t>2.65%</w:t>
            </w:r>
          </w:p>
        </w:tc>
      </w:tr>
      <w:tr w:rsidR="007A176C" w:rsidRPr="007A176C" w14:paraId="40FA33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958ED" w14:textId="77777777" w:rsidR="007A176C" w:rsidRPr="007A176C" w:rsidRDefault="007A176C" w:rsidP="007A176C">
            <w:r w:rsidRPr="007A176C">
              <w:t>1–2</w:t>
            </w:r>
          </w:p>
        </w:tc>
        <w:tc>
          <w:tcPr>
            <w:tcW w:w="0" w:type="auto"/>
            <w:vAlign w:val="center"/>
            <w:hideMark/>
          </w:tcPr>
          <w:p w14:paraId="1F9562C0" w14:textId="77777777" w:rsidR="007A176C" w:rsidRPr="007A176C" w:rsidRDefault="007A176C" w:rsidP="007A176C">
            <w:r w:rsidRPr="007A176C">
              <w:t>3.53%</w:t>
            </w:r>
          </w:p>
        </w:tc>
      </w:tr>
      <w:tr w:rsidR="007A176C" w:rsidRPr="007A176C" w14:paraId="2242E3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FF19D" w14:textId="77777777" w:rsidR="007A176C" w:rsidRPr="007A176C" w:rsidRDefault="007A176C" w:rsidP="007A176C">
            <w:r w:rsidRPr="007A176C">
              <w:t>2–3</w:t>
            </w:r>
          </w:p>
        </w:tc>
        <w:tc>
          <w:tcPr>
            <w:tcW w:w="0" w:type="auto"/>
            <w:vAlign w:val="center"/>
            <w:hideMark/>
          </w:tcPr>
          <w:p w14:paraId="6804FBF5" w14:textId="77777777" w:rsidR="007A176C" w:rsidRPr="007A176C" w:rsidRDefault="007A176C" w:rsidP="007A176C">
            <w:r w:rsidRPr="007A176C">
              <w:t>7.85%</w:t>
            </w:r>
          </w:p>
        </w:tc>
      </w:tr>
      <w:tr w:rsidR="007A176C" w:rsidRPr="007A176C" w14:paraId="122DCB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277531" w14:textId="77777777" w:rsidR="007A176C" w:rsidRPr="007A176C" w:rsidRDefault="007A176C" w:rsidP="007A176C">
            <w:r w:rsidRPr="007A176C">
              <w:t>3–4</w:t>
            </w:r>
          </w:p>
        </w:tc>
        <w:tc>
          <w:tcPr>
            <w:tcW w:w="0" w:type="auto"/>
            <w:vAlign w:val="center"/>
            <w:hideMark/>
          </w:tcPr>
          <w:p w14:paraId="33C7C719" w14:textId="77777777" w:rsidR="007A176C" w:rsidRPr="007A176C" w:rsidRDefault="007A176C" w:rsidP="007A176C">
            <w:r w:rsidRPr="007A176C">
              <w:t>30.77%</w:t>
            </w:r>
          </w:p>
        </w:tc>
      </w:tr>
      <w:tr w:rsidR="007A176C" w:rsidRPr="007A176C" w14:paraId="5742C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5CFCB" w14:textId="77777777" w:rsidR="007A176C" w:rsidRPr="007A176C" w:rsidRDefault="007A176C" w:rsidP="007A176C">
            <w:r w:rsidRPr="007A176C">
              <w:t>4–5</w:t>
            </w:r>
          </w:p>
        </w:tc>
        <w:tc>
          <w:tcPr>
            <w:tcW w:w="0" w:type="auto"/>
            <w:vAlign w:val="center"/>
            <w:hideMark/>
          </w:tcPr>
          <w:p w14:paraId="4E316028" w14:textId="77777777" w:rsidR="007A176C" w:rsidRPr="007A176C" w:rsidRDefault="007A176C" w:rsidP="007A176C">
            <w:r w:rsidRPr="007A176C">
              <w:t>40.69%</w:t>
            </w:r>
          </w:p>
        </w:tc>
      </w:tr>
      <w:tr w:rsidR="007A176C" w:rsidRPr="007A176C" w14:paraId="199AD5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2374B" w14:textId="77777777" w:rsidR="007A176C" w:rsidRPr="007A176C" w:rsidRDefault="007A176C" w:rsidP="007A176C">
            <w:r w:rsidRPr="007A176C">
              <w:t>5+</w:t>
            </w:r>
          </w:p>
        </w:tc>
        <w:tc>
          <w:tcPr>
            <w:tcW w:w="0" w:type="auto"/>
            <w:vAlign w:val="center"/>
            <w:hideMark/>
          </w:tcPr>
          <w:p w14:paraId="3F401CBA" w14:textId="77777777" w:rsidR="007A176C" w:rsidRPr="007A176C" w:rsidRDefault="007A176C" w:rsidP="007A176C">
            <w:r w:rsidRPr="007A176C">
              <w:t>39.88%</w:t>
            </w:r>
          </w:p>
        </w:tc>
      </w:tr>
    </w:tbl>
    <w:p w14:paraId="63F5BA9F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Business Insight</w:t>
      </w:r>
    </w:p>
    <w:p w14:paraId="650542D2" w14:textId="77777777" w:rsidR="007A176C" w:rsidRPr="007A176C" w:rsidRDefault="007A176C" w:rsidP="007A176C">
      <w:r w:rsidRPr="007A176C">
        <w:t>Customers with higher monthly credit card spending showed significantly stronger loan acceptance rates.</w:t>
      </w:r>
    </w:p>
    <w:p w14:paraId="15E1630F" w14:textId="77777777" w:rsidR="007A176C" w:rsidRPr="007A176C" w:rsidRDefault="007A176C" w:rsidP="007A176C">
      <w:r w:rsidRPr="007A176C">
        <w:t xml:space="preserve">Spending </w:t>
      </w:r>
      <w:proofErr w:type="spellStart"/>
      <w:r w:rsidRPr="007A176C">
        <w:t>behavior</w:t>
      </w:r>
      <w:proofErr w:type="spellEnd"/>
      <w:r w:rsidRPr="007A176C">
        <w:t xml:space="preserve"> proved to be a major indicator of borrowing propensity.</w:t>
      </w:r>
    </w:p>
    <w:p w14:paraId="02A1F817" w14:textId="77777777" w:rsidR="007A176C" w:rsidRPr="007A176C" w:rsidRDefault="007A176C" w:rsidP="007A176C">
      <w:r w:rsidRPr="007A176C">
        <w:pict w14:anchorId="650BF063">
          <v:rect id="_x0000_i1176" style="width:0;height:1.5pt" o:hralign="center" o:hrstd="t" o:hr="t" fillcolor="#a0a0a0" stroked="f"/>
        </w:pict>
      </w:r>
    </w:p>
    <w:p w14:paraId="1AB74254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6. Customers with Higher Mortgage Values Show Better Acceptance Rates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4"/>
        <w:gridCol w:w="1935"/>
      </w:tblGrid>
      <w:tr w:rsidR="007A176C" w:rsidRPr="007A176C" w14:paraId="3FF41D3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785E4C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Mortgage Group</w:t>
            </w:r>
          </w:p>
        </w:tc>
        <w:tc>
          <w:tcPr>
            <w:tcW w:w="0" w:type="auto"/>
            <w:vAlign w:val="center"/>
            <w:hideMark/>
          </w:tcPr>
          <w:p w14:paraId="3BC6428E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Acceptance Rate</w:t>
            </w:r>
          </w:p>
        </w:tc>
      </w:tr>
      <w:tr w:rsidR="007A176C" w:rsidRPr="007A176C" w14:paraId="515D71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11F32B" w14:textId="77777777" w:rsidR="007A176C" w:rsidRPr="007A176C" w:rsidRDefault="007A176C" w:rsidP="007A176C">
            <w:r w:rsidRPr="007A176C">
              <w:t>0</w:t>
            </w:r>
          </w:p>
        </w:tc>
        <w:tc>
          <w:tcPr>
            <w:tcW w:w="0" w:type="auto"/>
            <w:vAlign w:val="center"/>
            <w:hideMark/>
          </w:tcPr>
          <w:p w14:paraId="32AA7BD5" w14:textId="77777777" w:rsidR="007A176C" w:rsidRPr="007A176C" w:rsidRDefault="007A176C" w:rsidP="007A176C">
            <w:r w:rsidRPr="007A176C">
              <w:t>9.01%</w:t>
            </w:r>
          </w:p>
        </w:tc>
      </w:tr>
      <w:tr w:rsidR="007A176C" w:rsidRPr="007A176C" w14:paraId="668549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DBBE8C" w14:textId="77777777" w:rsidR="007A176C" w:rsidRPr="007A176C" w:rsidRDefault="007A176C" w:rsidP="007A176C">
            <w:r w:rsidRPr="007A176C">
              <w:t>1–100</w:t>
            </w:r>
          </w:p>
        </w:tc>
        <w:tc>
          <w:tcPr>
            <w:tcW w:w="0" w:type="auto"/>
            <w:vAlign w:val="center"/>
            <w:hideMark/>
          </w:tcPr>
          <w:p w14:paraId="7129AAAB" w14:textId="77777777" w:rsidR="007A176C" w:rsidRPr="007A176C" w:rsidRDefault="007A176C" w:rsidP="007A176C">
            <w:r w:rsidRPr="007A176C">
              <w:t>4.61%</w:t>
            </w:r>
          </w:p>
        </w:tc>
      </w:tr>
      <w:tr w:rsidR="007A176C" w:rsidRPr="007A176C" w14:paraId="27E906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54694" w14:textId="77777777" w:rsidR="007A176C" w:rsidRPr="007A176C" w:rsidRDefault="007A176C" w:rsidP="007A176C">
            <w:r w:rsidRPr="007A176C">
              <w:t>101–200</w:t>
            </w:r>
          </w:p>
        </w:tc>
        <w:tc>
          <w:tcPr>
            <w:tcW w:w="0" w:type="auto"/>
            <w:vAlign w:val="center"/>
            <w:hideMark/>
          </w:tcPr>
          <w:p w14:paraId="225166FF" w14:textId="77777777" w:rsidR="007A176C" w:rsidRPr="007A176C" w:rsidRDefault="007A176C" w:rsidP="007A176C">
            <w:r w:rsidRPr="007A176C">
              <w:t>5.15%</w:t>
            </w:r>
          </w:p>
        </w:tc>
      </w:tr>
      <w:tr w:rsidR="007A176C" w:rsidRPr="007A176C" w14:paraId="6782A2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9FA9E5" w14:textId="77777777" w:rsidR="007A176C" w:rsidRPr="007A176C" w:rsidRDefault="007A176C" w:rsidP="007A176C">
            <w:r w:rsidRPr="007A176C">
              <w:t>201–400</w:t>
            </w:r>
          </w:p>
        </w:tc>
        <w:tc>
          <w:tcPr>
            <w:tcW w:w="0" w:type="auto"/>
            <w:vAlign w:val="center"/>
            <w:hideMark/>
          </w:tcPr>
          <w:p w14:paraId="55458816" w14:textId="77777777" w:rsidR="007A176C" w:rsidRPr="007A176C" w:rsidRDefault="007A176C" w:rsidP="007A176C">
            <w:r w:rsidRPr="007A176C">
              <w:t>18.82%</w:t>
            </w:r>
          </w:p>
        </w:tc>
      </w:tr>
      <w:tr w:rsidR="007A176C" w:rsidRPr="007A176C" w14:paraId="4178F0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B2BF" w14:textId="77777777" w:rsidR="007A176C" w:rsidRPr="007A176C" w:rsidRDefault="007A176C" w:rsidP="007A176C">
            <w:r w:rsidRPr="007A176C">
              <w:t>400+</w:t>
            </w:r>
          </w:p>
        </w:tc>
        <w:tc>
          <w:tcPr>
            <w:tcW w:w="0" w:type="auto"/>
            <w:vAlign w:val="center"/>
            <w:hideMark/>
          </w:tcPr>
          <w:p w14:paraId="120E1644" w14:textId="77777777" w:rsidR="007A176C" w:rsidRPr="007A176C" w:rsidRDefault="007A176C" w:rsidP="007A176C">
            <w:r w:rsidRPr="007A176C">
              <w:t>49.32%</w:t>
            </w:r>
          </w:p>
        </w:tc>
      </w:tr>
    </w:tbl>
    <w:p w14:paraId="57A07854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Business Insight</w:t>
      </w:r>
    </w:p>
    <w:p w14:paraId="423508A8" w14:textId="47794A06" w:rsidR="007A176C" w:rsidRPr="007A176C" w:rsidRDefault="007A176C" w:rsidP="007A176C">
      <w:r w:rsidRPr="007A176C">
        <w:t xml:space="preserve">Customers with high mortgage values demonstrated stronger loan acceptance </w:t>
      </w:r>
      <w:r w:rsidRPr="007A176C">
        <w:t>behaviour</w:t>
      </w:r>
      <w:r w:rsidRPr="007A176C">
        <w:t>, indicating that financially mature customers are more comfortable using credit products.</w:t>
      </w:r>
    </w:p>
    <w:p w14:paraId="0799DC38" w14:textId="77777777" w:rsidR="007A176C" w:rsidRPr="007A176C" w:rsidRDefault="007A176C" w:rsidP="007A176C">
      <w:r w:rsidRPr="007A176C">
        <w:pict w14:anchorId="161203EC">
          <v:rect id="_x0000_i1177" style="width:0;height:1.5pt" o:hralign="center" o:hrstd="t" o:hr="t" fillcolor="#a0a0a0" stroked="f"/>
        </w:pict>
      </w:r>
    </w:p>
    <w:p w14:paraId="34A1F2E3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lastRenderedPageBreak/>
        <w:t>7. Age Has Moderate Influence on Loan Acceptance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4"/>
        <w:gridCol w:w="1935"/>
      </w:tblGrid>
      <w:tr w:rsidR="007A176C" w:rsidRPr="007A176C" w14:paraId="050A90E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EFBE30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Age Group</w:t>
            </w:r>
          </w:p>
        </w:tc>
        <w:tc>
          <w:tcPr>
            <w:tcW w:w="0" w:type="auto"/>
            <w:vAlign w:val="center"/>
            <w:hideMark/>
          </w:tcPr>
          <w:p w14:paraId="5F601B77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Acceptance Rate</w:t>
            </w:r>
          </w:p>
        </w:tc>
      </w:tr>
      <w:tr w:rsidR="007A176C" w:rsidRPr="007A176C" w14:paraId="1E8864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64C9C1" w14:textId="77777777" w:rsidR="007A176C" w:rsidRPr="007A176C" w:rsidRDefault="007A176C" w:rsidP="007A176C">
            <w:r w:rsidRPr="007A176C">
              <w:t>&lt;30</w:t>
            </w:r>
          </w:p>
        </w:tc>
        <w:tc>
          <w:tcPr>
            <w:tcW w:w="0" w:type="auto"/>
            <w:vAlign w:val="center"/>
            <w:hideMark/>
          </w:tcPr>
          <w:p w14:paraId="129CA591" w14:textId="77777777" w:rsidR="007A176C" w:rsidRPr="007A176C" w:rsidRDefault="007A176C" w:rsidP="007A176C">
            <w:r w:rsidRPr="007A176C">
              <w:t>10.58%</w:t>
            </w:r>
          </w:p>
        </w:tc>
      </w:tr>
      <w:tr w:rsidR="007A176C" w:rsidRPr="007A176C" w14:paraId="5432DD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91AE83" w14:textId="77777777" w:rsidR="007A176C" w:rsidRPr="007A176C" w:rsidRDefault="007A176C" w:rsidP="007A176C">
            <w:r w:rsidRPr="007A176C">
              <w:t>30–40</w:t>
            </w:r>
          </w:p>
        </w:tc>
        <w:tc>
          <w:tcPr>
            <w:tcW w:w="0" w:type="auto"/>
            <w:vAlign w:val="center"/>
            <w:hideMark/>
          </w:tcPr>
          <w:p w14:paraId="7CE0B955" w14:textId="77777777" w:rsidR="007A176C" w:rsidRPr="007A176C" w:rsidRDefault="007A176C" w:rsidP="007A176C">
            <w:r w:rsidRPr="007A176C">
              <w:t>9.55%</w:t>
            </w:r>
          </w:p>
        </w:tc>
      </w:tr>
      <w:tr w:rsidR="007A176C" w:rsidRPr="007A176C" w14:paraId="1E6A0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590596" w14:textId="77777777" w:rsidR="007A176C" w:rsidRPr="007A176C" w:rsidRDefault="007A176C" w:rsidP="007A176C">
            <w:r w:rsidRPr="007A176C">
              <w:t>40–50</w:t>
            </w:r>
          </w:p>
        </w:tc>
        <w:tc>
          <w:tcPr>
            <w:tcW w:w="0" w:type="auto"/>
            <w:vAlign w:val="center"/>
            <w:hideMark/>
          </w:tcPr>
          <w:p w14:paraId="78382ED8" w14:textId="77777777" w:rsidR="007A176C" w:rsidRPr="007A176C" w:rsidRDefault="007A176C" w:rsidP="007A176C">
            <w:r w:rsidRPr="007A176C">
              <w:t>9.61%</w:t>
            </w:r>
          </w:p>
        </w:tc>
      </w:tr>
      <w:tr w:rsidR="007A176C" w:rsidRPr="007A176C" w14:paraId="62613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D325CD" w14:textId="77777777" w:rsidR="007A176C" w:rsidRPr="007A176C" w:rsidRDefault="007A176C" w:rsidP="007A176C">
            <w:r w:rsidRPr="007A176C">
              <w:t>50–60</w:t>
            </w:r>
          </w:p>
        </w:tc>
        <w:tc>
          <w:tcPr>
            <w:tcW w:w="0" w:type="auto"/>
            <w:vAlign w:val="center"/>
            <w:hideMark/>
          </w:tcPr>
          <w:p w14:paraId="705E07E1" w14:textId="77777777" w:rsidR="007A176C" w:rsidRPr="007A176C" w:rsidRDefault="007A176C" w:rsidP="007A176C">
            <w:r w:rsidRPr="007A176C">
              <w:t>8.69%</w:t>
            </w:r>
          </w:p>
        </w:tc>
      </w:tr>
      <w:tr w:rsidR="007A176C" w:rsidRPr="007A176C" w14:paraId="4503E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8E7217" w14:textId="77777777" w:rsidR="007A176C" w:rsidRPr="007A176C" w:rsidRDefault="007A176C" w:rsidP="007A176C">
            <w:r w:rsidRPr="007A176C">
              <w:t>&gt;60</w:t>
            </w:r>
          </w:p>
        </w:tc>
        <w:tc>
          <w:tcPr>
            <w:tcW w:w="0" w:type="auto"/>
            <w:vAlign w:val="center"/>
            <w:hideMark/>
          </w:tcPr>
          <w:p w14:paraId="3EBBC867" w14:textId="77777777" w:rsidR="007A176C" w:rsidRPr="007A176C" w:rsidRDefault="007A176C" w:rsidP="007A176C">
            <w:r w:rsidRPr="007A176C">
              <w:t>10.79%</w:t>
            </w:r>
          </w:p>
        </w:tc>
      </w:tr>
    </w:tbl>
    <w:p w14:paraId="42DE0790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Business Insight</w:t>
      </w:r>
    </w:p>
    <w:p w14:paraId="5AD4FBD9" w14:textId="77777777" w:rsidR="007A176C" w:rsidRPr="007A176C" w:rsidRDefault="007A176C" w:rsidP="007A176C">
      <w:r w:rsidRPr="007A176C">
        <w:t xml:space="preserve">Age showed moderate influence on borrowing </w:t>
      </w:r>
      <w:proofErr w:type="spellStart"/>
      <w:r w:rsidRPr="007A176C">
        <w:t>behavior</w:t>
      </w:r>
      <w:proofErr w:type="spellEnd"/>
      <w:r w:rsidRPr="007A176C">
        <w:t>, with younger and older customers showing slightly higher acceptance rates.</w:t>
      </w:r>
    </w:p>
    <w:p w14:paraId="37CE9A2F" w14:textId="77777777" w:rsidR="007A176C" w:rsidRPr="007A176C" w:rsidRDefault="007A176C" w:rsidP="007A176C">
      <w:r w:rsidRPr="007A176C">
        <w:pict w14:anchorId="4C2D352C">
          <v:rect id="_x0000_i1178" style="width:0;height:1.5pt" o:hralign="center" o:hrstd="t" o:hr="t" fillcolor="#a0a0a0" stroked="f"/>
        </w:pict>
      </w:r>
    </w:p>
    <w:p w14:paraId="0BFDDB90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8. Work Experience Has Limited Impact</w:t>
      </w:r>
    </w:p>
    <w:p w14:paraId="24DCD8AA" w14:textId="77777777" w:rsidR="007A176C" w:rsidRPr="007A176C" w:rsidRDefault="007A176C" w:rsidP="007A176C">
      <w:r w:rsidRPr="007A176C">
        <w:t>Acceptance rates across work experience groups remained relatively stable around 9–11%.</w:t>
      </w:r>
    </w:p>
    <w:p w14:paraId="4770B1D2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Business Insight</w:t>
      </w:r>
    </w:p>
    <w:p w14:paraId="4962AABE" w14:textId="77777777" w:rsidR="007A176C" w:rsidRPr="007A176C" w:rsidRDefault="007A176C" w:rsidP="007A176C">
      <w:r w:rsidRPr="007A176C">
        <w:t>Professional experience alone is not a strong predictor of personal loan acceptance.</w:t>
      </w:r>
    </w:p>
    <w:p w14:paraId="693D129D" w14:textId="77777777" w:rsidR="007A176C" w:rsidRPr="007A176C" w:rsidRDefault="007A176C" w:rsidP="007A176C">
      <w:r w:rsidRPr="007A176C">
        <w:pict w14:anchorId="7D5DBAEA">
          <v:rect id="_x0000_i1179" style="width:0;height:1.5pt" o:hralign="center" o:hrstd="t" o:hr="t" fillcolor="#a0a0a0" stroked="f"/>
        </w:pict>
      </w:r>
    </w:p>
    <w:p w14:paraId="66FFF7D6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9. Family Size Does Not Significantly Influence Acceptance</w:t>
      </w:r>
    </w:p>
    <w:p w14:paraId="04D3AEAD" w14:textId="77777777" w:rsidR="007A176C" w:rsidRPr="007A176C" w:rsidRDefault="007A176C" w:rsidP="007A176C">
      <w:r w:rsidRPr="007A176C">
        <w:t>Acceptance rates across family-size groups showed only minor variation.</w:t>
      </w:r>
    </w:p>
    <w:p w14:paraId="47E0E5D5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Business Insight</w:t>
      </w:r>
    </w:p>
    <w:p w14:paraId="19DE050E" w14:textId="77777777" w:rsidR="007A176C" w:rsidRPr="007A176C" w:rsidRDefault="007A176C" w:rsidP="007A176C">
      <w:r w:rsidRPr="007A176C">
        <w:t>Family size has limited impact on borrowing decisions and should not be treated as a major targeting factor.</w:t>
      </w:r>
    </w:p>
    <w:p w14:paraId="7574BA68" w14:textId="77777777" w:rsidR="007A176C" w:rsidRPr="007A176C" w:rsidRDefault="007A176C" w:rsidP="007A176C">
      <w:r w:rsidRPr="007A176C">
        <w:pict w14:anchorId="0FD88C5C">
          <v:rect id="_x0000_i1180" style="width:0;height:1.5pt" o:hralign="center" o:hrstd="t" o:hr="t" fillcolor="#a0a0a0" stroked="f"/>
        </w:pict>
      </w:r>
    </w:p>
    <w:p w14:paraId="1A201D32" w14:textId="77777777" w:rsidR="007A176C" w:rsidRPr="007A176C" w:rsidRDefault="007A176C" w:rsidP="007A176C">
      <w:pPr>
        <w:rPr>
          <w:b/>
          <w:bCs/>
        </w:rPr>
      </w:pPr>
      <w:r w:rsidRPr="007A176C">
        <w:rPr>
          <w:b/>
          <w:bCs/>
        </w:rPr>
        <w:t>10. Online Banking &amp; Credit Card Ownership Alone Are Weak Predictors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3"/>
        <w:gridCol w:w="1682"/>
      </w:tblGrid>
      <w:tr w:rsidR="007A176C" w:rsidRPr="007A176C" w14:paraId="5018303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0CD2EA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Variable</w:t>
            </w:r>
          </w:p>
        </w:tc>
        <w:tc>
          <w:tcPr>
            <w:tcW w:w="0" w:type="auto"/>
            <w:vAlign w:val="center"/>
            <w:hideMark/>
          </w:tcPr>
          <w:p w14:paraId="50044D59" w14:textId="77777777" w:rsidR="007A176C" w:rsidRPr="007A176C" w:rsidRDefault="007A176C" w:rsidP="007A176C">
            <w:pPr>
              <w:rPr>
                <w:b/>
                <w:bCs/>
              </w:rPr>
            </w:pPr>
            <w:r w:rsidRPr="007A176C">
              <w:rPr>
                <w:b/>
                <w:bCs/>
              </w:rPr>
              <w:t>Observation</w:t>
            </w:r>
          </w:p>
        </w:tc>
      </w:tr>
      <w:tr w:rsidR="007A176C" w:rsidRPr="007A176C" w14:paraId="7C19DC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FE8280" w14:textId="77777777" w:rsidR="007A176C" w:rsidRPr="007A176C" w:rsidRDefault="007A176C" w:rsidP="007A176C">
            <w:r w:rsidRPr="007A176C">
              <w:t>Online Banking</w:t>
            </w:r>
          </w:p>
        </w:tc>
        <w:tc>
          <w:tcPr>
            <w:tcW w:w="0" w:type="auto"/>
            <w:vAlign w:val="center"/>
            <w:hideMark/>
          </w:tcPr>
          <w:p w14:paraId="20E13E25" w14:textId="77777777" w:rsidR="007A176C" w:rsidRPr="007A176C" w:rsidRDefault="007A176C" w:rsidP="007A176C">
            <w:r w:rsidRPr="007A176C">
              <w:t>Minimal impact</w:t>
            </w:r>
          </w:p>
        </w:tc>
      </w:tr>
      <w:tr w:rsidR="007A176C" w:rsidRPr="007A176C" w14:paraId="45203B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2DB44F" w14:textId="77777777" w:rsidR="007A176C" w:rsidRPr="007A176C" w:rsidRDefault="007A176C" w:rsidP="007A176C">
            <w:r w:rsidRPr="007A176C">
              <w:t>Credit Card Ownership</w:t>
            </w:r>
          </w:p>
        </w:tc>
        <w:tc>
          <w:tcPr>
            <w:tcW w:w="0" w:type="auto"/>
            <w:vAlign w:val="center"/>
            <w:hideMark/>
          </w:tcPr>
          <w:p w14:paraId="7F6AF404" w14:textId="77777777" w:rsidR="007A176C" w:rsidRPr="007A176C" w:rsidRDefault="007A176C" w:rsidP="007A176C">
            <w:r w:rsidRPr="007A176C">
              <w:t>Minimal impact</w:t>
            </w:r>
          </w:p>
        </w:tc>
      </w:tr>
    </w:tbl>
    <w:p w14:paraId="5DDCB028" w14:textId="77777777" w:rsidR="007E78CA" w:rsidRDefault="007E78CA"/>
    <w:sectPr w:rsidR="007E78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87185"/>
    <w:multiLevelType w:val="multilevel"/>
    <w:tmpl w:val="9BBAD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10036"/>
    <w:multiLevelType w:val="multilevel"/>
    <w:tmpl w:val="6DCA6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C97435"/>
    <w:multiLevelType w:val="multilevel"/>
    <w:tmpl w:val="AFC01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E15399A"/>
    <w:multiLevelType w:val="multilevel"/>
    <w:tmpl w:val="00DC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AF38E2"/>
    <w:multiLevelType w:val="multilevel"/>
    <w:tmpl w:val="0F7E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D7137C"/>
    <w:multiLevelType w:val="multilevel"/>
    <w:tmpl w:val="55809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EA23E80"/>
    <w:multiLevelType w:val="multilevel"/>
    <w:tmpl w:val="C5B65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5FC2F34"/>
    <w:multiLevelType w:val="multilevel"/>
    <w:tmpl w:val="2FB69E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6C6141C"/>
    <w:multiLevelType w:val="multilevel"/>
    <w:tmpl w:val="4000C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D470A47"/>
    <w:multiLevelType w:val="multilevel"/>
    <w:tmpl w:val="E13EA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F45016E"/>
    <w:multiLevelType w:val="multilevel"/>
    <w:tmpl w:val="18944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1E61AE"/>
    <w:multiLevelType w:val="multilevel"/>
    <w:tmpl w:val="3F38D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5957554">
    <w:abstractNumId w:val="1"/>
  </w:num>
  <w:num w:numId="2" w16cid:durableId="195893622">
    <w:abstractNumId w:val="9"/>
  </w:num>
  <w:num w:numId="3" w16cid:durableId="92753070">
    <w:abstractNumId w:val="10"/>
  </w:num>
  <w:num w:numId="4" w16cid:durableId="1451783792">
    <w:abstractNumId w:val="0"/>
  </w:num>
  <w:num w:numId="5" w16cid:durableId="685248913">
    <w:abstractNumId w:val="7"/>
  </w:num>
  <w:num w:numId="6" w16cid:durableId="1366516182">
    <w:abstractNumId w:val="3"/>
  </w:num>
  <w:num w:numId="7" w16cid:durableId="816805864">
    <w:abstractNumId w:val="2"/>
  </w:num>
  <w:num w:numId="8" w16cid:durableId="700134298">
    <w:abstractNumId w:val="6"/>
  </w:num>
  <w:num w:numId="9" w16cid:durableId="787044216">
    <w:abstractNumId w:val="5"/>
  </w:num>
  <w:num w:numId="10" w16cid:durableId="687680710">
    <w:abstractNumId w:val="8"/>
  </w:num>
  <w:num w:numId="11" w16cid:durableId="856431284">
    <w:abstractNumId w:val="11"/>
  </w:num>
  <w:num w:numId="12" w16cid:durableId="161686950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176C"/>
    <w:rsid w:val="001A7EFA"/>
    <w:rsid w:val="004B5A76"/>
    <w:rsid w:val="006A26AD"/>
    <w:rsid w:val="007A176C"/>
    <w:rsid w:val="007E7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ECE57"/>
  <w15:chartTrackingRefBased/>
  <w15:docId w15:val="{B6A8B844-57AF-4D4B-A11F-65268A3811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17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17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17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17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17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17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17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17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17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17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17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17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17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17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17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17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17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17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17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17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17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17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17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17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17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17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17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17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176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 _YA</dc:creator>
  <cp:keywords/>
  <dc:description/>
  <cp:lastModifiedBy>NAV _YA</cp:lastModifiedBy>
  <cp:revision>1</cp:revision>
  <dcterms:created xsi:type="dcterms:W3CDTF">2026-05-17T20:22:00Z</dcterms:created>
  <dcterms:modified xsi:type="dcterms:W3CDTF">2026-05-17T20:29:00Z</dcterms:modified>
</cp:coreProperties>
</file>