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9F8F" w14:textId="77777777" w:rsidR="006E1CDA" w:rsidRPr="006862D4" w:rsidRDefault="006E1CDA" w:rsidP="006862D4">
      <w:pPr>
        <w:pStyle w:val="Heading1"/>
        <w:spacing w:after="0"/>
        <w:rPr>
          <w:rFonts w:cs="Times New Roman"/>
        </w:rPr>
      </w:pPr>
      <w:r w:rsidRPr="006862D4">
        <w:rPr>
          <w:rFonts w:cs="Times New Roman"/>
        </w:rPr>
        <w:t>1. Introduction</w:t>
      </w:r>
    </w:p>
    <w:p w14:paraId="44EB9731" w14:textId="519B17B1" w:rsidR="00C65942"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Knowledge of the quality of the subsurface reservoirs plays a critical role in the prediction of fluid flow </w:t>
      </w:r>
      <w:proofErr w:type="spellStart"/>
      <w:r w:rsidRPr="006862D4">
        <w:rPr>
          <w:rFonts w:eastAsia="Times New Roman" w:cs="Times New Roman"/>
          <w:color w:val="auto"/>
          <w:szCs w:val="24"/>
        </w:rPr>
        <w:t>behaviour</w:t>
      </w:r>
      <w:proofErr w:type="spellEnd"/>
      <w:r w:rsidRPr="006862D4">
        <w:rPr>
          <w:rFonts w:eastAsia="Times New Roman" w:cs="Times New Roman"/>
          <w:color w:val="auto"/>
          <w:szCs w:val="24"/>
        </w:rPr>
        <w:t xml:space="preserve"> and informed decisions in petroleum engineering development. Three basic characteristics, porosity, which is the capacity of the rock to store something, permeability, which is a measure of its capability to transmit fluids, and facies, which are a response to the environments of deposition which determine pore structure and connectivity, lie at the heart of this understanding. All these properties help </w:t>
      </w:r>
      <w:proofErr w:type="gramStart"/>
      <w:r w:rsidRPr="006862D4">
        <w:rPr>
          <w:rFonts w:eastAsia="Times New Roman" w:cs="Times New Roman"/>
          <w:color w:val="auto"/>
          <w:szCs w:val="24"/>
        </w:rPr>
        <w:t>in</w:t>
      </w:r>
      <w:proofErr w:type="gramEnd"/>
      <w:r w:rsidRPr="006862D4">
        <w:rPr>
          <w:rFonts w:eastAsia="Times New Roman" w:cs="Times New Roman"/>
          <w:color w:val="auto"/>
          <w:szCs w:val="24"/>
        </w:rPr>
        <w:t xml:space="preserve"> the efficiency with which hydrocarbons could be produced out of a formation.</w:t>
      </w:r>
    </w:p>
    <w:p w14:paraId="1D1409F2" w14:textId="0F7C61EE" w:rsidR="00C65942"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Reservoir engineers in real field situations do not normally rely on a single source of information. Core measurements are very accurate and can only be found at a limited number of depths. Well logs are indirect and give continuous data. Pore scale images are microscopic images but only a small fraction of the reservoir. With these three data scales combined, we are getting closer to the process of making decisions in actual reservoir assessments, that is, combining fine-scale data with coarse-scale trends to come up with a robust, multi-scale analysis</w:t>
      </w:r>
      <w:r w:rsidR="000756DA" w:rsidRPr="006862D4">
        <w:rPr>
          <w:rFonts w:eastAsia="Times New Roman" w:cs="Times New Roman"/>
          <w:color w:val="auto"/>
          <w:szCs w:val="24"/>
        </w:rPr>
        <w:t xml:space="preserve"> </w:t>
      </w:r>
      <w:r w:rsidR="000756DA" w:rsidRPr="006862D4">
        <w:rPr>
          <w:rFonts w:eastAsia="Times New Roman" w:cs="Times New Roman"/>
          <w:color w:val="auto"/>
          <w:szCs w:val="24"/>
        </w:rPr>
        <w:fldChar w:fldCharType="begin"/>
      </w:r>
      <w:r w:rsidR="000756DA" w:rsidRPr="006862D4">
        <w:rPr>
          <w:rFonts w:eastAsia="Times New Roman" w:cs="Times New Roman"/>
          <w:color w:val="auto"/>
          <w:szCs w:val="24"/>
        </w:rPr>
        <w:instrText xml:space="preserve"> ADDIN EN.CITE &lt;EndNote&gt;&lt;Cite&gt;&lt;Author&gt;Dahiru&lt;/Author&gt;&lt;Year&gt;2023&lt;/Year&gt;&lt;RecNum&gt;359&lt;/RecNum&gt;&lt;DisplayText&gt;(Dahiru, Habiba et al. 2023)&lt;/DisplayText&gt;&lt;record&gt;&lt;rec-number&gt;359&lt;/rec-number&gt;&lt;foreign-keys&gt;&lt;key app="EN" db-id="0vfw2fpzoxwz04etwpuvvdxv5vdp5de5avv9" timestamp="1763440647"&gt;359&lt;/key&gt;&lt;/foreign-keys&gt;&lt;ref-type name="Conference Proceedings"&gt;10&lt;/ref-type&gt;&lt;contributors&gt;&lt;authors&gt;&lt;author&gt;Dahiru, Danjuma Muhammed&lt;/author&gt;&lt;author&gt;Habiba, Danjuma Mohammed&lt;/author&gt;&lt;author&gt;Abdullahi, Saidu&lt;/author&gt;&lt;author&gt;Abdullahi, Aliyu Itari&lt;/author&gt;&lt;author&gt;Murana, Kehinde Ayofe&lt;/author&gt;&lt;/authors&gt;&lt;/contributors&gt;&lt;titles&gt;&lt;title&gt;Petrophysical Analysis of Well Logs Data for Sandstone Reservoir Hydrocarbon Evaluation In Niger Delta Sedimentary Basin&lt;/title&gt;&lt;secondary-title&gt;Journal of Pure and Applied Sciences (Science Forum)&lt;/secondary-title&gt;&lt;/titles&gt;&lt;pages&gt;623-646&lt;/pages&gt;&lt;volume&gt;23&lt;/volume&gt;&lt;number&gt;1&lt;/number&gt;&lt;dates&gt;&lt;year&gt;2023&lt;/year&gt;&lt;/dates&gt;&lt;isbn&gt;1119-4618&lt;/isbn&gt;&lt;urls&gt;&lt;/urls&gt;&lt;/record&gt;&lt;/Cite&gt;&lt;/EndNote&gt;</w:instrText>
      </w:r>
      <w:r w:rsidR="000756DA" w:rsidRPr="006862D4">
        <w:rPr>
          <w:rFonts w:eastAsia="Times New Roman" w:cs="Times New Roman"/>
          <w:color w:val="auto"/>
          <w:szCs w:val="24"/>
        </w:rPr>
        <w:fldChar w:fldCharType="separate"/>
      </w:r>
      <w:r w:rsidR="000756DA" w:rsidRPr="006862D4">
        <w:rPr>
          <w:rFonts w:eastAsia="Times New Roman" w:cs="Times New Roman"/>
          <w:noProof/>
          <w:color w:val="auto"/>
          <w:szCs w:val="24"/>
        </w:rPr>
        <w:t>(Dahiru, Habiba et al. 2023)</w:t>
      </w:r>
      <w:r w:rsidR="000756DA" w:rsidRPr="006862D4">
        <w:rPr>
          <w:rFonts w:eastAsia="Times New Roman" w:cs="Times New Roman"/>
          <w:color w:val="auto"/>
          <w:szCs w:val="24"/>
        </w:rPr>
        <w:fldChar w:fldCharType="end"/>
      </w:r>
      <w:r w:rsidRPr="006862D4">
        <w:rPr>
          <w:rFonts w:eastAsia="Times New Roman" w:cs="Times New Roman"/>
          <w:color w:val="auto"/>
          <w:szCs w:val="24"/>
        </w:rPr>
        <w:t>.</w:t>
      </w:r>
    </w:p>
    <w:p w14:paraId="1CBA3AD7" w14:textId="0096FAFF" w:rsidR="00855482" w:rsidRPr="006862D4" w:rsidRDefault="0085548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This project will recreate the complete reservoir-analysis process with Python, but it would be done in a manner that reflects how these activities were traditionally performed in a professional subsurface study. </w:t>
      </w:r>
      <w:proofErr w:type="gramStart"/>
      <w:r w:rsidRPr="006862D4">
        <w:rPr>
          <w:rFonts w:eastAsia="Times New Roman" w:cs="Times New Roman"/>
          <w:color w:val="auto"/>
          <w:szCs w:val="24"/>
        </w:rPr>
        <w:t>In order to</w:t>
      </w:r>
      <w:proofErr w:type="gramEnd"/>
      <w:r w:rsidRPr="006862D4">
        <w:rPr>
          <w:rFonts w:eastAsia="Times New Roman" w:cs="Times New Roman"/>
          <w:color w:val="auto"/>
          <w:szCs w:val="24"/>
        </w:rPr>
        <w:t xml:space="preserve"> achieve this, three sets of data were analyzed simultaneously: a core-derived porosity-permeability dataset containing facies labels, a complete wireline log suite in LAS format and, lastly, a high-resolution pore-scale image of Berea sandstone. These data sets can be collectively used to assess a reservoir at the microscopic level all the way to the entire wellbore</w:t>
      </w:r>
      <w:r w:rsidR="000756DA" w:rsidRPr="006862D4">
        <w:rPr>
          <w:rFonts w:eastAsia="Times New Roman" w:cs="Times New Roman"/>
          <w:color w:val="auto"/>
          <w:szCs w:val="24"/>
        </w:rPr>
        <w:t xml:space="preserve"> </w:t>
      </w:r>
      <w:r w:rsidR="000756DA" w:rsidRPr="006862D4">
        <w:rPr>
          <w:rFonts w:eastAsia="Times New Roman" w:cs="Times New Roman"/>
          <w:color w:val="auto"/>
          <w:szCs w:val="24"/>
        </w:rPr>
        <w:fldChar w:fldCharType="begin"/>
      </w:r>
      <w:r w:rsidR="000756DA" w:rsidRPr="006862D4">
        <w:rPr>
          <w:rFonts w:eastAsia="Times New Roman" w:cs="Times New Roman"/>
          <w:color w:val="auto"/>
          <w:szCs w:val="24"/>
        </w:rPr>
        <w:instrText xml:space="preserve"> ADDIN EN.CITE &lt;EndNote&gt;&lt;Cite&gt;&lt;Author&gt;Singh&lt;/Author&gt;&lt;Year&gt;2021&lt;/Year&gt;&lt;RecNum&gt;360&lt;/RecNum&gt;&lt;DisplayText&gt;(Singh, Rabbani et al. 2021)&lt;/DisplayText&gt;&lt;record&gt;&lt;rec-number&gt;360&lt;/rec-number&gt;&lt;foreign-keys&gt;&lt;key app="EN" db-id="0vfw2fpzoxwz04etwpuvvdxv5vdp5de5avv9" timestamp="1763440849"&gt;360&lt;/key&gt;&lt;/foreign-keys&gt;&lt;ref-type name="Journal Article"&gt;17&lt;/ref-type&gt;&lt;contributors&gt;&lt;authors&gt;&lt;author&gt;Singh, Ankita&lt;/author&gt;&lt;author&gt;Rabbani, Arash&lt;/author&gt;&lt;author&gt;Regenauer-Lieb, Klaus&lt;/author&gt;&lt;author&gt;Armstrong, Ryan T&lt;/author&gt;&lt;author&gt;Mostaghimi, Peyman&lt;/author&gt;&lt;/authors&gt;&lt;/contributors&gt;&lt;titles&gt;&lt;title&gt;Computer vision and unsupervised machine learning for pore-scale structural analysis of fractured porous media&lt;/title&gt;&lt;secondary-title&gt;Advances in Water Resources&lt;/secondary-title&gt;&lt;/titles&gt;&lt;periodical&gt;&lt;full-title&gt;Advances in Water Resources&lt;/full-title&gt;&lt;/periodical&gt;&lt;pages&gt;103801&lt;/pages&gt;&lt;volume&gt;147&lt;/volume&gt;&lt;dates&gt;&lt;year&gt;2021&lt;/year&gt;&lt;/dates&gt;&lt;isbn&gt;0309-1708&lt;/isbn&gt;&lt;urls&gt;&lt;/urls&gt;&lt;/record&gt;&lt;/Cite&gt;&lt;/EndNote&gt;</w:instrText>
      </w:r>
      <w:r w:rsidR="000756DA" w:rsidRPr="006862D4">
        <w:rPr>
          <w:rFonts w:eastAsia="Times New Roman" w:cs="Times New Roman"/>
          <w:color w:val="auto"/>
          <w:szCs w:val="24"/>
        </w:rPr>
        <w:fldChar w:fldCharType="separate"/>
      </w:r>
      <w:r w:rsidR="000756DA" w:rsidRPr="006862D4">
        <w:rPr>
          <w:rFonts w:eastAsia="Times New Roman" w:cs="Times New Roman"/>
          <w:noProof/>
          <w:color w:val="auto"/>
          <w:szCs w:val="24"/>
        </w:rPr>
        <w:t>(Singh, Rabbani et al. 2021)</w:t>
      </w:r>
      <w:r w:rsidR="000756DA" w:rsidRPr="006862D4">
        <w:rPr>
          <w:rFonts w:eastAsia="Times New Roman" w:cs="Times New Roman"/>
          <w:color w:val="auto"/>
          <w:szCs w:val="24"/>
        </w:rPr>
        <w:fldChar w:fldCharType="end"/>
      </w:r>
      <w:r w:rsidRPr="006862D4">
        <w:rPr>
          <w:rFonts w:eastAsia="Times New Roman" w:cs="Times New Roman"/>
          <w:color w:val="auto"/>
          <w:szCs w:val="24"/>
        </w:rPr>
        <w:t>.</w:t>
      </w:r>
    </w:p>
    <w:p w14:paraId="0F4AB034" w14:textId="0EBA50CB" w:rsidR="00C65942" w:rsidRPr="006862D4" w:rsidRDefault="00C65942" w:rsidP="006862D4">
      <w:pPr>
        <w:spacing w:before="100" w:beforeAutospacing="1" w:after="0" w:line="240" w:lineRule="auto"/>
        <w:rPr>
          <w:rFonts w:eastAsia="Times New Roman" w:cs="Times New Roman"/>
          <w:color w:val="auto"/>
          <w:szCs w:val="24"/>
        </w:rPr>
      </w:pPr>
      <w:proofErr w:type="gramStart"/>
      <w:r w:rsidRPr="006862D4">
        <w:rPr>
          <w:rFonts w:eastAsia="Times New Roman" w:cs="Times New Roman"/>
          <w:color w:val="auto"/>
          <w:szCs w:val="24"/>
        </w:rPr>
        <w:t>In order to</w:t>
      </w:r>
      <w:proofErr w:type="gramEnd"/>
      <w:r w:rsidRPr="006862D4">
        <w:rPr>
          <w:rFonts w:eastAsia="Times New Roman" w:cs="Times New Roman"/>
          <w:color w:val="auto"/>
          <w:szCs w:val="24"/>
        </w:rPr>
        <w:t xml:space="preserve"> derive information in these datasets, we use a blend of exploratory data analysis, and supervised/unsupervised learning algorithm, such as a linear regression, K-means clustering algorithm and a neural network classifier.</w:t>
      </w:r>
    </w:p>
    <w:p w14:paraId="3F567EB3" w14:textId="77777777" w:rsidR="00C65942"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The objectives of this project are specific and to:</w:t>
      </w:r>
    </w:p>
    <w:p w14:paraId="744781A0" w14:textId="1050DBA5" w:rsidR="00C65942" w:rsidRPr="006862D4" w:rsidRDefault="00C65942" w:rsidP="006862D4">
      <w:pPr>
        <w:pStyle w:val="ListParagraph"/>
        <w:numPr>
          <w:ilvl w:val="0"/>
          <w:numId w:val="35"/>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Examine and investigate each dataset, determine anomalies, trends and distributional features.</w:t>
      </w:r>
    </w:p>
    <w:p w14:paraId="7644C6D7" w14:textId="71303360" w:rsidR="00C65942" w:rsidRPr="006862D4" w:rsidRDefault="00C65942" w:rsidP="006862D4">
      <w:pPr>
        <w:pStyle w:val="ListParagraph"/>
        <w:numPr>
          <w:ilvl w:val="0"/>
          <w:numId w:val="35"/>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Calculate visualization of key reservoir properties at appropriate scales with the help of proper plotting techniques.</w:t>
      </w:r>
    </w:p>
    <w:p w14:paraId="478D1FB7" w14:textId="3334DCD0" w:rsidR="00C65942" w:rsidRPr="006862D4" w:rsidRDefault="00C65942" w:rsidP="006862D4">
      <w:pPr>
        <w:pStyle w:val="ListParagraph"/>
        <w:numPr>
          <w:ilvl w:val="0"/>
          <w:numId w:val="35"/>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Examine quantitatively relationships of porosity, permeability and facies by regression, clustering and classification.</w:t>
      </w:r>
    </w:p>
    <w:p w14:paraId="0C0681D5" w14:textId="3306778F" w:rsidR="00C65942" w:rsidRPr="006862D4" w:rsidRDefault="00C65942" w:rsidP="006862D4">
      <w:pPr>
        <w:pStyle w:val="ListParagraph"/>
        <w:numPr>
          <w:ilvl w:val="0"/>
          <w:numId w:val="35"/>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Assess and interpret wireline logs to determine shale content, mark net reservoir intervals, match patterns of the logs with measurements (core) of properties.</w:t>
      </w:r>
    </w:p>
    <w:p w14:paraId="70AF6D64" w14:textId="1709AEE7" w:rsidR="00C65942" w:rsidRPr="006862D4" w:rsidRDefault="00C65942" w:rsidP="006862D4">
      <w:pPr>
        <w:pStyle w:val="ListParagraph"/>
        <w:numPr>
          <w:ilvl w:val="0"/>
          <w:numId w:val="35"/>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Carry out pore-scale image analysis to approximate indicators of porosity, pore size distribution and relative permeability.</w:t>
      </w:r>
    </w:p>
    <w:p w14:paraId="15048B31" w14:textId="40FCBFD0" w:rsidR="00C65942" w:rsidRPr="006862D4" w:rsidRDefault="00C65942" w:rsidP="006862D4">
      <w:pPr>
        <w:pStyle w:val="ListParagraph"/>
        <w:numPr>
          <w:ilvl w:val="0"/>
          <w:numId w:val="35"/>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Combine the results of all the three scales to give a general evaluation of reservoir quality and its heterogeneity.</w:t>
      </w:r>
    </w:p>
    <w:p w14:paraId="1A51952B" w14:textId="53A4612A" w:rsidR="00C65942"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lastRenderedPageBreak/>
        <w:t>It is also a multi-scale method, which in addition to strengthening the analytical tools taught in PETE 219 shows how current data analytics can be used to aid in subsurface decision making by integrating direct laboratory studies, continuous well logs and microscopic image analysis in an intuitively understandable reservoir interpretation.</w:t>
      </w:r>
    </w:p>
    <w:p w14:paraId="17B95B2A" w14:textId="3CEB0C76" w:rsidR="00BD6B64" w:rsidRPr="006862D4" w:rsidRDefault="00E32EFA" w:rsidP="006862D4">
      <w:pPr>
        <w:pStyle w:val="Heading1"/>
        <w:spacing w:after="0"/>
        <w:rPr>
          <w:rFonts w:cs="Times New Roman"/>
        </w:rPr>
      </w:pPr>
      <w:r w:rsidRPr="006862D4">
        <w:rPr>
          <w:rFonts w:cs="Times New Roman"/>
        </w:rPr>
        <w:t>2</w:t>
      </w:r>
      <w:r w:rsidR="006E1CDA" w:rsidRPr="006862D4">
        <w:rPr>
          <w:rFonts w:cs="Times New Roman"/>
        </w:rPr>
        <w:t>. Methods</w:t>
      </w:r>
    </w:p>
    <w:p w14:paraId="0F6075C5" w14:textId="707FC72C" w:rsidR="00796E20"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In this project, a workflow written in Python was used to predict the core </w:t>
      </w:r>
      <w:proofErr w:type="spellStart"/>
      <w:r w:rsidRPr="006862D4">
        <w:rPr>
          <w:rFonts w:eastAsia="Times New Roman" w:cs="Times New Roman"/>
          <w:color w:val="auto"/>
          <w:szCs w:val="24"/>
        </w:rPr>
        <w:t>poro</w:t>
      </w:r>
      <w:proofErr w:type="spellEnd"/>
      <w:r w:rsidRPr="006862D4">
        <w:rPr>
          <w:rFonts w:eastAsia="Times New Roman" w:cs="Times New Roman"/>
          <w:color w:val="auto"/>
          <w:szCs w:val="24"/>
        </w:rPr>
        <w:t xml:space="preserve">-perm data, wireline well logs and pore-scale images. Everything was done in </w:t>
      </w:r>
      <w:proofErr w:type="spellStart"/>
      <w:r w:rsidRPr="006862D4">
        <w:rPr>
          <w:rFonts w:eastAsia="Times New Roman" w:cs="Times New Roman"/>
          <w:color w:val="auto"/>
          <w:szCs w:val="24"/>
        </w:rPr>
        <w:t>JupyterLab</w:t>
      </w:r>
      <w:proofErr w:type="spellEnd"/>
      <w:r w:rsidRPr="006862D4">
        <w:rPr>
          <w:rFonts w:eastAsia="Times New Roman" w:cs="Times New Roman"/>
          <w:color w:val="auto"/>
          <w:szCs w:val="24"/>
        </w:rPr>
        <w:t xml:space="preserve"> with standard scientific libraries, and a version control system was used in GitHub</w:t>
      </w:r>
      <w:r w:rsidR="00796E20" w:rsidRPr="006862D4">
        <w:rPr>
          <w:rFonts w:eastAsia="Times New Roman" w:cs="Times New Roman"/>
          <w:color w:val="auto"/>
          <w:szCs w:val="24"/>
        </w:rPr>
        <w:t>.</w:t>
      </w:r>
    </w:p>
    <w:p w14:paraId="0292C942" w14:textId="77777777" w:rsidR="00796E20" w:rsidRPr="006862D4" w:rsidRDefault="00796E20" w:rsidP="006862D4">
      <w:pPr>
        <w:pStyle w:val="Heading2"/>
        <w:spacing w:after="0"/>
        <w:rPr>
          <w:rFonts w:eastAsia="Times New Roman" w:cs="Times New Roman"/>
        </w:rPr>
      </w:pPr>
      <w:r w:rsidRPr="006862D4">
        <w:rPr>
          <w:rFonts w:eastAsia="Times New Roman" w:cs="Times New Roman"/>
        </w:rPr>
        <w:t>2.1 Poro-Perm Data Methods</w:t>
      </w:r>
    </w:p>
    <w:p w14:paraId="63AEDF91" w14:textId="77777777" w:rsidR="00C65942"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Poro-perm dataset was loaded with the help of pandas and transformed into a clean data frame. Fields (porosity, permeability and log-permeability) were cast to </w:t>
      </w:r>
      <w:proofErr w:type="gramStart"/>
      <w:r w:rsidRPr="006862D4">
        <w:rPr>
          <w:rFonts w:eastAsia="Times New Roman" w:cs="Times New Roman"/>
          <w:color w:val="auto"/>
          <w:szCs w:val="24"/>
        </w:rPr>
        <w:t>float</w:t>
      </w:r>
      <w:proofErr w:type="gramEnd"/>
      <w:r w:rsidRPr="006862D4">
        <w:rPr>
          <w:rFonts w:eastAsia="Times New Roman" w:cs="Times New Roman"/>
          <w:color w:val="auto"/>
          <w:szCs w:val="24"/>
        </w:rPr>
        <w:t xml:space="preserve"> and facies labels </w:t>
      </w:r>
      <w:proofErr w:type="spellStart"/>
      <w:r w:rsidRPr="006862D4">
        <w:rPr>
          <w:rFonts w:eastAsia="Times New Roman" w:cs="Times New Roman"/>
          <w:color w:val="auto"/>
          <w:szCs w:val="24"/>
        </w:rPr>
        <w:t>standardised</w:t>
      </w:r>
      <w:proofErr w:type="spellEnd"/>
      <w:r w:rsidRPr="006862D4">
        <w:rPr>
          <w:rFonts w:eastAsia="Times New Roman" w:cs="Times New Roman"/>
          <w:color w:val="auto"/>
          <w:szCs w:val="24"/>
        </w:rPr>
        <w:t xml:space="preserve"> by shedding off any rogue characters. There were invalid entries which included negative values of </w:t>
      </w:r>
      <w:proofErr w:type="gramStart"/>
      <w:r w:rsidRPr="006862D4">
        <w:rPr>
          <w:rFonts w:eastAsia="Times New Roman" w:cs="Times New Roman"/>
          <w:color w:val="auto"/>
          <w:szCs w:val="24"/>
        </w:rPr>
        <w:t>permeability</w:t>
      </w:r>
      <w:proofErr w:type="gramEnd"/>
      <w:r w:rsidRPr="006862D4">
        <w:rPr>
          <w:rFonts w:eastAsia="Times New Roman" w:cs="Times New Roman"/>
          <w:color w:val="auto"/>
          <w:szCs w:val="24"/>
        </w:rPr>
        <w:t xml:space="preserve"> and these were eliminated. The computation of log-permeability was done to correct skewness of initial permeability distribution.</w:t>
      </w:r>
    </w:p>
    <w:p w14:paraId="256DB652" w14:textId="15947BF1" w:rsidR="00796E20" w:rsidRPr="006862D4" w:rsidRDefault="00C65942" w:rsidP="006862D4">
      <w:pPr>
        <w:spacing w:before="100" w:beforeAutospacing="1" w:after="0" w:line="240" w:lineRule="auto"/>
        <w:rPr>
          <w:rFonts w:eastAsia="Times New Roman" w:cs="Times New Roman"/>
          <w:color w:val="auto"/>
          <w:szCs w:val="24"/>
        </w:rPr>
      </w:pPr>
      <w:proofErr w:type="spellStart"/>
      <w:r w:rsidRPr="006862D4">
        <w:rPr>
          <w:rFonts w:eastAsia="Times New Roman" w:cs="Times New Roman"/>
          <w:color w:val="auto"/>
          <w:szCs w:val="24"/>
        </w:rPr>
        <w:t>Crossplots</w:t>
      </w:r>
      <w:proofErr w:type="spellEnd"/>
      <w:r w:rsidRPr="006862D4">
        <w:rPr>
          <w:rFonts w:eastAsia="Times New Roman" w:cs="Times New Roman"/>
          <w:color w:val="auto"/>
          <w:szCs w:val="24"/>
        </w:rPr>
        <w:t xml:space="preserve"> of porosity, permeability, facies, </w:t>
      </w:r>
      <w:proofErr w:type="spellStart"/>
      <w:r w:rsidRPr="006862D4">
        <w:rPr>
          <w:rFonts w:eastAsia="Times New Roman" w:cs="Times New Roman"/>
          <w:color w:val="auto"/>
          <w:szCs w:val="24"/>
        </w:rPr>
        <w:t>coloured</w:t>
      </w:r>
      <w:proofErr w:type="spellEnd"/>
      <w:r w:rsidRPr="006862D4">
        <w:rPr>
          <w:rFonts w:eastAsia="Times New Roman" w:cs="Times New Roman"/>
          <w:color w:val="auto"/>
          <w:szCs w:val="24"/>
        </w:rPr>
        <w:t xml:space="preserve"> scatter plots, log-transformed </w:t>
      </w:r>
      <w:proofErr w:type="spellStart"/>
      <w:r w:rsidRPr="006862D4">
        <w:rPr>
          <w:rFonts w:eastAsia="Times New Roman" w:cs="Times New Roman"/>
          <w:color w:val="auto"/>
          <w:szCs w:val="24"/>
        </w:rPr>
        <w:t>crossplot</w:t>
      </w:r>
      <w:proofErr w:type="spellEnd"/>
      <w:r w:rsidRPr="006862D4">
        <w:rPr>
          <w:rFonts w:eastAsia="Times New Roman" w:cs="Times New Roman"/>
          <w:color w:val="auto"/>
          <w:szCs w:val="24"/>
        </w:rPr>
        <w:t xml:space="preserve"> and histograms were used as </w:t>
      </w:r>
      <w:proofErr w:type="spellStart"/>
      <w:r w:rsidRPr="006862D4">
        <w:rPr>
          <w:rFonts w:eastAsia="Times New Roman" w:cs="Times New Roman"/>
          <w:color w:val="auto"/>
          <w:szCs w:val="24"/>
        </w:rPr>
        <w:t>visualisation</w:t>
      </w:r>
      <w:proofErr w:type="spellEnd"/>
      <w:r w:rsidRPr="006862D4">
        <w:rPr>
          <w:rFonts w:eastAsia="Times New Roman" w:cs="Times New Roman"/>
          <w:color w:val="auto"/>
          <w:szCs w:val="24"/>
        </w:rPr>
        <w:t xml:space="preserve"> steps. The steps involved in the analysis were the following: the linear regression model was used to measure the porosity-permeability trend, the k-means clustering algorithm divided the rock quality groups, and an artificial neural network (ANN) classifier (scikit-learn) was implemented to forecast facies using </w:t>
      </w:r>
      <w:proofErr w:type="spellStart"/>
      <w:r w:rsidRPr="006862D4">
        <w:rPr>
          <w:rFonts w:eastAsia="Times New Roman" w:cs="Times New Roman"/>
          <w:color w:val="auto"/>
          <w:szCs w:val="24"/>
        </w:rPr>
        <w:t>poro</w:t>
      </w:r>
      <w:proofErr w:type="spellEnd"/>
      <w:r w:rsidRPr="006862D4">
        <w:rPr>
          <w:rFonts w:eastAsia="Times New Roman" w:cs="Times New Roman"/>
          <w:color w:val="auto"/>
          <w:szCs w:val="24"/>
        </w:rPr>
        <w:t>-perm input data</w:t>
      </w:r>
      <w:r w:rsidR="000C7563" w:rsidRPr="006862D4">
        <w:rPr>
          <w:rFonts w:eastAsia="Times New Roman" w:cs="Times New Roman"/>
          <w:color w:val="auto"/>
          <w:szCs w:val="24"/>
        </w:rPr>
        <w:t xml:space="preserve"> </w:t>
      </w:r>
      <w:r w:rsidR="000C7563" w:rsidRPr="006862D4">
        <w:rPr>
          <w:rFonts w:eastAsia="Times New Roman" w:cs="Times New Roman"/>
          <w:color w:val="auto"/>
          <w:szCs w:val="24"/>
        </w:rPr>
        <w:fldChar w:fldCharType="begin"/>
      </w:r>
      <w:r w:rsidR="000C7563" w:rsidRPr="006862D4">
        <w:rPr>
          <w:rFonts w:eastAsia="Times New Roman" w:cs="Times New Roman"/>
          <w:color w:val="auto"/>
          <w:szCs w:val="24"/>
        </w:rPr>
        <w:instrText xml:space="preserve"> ADDIN EN.CITE &lt;EndNote&gt;&lt;Cite&gt;&lt;Author&gt;Bishop&lt;/Author&gt;&lt;Year&gt;2006&lt;/Year&gt;&lt;RecNum&gt;363&lt;/RecNum&gt;&lt;DisplayText&gt;(Bishop and Nasrabadi 2006)&lt;/DisplayText&gt;&lt;record&gt;&lt;rec-number&gt;363&lt;/rec-number&gt;&lt;foreign-keys&gt;&lt;key app="EN" db-id="0vfw2fpzoxwz04etwpuvvdxv5vdp5de5avv9" timestamp="1763441554"&gt;363&lt;/key&gt;&lt;/foreign-keys&gt;&lt;ref-type name="Book"&gt;6&lt;/ref-type&gt;&lt;contributors&gt;&lt;authors&gt;&lt;author&gt;Bishop, Christopher M&lt;/author&gt;&lt;author&gt;Nasrabadi, Nasser M&lt;/author&gt;&lt;/authors&gt;&lt;/contributors&gt;&lt;titles&gt;&lt;title&gt;Pattern recognition and machine learning&lt;/title&gt;&lt;/titles&gt;&lt;volume&gt;4&lt;/volume&gt;&lt;number&gt;4&lt;/number&gt;&lt;dates&gt;&lt;year&gt;2006&lt;/year&gt;&lt;/dates&gt;&lt;publisher&gt;Springer&lt;/publisher&gt;&lt;urls&gt;&lt;/urls&gt;&lt;/record&gt;&lt;/Cite&gt;&lt;/EndNote&gt;</w:instrText>
      </w:r>
      <w:r w:rsidR="000C7563" w:rsidRPr="006862D4">
        <w:rPr>
          <w:rFonts w:eastAsia="Times New Roman" w:cs="Times New Roman"/>
          <w:color w:val="auto"/>
          <w:szCs w:val="24"/>
        </w:rPr>
        <w:fldChar w:fldCharType="separate"/>
      </w:r>
      <w:r w:rsidR="000C7563" w:rsidRPr="006862D4">
        <w:rPr>
          <w:rFonts w:eastAsia="Times New Roman" w:cs="Times New Roman"/>
          <w:noProof/>
          <w:color w:val="auto"/>
          <w:szCs w:val="24"/>
        </w:rPr>
        <w:t>(Bishop and Nasrabadi 2006)</w:t>
      </w:r>
      <w:r w:rsidR="000C7563" w:rsidRPr="006862D4">
        <w:rPr>
          <w:rFonts w:eastAsia="Times New Roman" w:cs="Times New Roman"/>
          <w:color w:val="auto"/>
          <w:szCs w:val="24"/>
        </w:rPr>
        <w:fldChar w:fldCharType="end"/>
      </w:r>
      <w:r w:rsidR="00796E20" w:rsidRPr="006862D4">
        <w:rPr>
          <w:rFonts w:eastAsia="Times New Roman" w:cs="Times New Roman"/>
          <w:color w:val="auto"/>
          <w:szCs w:val="24"/>
        </w:rPr>
        <w:t>.</w:t>
      </w:r>
    </w:p>
    <w:p w14:paraId="7CF825FA" w14:textId="77777777" w:rsidR="00796E20" w:rsidRPr="006862D4" w:rsidRDefault="00796E20" w:rsidP="006862D4">
      <w:pPr>
        <w:pStyle w:val="Heading2"/>
        <w:spacing w:after="0"/>
        <w:rPr>
          <w:rFonts w:eastAsia="Times New Roman" w:cs="Times New Roman"/>
        </w:rPr>
      </w:pPr>
      <w:r w:rsidRPr="006862D4">
        <w:rPr>
          <w:rFonts w:eastAsia="Times New Roman" w:cs="Times New Roman"/>
        </w:rPr>
        <w:t>2.2 Well Log Data Methods</w:t>
      </w:r>
    </w:p>
    <w:p w14:paraId="65D44FB4" w14:textId="7B8827DD" w:rsidR="00796E20" w:rsidRPr="006862D4" w:rsidRDefault="0085548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The LAS file was read with the </w:t>
      </w:r>
      <w:proofErr w:type="spellStart"/>
      <w:r w:rsidRPr="006862D4">
        <w:rPr>
          <w:rFonts w:eastAsia="Times New Roman" w:cs="Times New Roman"/>
          <w:color w:val="auto"/>
          <w:szCs w:val="24"/>
        </w:rPr>
        <w:t>lasio</w:t>
      </w:r>
      <w:proofErr w:type="spellEnd"/>
      <w:r w:rsidRPr="006862D4">
        <w:rPr>
          <w:rFonts w:eastAsia="Times New Roman" w:cs="Times New Roman"/>
          <w:color w:val="auto"/>
          <w:szCs w:val="24"/>
        </w:rPr>
        <w:t xml:space="preserve"> library and then it was converted into a structured pandas </w:t>
      </w:r>
      <w:proofErr w:type="spellStart"/>
      <w:r w:rsidRPr="006862D4">
        <w:rPr>
          <w:rFonts w:eastAsia="Times New Roman" w:cs="Times New Roman"/>
          <w:color w:val="auto"/>
          <w:szCs w:val="24"/>
        </w:rPr>
        <w:t>dataframe</w:t>
      </w:r>
      <w:proofErr w:type="spellEnd"/>
      <w:r w:rsidRPr="006862D4">
        <w:rPr>
          <w:rFonts w:eastAsia="Times New Roman" w:cs="Times New Roman"/>
          <w:color w:val="auto"/>
          <w:szCs w:val="24"/>
        </w:rPr>
        <w:t xml:space="preserve"> that was easy to </w:t>
      </w:r>
      <w:proofErr w:type="spellStart"/>
      <w:r w:rsidRPr="006862D4">
        <w:rPr>
          <w:rFonts w:eastAsia="Times New Roman" w:cs="Times New Roman"/>
          <w:color w:val="auto"/>
          <w:szCs w:val="24"/>
        </w:rPr>
        <w:t>analyse</w:t>
      </w:r>
      <w:proofErr w:type="spellEnd"/>
      <w:r w:rsidRPr="006862D4">
        <w:rPr>
          <w:rFonts w:eastAsia="Times New Roman" w:cs="Times New Roman"/>
          <w:color w:val="auto"/>
          <w:szCs w:val="24"/>
        </w:rPr>
        <w:t xml:space="preserve">. </w:t>
      </w:r>
      <w:proofErr w:type="gramStart"/>
      <w:r w:rsidRPr="006862D4">
        <w:rPr>
          <w:rFonts w:eastAsia="Times New Roman" w:cs="Times New Roman"/>
          <w:color w:val="auto"/>
          <w:szCs w:val="24"/>
        </w:rPr>
        <w:t>A number of</w:t>
      </w:r>
      <w:proofErr w:type="gramEnd"/>
      <w:r w:rsidRPr="006862D4">
        <w:rPr>
          <w:rFonts w:eastAsia="Times New Roman" w:cs="Times New Roman"/>
          <w:color w:val="auto"/>
          <w:szCs w:val="24"/>
        </w:rPr>
        <w:t xml:space="preserve"> inconsistencies were found during this step such as missing depth intervals, negative value or physical impossibility of readings and repetitions. These problems were solved by deleting the wrong rows or substituting the erroneous values with </w:t>
      </w:r>
      <w:proofErr w:type="spellStart"/>
      <w:r w:rsidRPr="006862D4">
        <w:rPr>
          <w:rFonts w:eastAsia="Times New Roman" w:cs="Times New Roman"/>
          <w:color w:val="auto"/>
          <w:szCs w:val="24"/>
        </w:rPr>
        <w:t>NaN</w:t>
      </w:r>
      <w:proofErr w:type="spellEnd"/>
      <w:r w:rsidRPr="006862D4">
        <w:rPr>
          <w:rFonts w:eastAsia="Times New Roman" w:cs="Times New Roman"/>
          <w:color w:val="auto"/>
          <w:szCs w:val="24"/>
        </w:rPr>
        <w:t xml:space="preserve"> </w:t>
      </w:r>
      <w:proofErr w:type="gramStart"/>
      <w:r w:rsidRPr="006862D4">
        <w:rPr>
          <w:rFonts w:eastAsia="Times New Roman" w:cs="Times New Roman"/>
          <w:color w:val="auto"/>
          <w:szCs w:val="24"/>
        </w:rPr>
        <w:t>in order to</w:t>
      </w:r>
      <w:proofErr w:type="gramEnd"/>
      <w:r w:rsidRPr="006862D4">
        <w:rPr>
          <w:rFonts w:eastAsia="Times New Roman" w:cs="Times New Roman"/>
          <w:color w:val="auto"/>
          <w:szCs w:val="24"/>
        </w:rPr>
        <w:t xml:space="preserve"> make the interpolation and subsequent analysis to be done accordingly. This guaranteed that the ultimate data of logs was clean and credible prior to interpretation. </w:t>
      </w:r>
      <w:r w:rsidR="00C65942" w:rsidRPr="006862D4">
        <w:rPr>
          <w:rFonts w:eastAsia="Times New Roman" w:cs="Times New Roman"/>
          <w:color w:val="auto"/>
          <w:szCs w:val="24"/>
        </w:rPr>
        <w:t xml:space="preserve">The major logs were the gamma ray (GR), bulk density (RHOB), neutron porosity (CNPOR) and deep resistivity (RILD) as they were chosen to be related to lithology interpretation, shale estimation and fluid identification. </w:t>
      </w:r>
      <w:r w:rsidRPr="006862D4">
        <w:rPr>
          <w:rFonts w:eastAsia="Times New Roman" w:cs="Times New Roman"/>
          <w:color w:val="auto"/>
          <w:szCs w:val="24"/>
        </w:rPr>
        <w:t xml:space="preserve">Various </w:t>
      </w:r>
      <w:proofErr w:type="spellStart"/>
      <w:r w:rsidRPr="006862D4">
        <w:rPr>
          <w:rFonts w:eastAsia="Times New Roman" w:cs="Times New Roman"/>
          <w:color w:val="auto"/>
          <w:szCs w:val="24"/>
        </w:rPr>
        <w:t>visualisation</w:t>
      </w:r>
      <w:proofErr w:type="spellEnd"/>
      <w:r w:rsidRPr="006862D4">
        <w:rPr>
          <w:rFonts w:eastAsia="Times New Roman" w:cs="Times New Roman"/>
          <w:color w:val="auto"/>
          <w:szCs w:val="24"/>
        </w:rPr>
        <w:t xml:space="preserve"> methods were employed </w:t>
      </w:r>
      <w:proofErr w:type="gramStart"/>
      <w:r w:rsidRPr="006862D4">
        <w:rPr>
          <w:rFonts w:eastAsia="Times New Roman" w:cs="Times New Roman"/>
          <w:color w:val="auto"/>
          <w:szCs w:val="24"/>
        </w:rPr>
        <w:t>in order to</w:t>
      </w:r>
      <w:proofErr w:type="gramEnd"/>
      <w:r w:rsidRPr="006862D4">
        <w:rPr>
          <w:rFonts w:eastAsia="Times New Roman" w:cs="Times New Roman"/>
          <w:color w:val="auto"/>
          <w:szCs w:val="24"/>
        </w:rPr>
        <w:t xml:space="preserve"> understand the well-log </w:t>
      </w:r>
      <w:proofErr w:type="spellStart"/>
      <w:r w:rsidRPr="006862D4">
        <w:rPr>
          <w:rFonts w:eastAsia="Times New Roman" w:cs="Times New Roman"/>
          <w:color w:val="auto"/>
          <w:szCs w:val="24"/>
        </w:rPr>
        <w:t>behaviour</w:t>
      </w:r>
      <w:proofErr w:type="spellEnd"/>
      <w:r w:rsidRPr="006862D4">
        <w:rPr>
          <w:rFonts w:eastAsia="Times New Roman" w:cs="Times New Roman"/>
          <w:color w:val="auto"/>
          <w:szCs w:val="24"/>
        </w:rPr>
        <w:t xml:space="preserve"> better. These consisted of a multi-track display of GR, RHOB, CNPOR and RILD over the same depth axes making it easy to compare the lithology, porosity and fluid effects. Moreover, histograms were drawn to analyze the shape of distribution and determine the skewness or prevalence of specific rock types. To differentiate between clean sands and shaly intervals a neutron-density </w:t>
      </w:r>
      <w:proofErr w:type="spellStart"/>
      <w:r w:rsidRPr="006862D4">
        <w:rPr>
          <w:rFonts w:eastAsia="Times New Roman" w:cs="Times New Roman"/>
          <w:color w:val="auto"/>
          <w:szCs w:val="24"/>
        </w:rPr>
        <w:t>crossplot</w:t>
      </w:r>
      <w:proofErr w:type="spellEnd"/>
      <w:r w:rsidRPr="006862D4">
        <w:rPr>
          <w:rFonts w:eastAsia="Times New Roman" w:cs="Times New Roman"/>
          <w:color w:val="auto"/>
          <w:szCs w:val="24"/>
        </w:rPr>
        <w:t xml:space="preserve"> was plotted, and a heatmap of the correlation between the measurements was used to evaluate the strongest ones. The log interpretation was based on these </w:t>
      </w:r>
      <w:proofErr w:type="spellStart"/>
      <w:r w:rsidRPr="006862D4">
        <w:rPr>
          <w:rFonts w:eastAsia="Times New Roman" w:cs="Times New Roman"/>
          <w:color w:val="auto"/>
          <w:szCs w:val="24"/>
        </w:rPr>
        <w:t>visualisations</w:t>
      </w:r>
      <w:proofErr w:type="spellEnd"/>
      <w:r w:rsidR="00C65942" w:rsidRPr="006862D4">
        <w:rPr>
          <w:rFonts w:eastAsia="Times New Roman" w:cs="Times New Roman"/>
          <w:color w:val="auto"/>
          <w:szCs w:val="24"/>
        </w:rPr>
        <w:t xml:space="preserve">. The analytical processes involved calculation of </w:t>
      </w:r>
      <w:proofErr w:type="spellStart"/>
      <w:r w:rsidR="00C65942" w:rsidRPr="006862D4">
        <w:rPr>
          <w:rFonts w:eastAsia="Times New Roman" w:cs="Times New Roman"/>
          <w:color w:val="auto"/>
          <w:szCs w:val="24"/>
        </w:rPr>
        <w:t>Vshale</w:t>
      </w:r>
      <w:proofErr w:type="spellEnd"/>
      <w:r w:rsidR="00C65942" w:rsidRPr="006862D4">
        <w:rPr>
          <w:rFonts w:eastAsia="Times New Roman" w:cs="Times New Roman"/>
          <w:color w:val="auto"/>
          <w:szCs w:val="24"/>
        </w:rPr>
        <w:t xml:space="preserve"> (GR), categorization of net intervals of </w:t>
      </w:r>
      <w:r w:rsidR="00C65942" w:rsidRPr="006862D4">
        <w:rPr>
          <w:rFonts w:eastAsia="Times New Roman" w:cs="Times New Roman"/>
          <w:color w:val="auto"/>
          <w:szCs w:val="24"/>
        </w:rPr>
        <w:lastRenderedPageBreak/>
        <w:t>the reservoir based on a shale cutoff and statistics on high-resistivity regions and reservoir non-reservoir</w:t>
      </w:r>
      <w:r w:rsidR="000C7563" w:rsidRPr="006862D4">
        <w:rPr>
          <w:rFonts w:eastAsia="Times New Roman" w:cs="Times New Roman"/>
          <w:color w:val="auto"/>
          <w:szCs w:val="24"/>
        </w:rPr>
        <w:t xml:space="preserve"> </w:t>
      </w:r>
      <w:r w:rsidR="000C7563" w:rsidRPr="006862D4">
        <w:rPr>
          <w:rFonts w:eastAsia="Times New Roman" w:cs="Times New Roman"/>
          <w:color w:val="auto"/>
          <w:szCs w:val="24"/>
        </w:rPr>
        <w:fldChar w:fldCharType="begin"/>
      </w:r>
      <w:r w:rsidR="000C7563" w:rsidRPr="006862D4">
        <w:rPr>
          <w:rFonts w:eastAsia="Times New Roman" w:cs="Times New Roman"/>
          <w:color w:val="auto"/>
          <w:szCs w:val="24"/>
        </w:rPr>
        <w:instrText xml:space="preserve"> ADDIN EN.CITE &lt;EndNote&gt;&lt;Cite&gt;&lt;Author&gt;Asquith&lt;/Author&gt;&lt;Year&gt;2004&lt;/Year&gt;&lt;RecNum&gt;362&lt;/RecNum&gt;&lt;DisplayText&gt;(Asquith, Krygowski et al. 2004)&lt;/DisplayText&gt;&lt;record&gt;&lt;rec-number&gt;362&lt;/rec-number&gt;&lt;foreign-keys&gt;&lt;key app="EN" db-id="0vfw2fpzoxwz04etwpuvvdxv5vdp5de5avv9" timestamp="1763441414"&gt;362&lt;/key&gt;&lt;/foreign-keys&gt;&lt;ref-type name="Book"&gt;6&lt;/ref-type&gt;&lt;contributors&gt;&lt;authors&gt;&lt;author&gt;Asquith, George B&lt;/author&gt;&lt;author&gt;Krygowski, Daniel&lt;/author&gt;&lt;author&gt;Gibson, Charles R&lt;/author&gt;&lt;/authors&gt;&lt;/contributors&gt;&lt;titles&gt;&lt;title&gt;Basic well log analysis&lt;/title&gt;&lt;/titles&gt;&lt;volume&gt;16&lt;/volume&gt;&lt;dates&gt;&lt;year&gt;2004&lt;/year&gt;&lt;/dates&gt;&lt;publisher&gt;American Association of Petroleum Geologists Tulsa&lt;/publisher&gt;&lt;urls&gt;&lt;/urls&gt;&lt;/record&gt;&lt;/Cite&gt;&lt;/EndNote&gt;</w:instrText>
      </w:r>
      <w:r w:rsidR="000C7563" w:rsidRPr="006862D4">
        <w:rPr>
          <w:rFonts w:eastAsia="Times New Roman" w:cs="Times New Roman"/>
          <w:color w:val="auto"/>
          <w:szCs w:val="24"/>
        </w:rPr>
        <w:fldChar w:fldCharType="separate"/>
      </w:r>
      <w:r w:rsidR="000C7563" w:rsidRPr="006862D4">
        <w:rPr>
          <w:rFonts w:eastAsia="Times New Roman" w:cs="Times New Roman"/>
          <w:noProof/>
          <w:color w:val="auto"/>
          <w:szCs w:val="24"/>
        </w:rPr>
        <w:t>(Asquith, Krygowski et al. 2004)</w:t>
      </w:r>
      <w:r w:rsidR="000C7563" w:rsidRPr="006862D4">
        <w:rPr>
          <w:rFonts w:eastAsia="Times New Roman" w:cs="Times New Roman"/>
          <w:color w:val="auto"/>
          <w:szCs w:val="24"/>
        </w:rPr>
        <w:fldChar w:fldCharType="end"/>
      </w:r>
      <w:r w:rsidR="00796E20" w:rsidRPr="006862D4">
        <w:rPr>
          <w:rFonts w:eastAsia="Times New Roman" w:cs="Times New Roman"/>
          <w:color w:val="auto"/>
          <w:szCs w:val="24"/>
        </w:rPr>
        <w:t>.</w:t>
      </w:r>
    </w:p>
    <w:p w14:paraId="1D0290CC" w14:textId="77777777" w:rsidR="00796E20" w:rsidRPr="006862D4" w:rsidRDefault="00796E20" w:rsidP="006862D4">
      <w:pPr>
        <w:pStyle w:val="Heading2"/>
        <w:spacing w:after="0"/>
        <w:rPr>
          <w:rFonts w:eastAsia="Times New Roman" w:cs="Times New Roman"/>
        </w:rPr>
      </w:pPr>
      <w:r w:rsidRPr="006862D4">
        <w:rPr>
          <w:rFonts w:eastAsia="Times New Roman" w:cs="Times New Roman"/>
        </w:rPr>
        <w:t>2.3 Pore-Scale Image Methods</w:t>
      </w:r>
    </w:p>
    <w:p w14:paraId="06EBAF56" w14:textId="1A61C6FF" w:rsidR="00C65942"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A .</w:t>
      </w:r>
      <w:proofErr w:type="spellStart"/>
      <w:r w:rsidRPr="006862D4">
        <w:rPr>
          <w:rFonts w:eastAsia="Times New Roman" w:cs="Times New Roman"/>
          <w:color w:val="auto"/>
          <w:szCs w:val="24"/>
        </w:rPr>
        <w:t>tif</w:t>
      </w:r>
      <w:proofErr w:type="spellEnd"/>
      <w:r w:rsidRPr="006862D4">
        <w:rPr>
          <w:rFonts w:eastAsia="Times New Roman" w:cs="Times New Roman"/>
          <w:color w:val="auto"/>
          <w:szCs w:val="24"/>
        </w:rPr>
        <w:t xml:space="preserve"> file image (pore scale picture of Berea sandstones) was imported into scikit-image</w:t>
      </w:r>
      <w:r w:rsidR="00855482" w:rsidRPr="006862D4">
        <w:rPr>
          <w:rFonts w:cs="Times New Roman"/>
        </w:rPr>
        <w:t xml:space="preserve"> </w:t>
      </w:r>
      <w:r w:rsidR="00855482" w:rsidRPr="006862D4">
        <w:rPr>
          <w:rFonts w:eastAsia="Times New Roman" w:cs="Times New Roman"/>
          <w:color w:val="auto"/>
          <w:szCs w:val="24"/>
        </w:rPr>
        <w:t>A non-local means filtering method was used to enhance the image of the pore-scale before segmentation. The next binary segmentation step was much more precise by increasing the clarity of the pore boundary, and the pore network can now be quantified with more confidence</w:t>
      </w:r>
      <w:r w:rsidRPr="006862D4">
        <w:rPr>
          <w:rFonts w:eastAsia="Times New Roman" w:cs="Times New Roman"/>
          <w:color w:val="auto"/>
          <w:szCs w:val="24"/>
        </w:rPr>
        <w:t>. A binary segmentation of the denoised grayscale image was performed using the Otsu thresholding. Pores and the area of pores were counted and area of pores was calculated through blob analysis (</w:t>
      </w:r>
      <w:proofErr w:type="spellStart"/>
      <w:r w:rsidRPr="006862D4">
        <w:rPr>
          <w:rFonts w:eastAsia="Times New Roman" w:cs="Times New Roman"/>
          <w:color w:val="auto"/>
          <w:szCs w:val="24"/>
        </w:rPr>
        <w:t>regionprops</w:t>
      </w:r>
      <w:proofErr w:type="spellEnd"/>
      <w:r w:rsidRPr="006862D4">
        <w:rPr>
          <w:rFonts w:eastAsia="Times New Roman" w:cs="Times New Roman"/>
          <w:color w:val="auto"/>
          <w:szCs w:val="24"/>
        </w:rPr>
        <w:t>)</w:t>
      </w:r>
      <w:r w:rsidR="000C7563" w:rsidRPr="006862D4">
        <w:rPr>
          <w:rFonts w:eastAsia="Times New Roman" w:cs="Times New Roman"/>
          <w:color w:val="auto"/>
          <w:szCs w:val="24"/>
        </w:rPr>
        <w:t xml:space="preserve"> </w:t>
      </w:r>
      <w:r w:rsidR="000C7563" w:rsidRPr="006862D4">
        <w:rPr>
          <w:rFonts w:eastAsia="Times New Roman" w:cs="Times New Roman"/>
          <w:color w:val="auto"/>
          <w:szCs w:val="24"/>
        </w:rPr>
        <w:fldChar w:fldCharType="begin"/>
      </w:r>
      <w:r w:rsidR="000C7563" w:rsidRPr="006862D4">
        <w:rPr>
          <w:rFonts w:eastAsia="Times New Roman" w:cs="Times New Roman"/>
          <w:color w:val="auto"/>
          <w:szCs w:val="24"/>
        </w:rPr>
        <w:instrText xml:space="preserve"> ADDIN EN.CITE &lt;EndNote&gt;&lt;Cite&gt;&lt;Author&gt;Cnudde&lt;/Author&gt;&lt;Year&gt;2013&lt;/Year&gt;&lt;RecNum&gt;364&lt;/RecNum&gt;&lt;DisplayText&gt;(Cnudde and Boone 2013)&lt;/DisplayText&gt;&lt;record&gt;&lt;rec-number&gt;364&lt;/rec-number&gt;&lt;foreign-keys&gt;&lt;key app="EN" db-id="0vfw2fpzoxwz04etwpuvvdxv5vdp5de5avv9" timestamp="1763441629"&gt;364&lt;/key&gt;&lt;/foreign-keys&gt;&lt;ref-type name="Journal Article"&gt;17&lt;/ref-type&gt;&lt;contributors&gt;&lt;authors&gt;&lt;author&gt;Cnudde, Veerle&lt;/author&gt;&lt;author&gt;Boone, Matthieu Nicolaas&lt;/author&gt;&lt;/authors&gt;&lt;/contributors&gt;&lt;titles&gt;&lt;title&gt;High-resolution X-ray computed tomography in geosciences: A review of the current technology and applications&lt;/title&gt;&lt;secondary-title&gt;Earth-Science Reviews&lt;/secondary-title&gt;&lt;/titles&gt;&lt;periodical&gt;&lt;full-title&gt;Earth-Science Reviews&lt;/full-title&gt;&lt;/periodical&gt;&lt;pages&gt;1-17&lt;/pages&gt;&lt;volume&gt;123&lt;/volume&gt;&lt;dates&gt;&lt;year&gt;2013&lt;/year&gt;&lt;/dates&gt;&lt;isbn&gt;0012-8252&lt;/isbn&gt;&lt;urls&gt;&lt;/urls&gt;&lt;/record&gt;&lt;/Cite&gt;&lt;/EndNote&gt;</w:instrText>
      </w:r>
      <w:r w:rsidR="000C7563" w:rsidRPr="006862D4">
        <w:rPr>
          <w:rFonts w:eastAsia="Times New Roman" w:cs="Times New Roman"/>
          <w:color w:val="auto"/>
          <w:szCs w:val="24"/>
        </w:rPr>
        <w:fldChar w:fldCharType="separate"/>
      </w:r>
      <w:r w:rsidR="000C7563" w:rsidRPr="006862D4">
        <w:rPr>
          <w:rFonts w:eastAsia="Times New Roman" w:cs="Times New Roman"/>
          <w:noProof/>
          <w:color w:val="auto"/>
          <w:szCs w:val="24"/>
        </w:rPr>
        <w:t>(Cnudde and Boone 2013)</w:t>
      </w:r>
      <w:r w:rsidR="000C7563" w:rsidRPr="006862D4">
        <w:rPr>
          <w:rFonts w:eastAsia="Times New Roman" w:cs="Times New Roman"/>
          <w:color w:val="auto"/>
          <w:szCs w:val="24"/>
        </w:rPr>
        <w:fldChar w:fldCharType="end"/>
      </w:r>
      <w:r w:rsidRPr="006862D4">
        <w:rPr>
          <w:rFonts w:eastAsia="Times New Roman" w:cs="Times New Roman"/>
          <w:color w:val="auto"/>
          <w:szCs w:val="24"/>
        </w:rPr>
        <w:t>.</w:t>
      </w:r>
    </w:p>
    <w:p w14:paraId="03B6D2C9" w14:textId="15663268" w:rsidR="00796E20"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Pore-pixel fraction was used to estimate </w:t>
      </w:r>
      <w:proofErr w:type="gramStart"/>
      <w:r w:rsidRPr="006862D4">
        <w:rPr>
          <w:rFonts w:eastAsia="Times New Roman" w:cs="Times New Roman"/>
          <w:color w:val="auto"/>
          <w:szCs w:val="24"/>
        </w:rPr>
        <w:t>two dimensional</w:t>
      </w:r>
      <w:proofErr w:type="gramEnd"/>
      <w:r w:rsidRPr="006862D4">
        <w:rPr>
          <w:rFonts w:eastAsia="Times New Roman" w:cs="Times New Roman"/>
          <w:color w:val="auto"/>
          <w:szCs w:val="24"/>
        </w:rPr>
        <w:t xml:space="preserve"> porosity. The pores distribution as indicated by the area was approximated by a simple geometry to obtain a relative permeability value. Other </w:t>
      </w:r>
      <w:proofErr w:type="spellStart"/>
      <w:r w:rsidRPr="006862D4">
        <w:rPr>
          <w:rFonts w:eastAsia="Times New Roman" w:cs="Times New Roman"/>
          <w:color w:val="auto"/>
          <w:szCs w:val="24"/>
        </w:rPr>
        <w:t>visualisation</w:t>
      </w:r>
      <w:proofErr w:type="spellEnd"/>
      <w:r w:rsidRPr="006862D4">
        <w:rPr>
          <w:rFonts w:eastAsia="Times New Roman" w:cs="Times New Roman"/>
          <w:color w:val="auto"/>
          <w:szCs w:val="24"/>
        </w:rPr>
        <w:t xml:space="preserve"> procedures involved showing the original, denoised and binary images, pore-size histogram and pore-body overlay</w:t>
      </w:r>
      <w:r w:rsidR="00796E20" w:rsidRPr="006862D4">
        <w:rPr>
          <w:rFonts w:eastAsia="Times New Roman" w:cs="Times New Roman"/>
          <w:color w:val="auto"/>
          <w:szCs w:val="24"/>
        </w:rPr>
        <w:t>.</w:t>
      </w:r>
    </w:p>
    <w:p w14:paraId="17C11F58" w14:textId="77777777" w:rsidR="00796E20" w:rsidRPr="006862D4" w:rsidRDefault="00796E20" w:rsidP="006862D4">
      <w:pPr>
        <w:pStyle w:val="Heading2"/>
        <w:spacing w:after="0"/>
        <w:rPr>
          <w:rFonts w:eastAsia="Times New Roman" w:cs="Times New Roman"/>
        </w:rPr>
      </w:pPr>
      <w:r w:rsidRPr="006862D4">
        <w:rPr>
          <w:rFonts w:eastAsia="Times New Roman" w:cs="Times New Roman"/>
        </w:rPr>
        <w:t>2.4 Software and Version Control</w:t>
      </w:r>
    </w:p>
    <w:p w14:paraId="75D7F774" w14:textId="792356FF" w:rsidR="000A7A0A" w:rsidRPr="006862D4" w:rsidRDefault="00C65942" w:rsidP="006862D4">
      <w:p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 xml:space="preserve">All the analyses were done in </w:t>
      </w:r>
      <w:proofErr w:type="spellStart"/>
      <w:r w:rsidRPr="006862D4">
        <w:rPr>
          <w:rFonts w:eastAsia="Times New Roman" w:cs="Times New Roman"/>
          <w:color w:val="auto"/>
          <w:szCs w:val="24"/>
        </w:rPr>
        <w:t>JupyterLab</w:t>
      </w:r>
      <w:proofErr w:type="spellEnd"/>
      <w:r w:rsidRPr="006862D4">
        <w:rPr>
          <w:rFonts w:eastAsia="Times New Roman" w:cs="Times New Roman"/>
          <w:color w:val="auto"/>
          <w:szCs w:val="24"/>
        </w:rPr>
        <w:t xml:space="preserve"> with Python libraries such as </w:t>
      </w:r>
      <w:proofErr w:type="spellStart"/>
      <w:r w:rsidRPr="006862D4">
        <w:rPr>
          <w:rFonts w:eastAsia="Times New Roman" w:cs="Times New Roman"/>
          <w:color w:val="auto"/>
          <w:szCs w:val="24"/>
        </w:rPr>
        <w:t>numpy</w:t>
      </w:r>
      <w:proofErr w:type="spellEnd"/>
      <w:r w:rsidRPr="006862D4">
        <w:rPr>
          <w:rFonts w:eastAsia="Times New Roman" w:cs="Times New Roman"/>
          <w:color w:val="auto"/>
          <w:szCs w:val="24"/>
        </w:rPr>
        <w:t>, pandas, matplotlib, seaborn, scikit-learn and scikit-image. GitHub was used to maintain version control, figures collaboration, storage and code and datasets</w:t>
      </w:r>
      <w:r w:rsidR="00796E20" w:rsidRPr="006862D4">
        <w:rPr>
          <w:rFonts w:eastAsia="Times New Roman" w:cs="Times New Roman"/>
          <w:color w:val="auto"/>
          <w:szCs w:val="24"/>
        </w:rPr>
        <w:t>.</w:t>
      </w:r>
    </w:p>
    <w:p w14:paraId="002F88F5" w14:textId="2CC5A473" w:rsidR="00E32EFA" w:rsidRPr="006862D4" w:rsidRDefault="00E32EFA" w:rsidP="006862D4">
      <w:pPr>
        <w:pStyle w:val="Heading1"/>
        <w:spacing w:after="0"/>
        <w:rPr>
          <w:rFonts w:cs="Times New Roman"/>
        </w:rPr>
      </w:pPr>
      <w:r w:rsidRPr="006862D4">
        <w:rPr>
          <w:rFonts w:cs="Times New Roman"/>
        </w:rPr>
        <w:t>3. Results</w:t>
      </w:r>
    </w:p>
    <w:p w14:paraId="3AA5C1C5" w14:textId="7AB47101" w:rsidR="00E32EFA" w:rsidRPr="006862D4" w:rsidRDefault="00E32EFA" w:rsidP="006862D4">
      <w:pPr>
        <w:pStyle w:val="Heading2"/>
        <w:spacing w:after="0"/>
        <w:rPr>
          <w:rFonts w:eastAsia="Times New Roman" w:cs="Times New Roman"/>
        </w:rPr>
      </w:pPr>
      <w:r w:rsidRPr="006862D4">
        <w:rPr>
          <w:rFonts w:eastAsia="Times New Roman" w:cs="Times New Roman"/>
        </w:rPr>
        <w:t>3.1 Poro-Perm Data (Core Data)</w:t>
      </w:r>
    </w:p>
    <w:p w14:paraId="087F108C" w14:textId="2EF28106" w:rsidR="00554814" w:rsidRPr="006862D4" w:rsidRDefault="00554814" w:rsidP="006862D4">
      <w:pPr>
        <w:spacing w:after="0"/>
        <w:rPr>
          <w:rFonts w:cs="Times New Roman"/>
        </w:rPr>
      </w:pPr>
      <w:r w:rsidRPr="006862D4">
        <w:rPr>
          <w:rFonts w:cs="Times New Roman"/>
        </w:rPr>
        <w:t>Core-plug measurements of variables are depth, porosity, permeability and facies. Such measurements are tiny cylindrical rock samples that have been removed out of the reservoir. Storage and flow capacity are measured as porosity and permeability. Facies classification identifies the depositional environments including channel, crevasse slay and overbanks</w:t>
      </w:r>
      <w:r w:rsidR="000C7563" w:rsidRPr="006862D4">
        <w:rPr>
          <w:rFonts w:cs="Times New Roman"/>
        </w:rPr>
        <w:t xml:space="preserve"> </w:t>
      </w:r>
      <w:r w:rsidR="000C7563" w:rsidRPr="006862D4">
        <w:rPr>
          <w:rFonts w:cs="Times New Roman"/>
        </w:rPr>
        <w:fldChar w:fldCharType="begin"/>
      </w:r>
      <w:r w:rsidR="000C7563" w:rsidRPr="006862D4">
        <w:rPr>
          <w:rFonts w:cs="Times New Roman"/>
        </w:rPr>
        <w:instrText xml:space="preserve"> ADDIN EN.CITE &lt;EndNote&gt;&lt;Cite&gt;&lt;Author&gt;Terry&lt;/Author&gt;&lt;Year&gt;2015&lt;/Year&gt;&lt;RecNum&gt;366&lt;/RecNum&gt;&lt;DisplayText&gt;(Terry, Rogers et al. 2015)&lt;/DisplayText&gt;&lt;record&gt;&lt;rec-number&gt;366&lt;/rec-number&gt;&lt;foreign-keys&gt;&lt;key app="EN" db-id="0vfw2fpzoxwz04etwpuvvdxv5vdp5de5avv9" timestamp="1763441759"&gt;366&lt;/key&gt;&lt;/foreign-keys&gt;&lt;ref-type name="Book"&gt;6&lt;/ref-type&gt;&lt;contributors&gt;&lt;authors&gt;&lt;author&gt;Terry, Ronald E&lt;/author&gt;&lt;author&gt;Rogers, J Brandon&lt;/author&gt;&lt;author&gt;Craft, Benjamin Cole&lt;/author&gt;&lt;/authors&gt;&lt;/contributors&gt;&lt;titles&gt;&lt;title&gt;Applied petroleum reservoir engineering&lt;/title&gt;&lt;/titles&gt;&lt;dates&gt;&lt;year&gt;2015&lt;/year&gt;&lt;/dates&gt;&lt;publisher&gt;Pearson Education&lt;/publisher&gt;&lt;isbn&gt;0133155587&lt;/isbn&gt;&lt;urls&gt;&lt;/urls&gt;&lt;/record&gt;&lt;/Cite&gt;&lt;/EndNote&gt;</w:instrText>
      </w:r>
      <w:r w:rsidR="000C7563" w:rsidRPr="006862D4">
        <w:rPr>
          <w:rFonts w:cs="Times New Roman"/>
        </w:rPr>
        <w:fldChar w:fldCharType="separate"/>
      </w:r>
      <w:r w:rsidR="000C7563" w:rsidRPr="006862D4">
        <w:rPr>
          <w:rFonts w:cs="Times New Roman"/>
          <w:noProof/>
        </w:rPr>
        <w:t>(Terry, Rogers et al. 2015)</w:t>
      </w:r>
      <w:r w:rsidR="000C7563" w:rsidRPr="006862D4">
        <w:rPr>
          <w:rFonts w:cs="Times New Roman"/>
        </w:rPr>
        <w:fldChar w:fldCharType="end"/>
      </w:r>
      <w:r w:rsidRPr="006862D4">
        <w:rPr>
          <w:rFonts w:cs="Times New Roman"/>
        </w:rPr>
        <w:t>.</w:t>
      </w:r>
    </w:p>
    <w:p w14:paraId="2FDA6F38" w14:textId="0DF84516" w:rsidR="00E32EFA" w:rsidRPr="006862D4" w:rsidRDefault="00E32EFA" w:rsidP="006862D4">
      <w:pPr>
        <w:keepNext/>
        <w:spacing w:before="100" w:beforeAutospacing="1" w:after="0" w:line="240" w:lineRule="auto"/>
        <w:ind w:left="360"/>
        <w:jc w:val="center"/>
        <w:rPr>
          <w:rFonts w:cs="Times New Roman"/>
          <w:color w:val="auto"/>
        </w:rPr>
      </w:pPr>
      <w:r w:rsidRPr="006862D4">
        <w:rPr>
          <w:rFonts w:eastAsia="Times New Roman" w:cs="Times New Roman"/>
          <w:noProof/>
          <w:color w:val="auto"/>
          <w:szCs w:val="24"/>
          <w14:ligatures w14:val="standardContextual"/>
        </w:rPr>
        <w:lastRenderedPageBreak/>
        <w:drawing>
          <wp:inline distT="0" distB="0" distL="0" distR="0" wp14:anchorId="1E2D8C03" wp14:editId="0AE2925E">
            <wp:extent cx="3784600" cy="2986801"/>
            <wp:effectExtent l="19050" t="19050" r="25400" b="23495"/>
            <wp:docPr id="30232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25440" name="Picture 302325440"/>
                    <pic:cNvPicPr/>
                  </pic:nvPicPr>
                  <pic:blipFill>
                    <a:blip r:embed="rId7">
                      <a:extLst>
                        <a:ext uri="{28A0092B-C50C-407E-A947-70E740481C1C}">
                          <a14:useLocalDpi xmlns:a14="http://schemas.microsoft.com/office/drawing/2010/main" val="0"/>
                        </a:ext>
                      </a:extLst>
                    </a:blip>
                    <a:stretch>
                      <a:fillRect/>
                    </a:stretch>
                  </pic:blipFill>
                  <pic:spPr>
                    <a:xfrm>
                      <a:off x="0" y="0"/>
                      <a:ext cx="3851214" cy="3039373"/>
                    </a:xfrm>
                    <a:prstGeom prst="rect">
                      <a:avLst/>
                    </a:prstGeom>
                    <a:ln>
                      <a:solidFill>
                        <a:schemeClr val="tx1"/>
                      </a:solidFill>
                    </a:ln>
                  </pic:spPr>
                </pic:pic>
              </a:graphicData>
            </a:graphic>
          </wp:inline>
        </w:drawing>
      </w:r>
    </w:p>
    <w:p w14:paraId="69E979F4"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w:t>
      </w:r>
      <w:r w:rsidRPr="006862D4">
        <w:rPr>
          <w:rFonts w:cs="Times New Roman"/>
          <w:b/>
          <w:bCs/>
          <w:i w:val="0"/>
          <w:iCs w:val="0"/>
          <w:color w:val="auto"/>
        </w:rPr>
        <w:fldChar w:fldCharType="end"/>
      </w:r>
      <w:r w:rsidRPr="006862D4">
        <w:rPr>
          <w:rFonts w:cs="Times New Roman"/>
          <w:b/>
          <w:bCs/>
          <w:i w:val="0"/>
          <w:iCs w:val="0"/>
          <w:color w:val="auto"/>
        </w:rPr>
        <w:t xml:space="preserve"> Porosity vs permeability scatter plot</w:t>
      </w:r>
    </w:p>
    <w:p w14:paraId="3CF871D6" w14:textId="5C48AD7E" w:rsidR="00E32EFA" w:rsidRPr="006862D4" w:rsidRDefault="00554814" w:rsidP="006862D4">
      <w:pPr>
        <w:spacing w:before="100" w:beforeAutospacing="1" w:after="0" w:line="240" w:lineRule="auto"/>
        <w:ind w:left="720"/>
        <w:rPr>
          <w:rFonts w:cs="Times New Roman"/>
          <w:color w:val="auto"/>
        </w:rPr>
      </w:pPr>
      <w:r w:rsidRPr="006862D4">
        <w:rPr>
          <w:rFonts w:cs="Times New Roman"/>
          <w:color w:val="auto"/>
        </w:rPr>
        <w:t>Scatter plot of core plug porosity and permeability versus core plug permeability, with two variables. The expected positive trend and diffusion of the quality of the reservoirs throughout the sampled depths are brought out in the plot</w:t>
      </w:r>
      <w:r w:rsidR="00E32EFA" w:rsidRPr="006862D4">
        <w:rPr>
          <w:rFonts w:cs="Times New Roman"/>
          <w:color w:val="auto"/>
        </w:rPr>
        <w:t>.</w:t>
      </w:r>
    </w:p>
    <w:p w14:paraId="223403AC" w14:textId="77777777" w:rsidR="00E32EFA" w:rsidRPr="006862D4" w:rsidRDefault="00E32EFA" w:rsidP="006862D4">
      <w:pPr>
        <w:spacing w:after="0"/>
        <w:rPr>
          <w:rFonts w:cs="Times New Roman"/>
          <w:color w:val="auto"/>
        </w:rPr>
      </w:pPr>
    </w:p>
    <w:p w14:paraId="407DAAA9" w14:textId="77777777" w:rsidR="00E32EFA" w:rsidRPr="006862D4" w:rsidRDefault="00E32EFA" w:rsidP="006862D4">
      <w:pPr>
        <w:keepNext/>
        <w:spacing w:before="100" w:beforeAutospacing="1" w:after="0" w:line="240" w:lineRule="auto"/>
        <w:ind w:left="360"/>
        <w:jc w:val="center"/>
        <w:rPr>
          <w:rFonts w:cs="Times New Roman"/>
          <w:color w:val="auto"/>
        </w:rPr>
      </w:pPr>
      <w:r w:rsidRPr="006862D4">
        <w:rPr>
          <w:rFonts w:eastAsia="Times New Roman" w:cs="Times New Roman"/>
          <w:noProof/>
          <w:color w:val="auto"/>
          <w:szCs w:val="24"/>
          <w14:ligatures w14:val="standardContextual"/>
        </w:rPr>
        <w:drawing>
          <wp:inline distT="0" distB="0" distL="0" distR="0" wp14:anchorId="28086DB9" wp14:editId="0A0F5D34">
            <wp:extent cx="3733800" cy="2836126"/>
            <wp:effectExtent l="19050" t="19050" r="19050" b="21590"/>
            <wp:docPr id="611938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8319" name="Picture 611938319"/>
                    <pic:cNvPicPr/>
                  </pic:nvPicPr>
                  <pic:blipFill>
                    <a:blip r:embed="rId8">
                      <a:extLst>
                        <a:ext uri="{28A0092B-C50C-407E-A947-70E740481C1C}">
                          <a14:useLocalDpi xmlns:a14="http://schemas.microsoft.com/office/drawing/2010/main" val="0"/>
                        </a:ext>
                      </a:extLst>
                    </a:blip>
                    <a:stretch>
                      <a:fillRect/>
                    </a:stretch>
                  </pic:blipFill>
                  <pic:spPr>
                    <a:xfrm>
                      <a:off x="0" y="0"/>
                      <a:ext cx="3777713" cy="2869482"/>
                    </a:xfrm>
                    <a:prstGeom prst="rect">
                      <a:avLst/>
                    </a:prstGeom>
                    <a:ln>
                      <a:solidFill>
                        <a:schemeClr val="tx1"/>
                      </a:solidFill>
                    </a:ln>
                  </pic:spPr>
                </pic:pic>
              </a:graphicData>
            </a:graphic>
          </wp:inline>
        </w:drawing>
      </w:r>
    </w:p>
    <w:p w14:paraId="3008F2AE"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2</w:t>
      </w:r>
      <w:r w:rsidRPr="006862D4">
        <w:rPr>
          <w:rFonts w:cs="Times New Roman"/>
          <w:b/>
          <w:bCs/>
          <w:i w:val="0"/>
          <w:iCs w:val="0"/>
          <w:color w:val="auto"/>
        </w:rPr>
        <w:fldChar w:fldCharType="end"/>
      </w:r>
      <w:r w:rsidRPr="006862D4">
        <w:rPr>
          <w:rFonts w:cs="Times New Roman"/>
          <w:b/>
          <w:bCs/>
          <w:i w:val="0"/>
          <w:iCs w:val="0"/>
          <w:color w:val="auto"/>
        </w:rPr>
        <w:t xml:space="preserve"> Facies-</w:t>
      </w:r>
      <w:proofErr w:type="spellStart"/>
      <w:r w:rsidRPr="006862D4">
        <w:rPr>
          <w:rFonts w:cs="Times New Roman"/>
          <w:b/>
          <w:bCs/>
          <w:i w:val="0"/>
          <w:iCs w:val="0"/>
          <w:color w:val="auto"/>
        </w:rPr>
        <w:t>coloured</w:t>
      </w:r>
      <w:proofErr w:type="spellEnd"/>
      <w:r w:rsidRPr="006862D4">
        <w:rPr>
          <w:rFonts w:cs="Times New Roman"/>
          <w:b/>
          <w:bCs/>
          <w:i w:val="0"/>
          <w:iCs w:val="0"/>
          <w:color w:val="auto"/>
        </w:rPr>
        <w:t xml:space="preserve"> </w:t>
      </w:r>
      <w:proofErr w:type="spellStart"/>
      <w:r w:rsidRPr="006862D4">
        <w:rPr>
          <w:rFonts w:cs="Times New Roman"/>
          <w:b/>
          <w:bCs/>
          <w:i w:val="0"/>
          <w:iCs w:val="0"/>
          <w:color w:val="auto"/>
        </w:rPr>
        <w:t>poro</w:t>
      </w:r>
      <w:proofErr w:type="spellEnd"/>
      <w:r w:rsidRPr="006862D4">
        <w:rPr>
          <w:rFonts w:cs="Times New Roman"/>
          <w:b/>
          <w:bCs/>
          <w:i w:val="0"/>
          <w:iCs w:val="0"/>
          <w:color w:val="auto"/>
        </w:rPr>
        <w:t xml:space="preserve">-perm </w:t>
      </w:r>
      <w:proofErr w:type="spellStart"/>
      <w:r w:rsidRPr="006862D4">
        <w:rPr>
          <w:rFonts w:cs="Times New Roman"/>
          <w:b/>
          <w:bCs/>
          <w:i w:val="0"/>
          <w:iCs w:val="0"/>
          <w:color w:val="auto"/>
        </w:rPr>
        <w:t>crossplot</w:t>
      </w:r>
      <w:proofErr w:type="spellEnd"/>
    </w:p>
    <w:p w14:paraId="6252DC85" w14:textId="4909764A" w:rsidR="00E32EFA" w:rsidRPr="006862D4" w:rsidRDefault="00554814" w:rsidP="006862D4">
      <w:pPr>
        <w:spacing w:before="100" w:beforeAutospacing="1" w:after="0" w:line="240" w:lineRule="auto"/>
        <w:rPr>
          <w:rFonts w:eastAsia="Times New Roman" w:cs="Times New Roman"/>
          <w:color w:val="auto"/>
          <w:szCs w:val="24"/>
        </w:rPr>
      </w:pPr>
      <w:r w:rsidRPr="006862D4">
        <w:rPr>
          <w:rFonts w:cs="Times New Roman"/>
          <w:color w:val="auto"/>
        </w:rPr>
        <w:t xml:space="preserve">Scatter plot of porosity and permeability and points </w:t>
      </w:r>
      <w:proofErr w:type="spellStart"/>
      <w:r w:rsidRPr="006862D4">
        <w:rPr>
          <w:rFonts w:cs="Times New Roman"/>
          <w:color w:val="auto"/>
        </w:rPr>
        <w:t>coloured</w:t>
      </w:r>
      <w:proofErr w:type="spellEnd"/>
      <w:r w:rsidRPr="006862D4">
        <w:rPr>
          <w:rFonts w:cs="Times New Roman"/>
          <w:color w:val="auto"/>
        </w:rPr>
        <w:t xml:space="preserve"> in by facies. This visualizing distinguishes between </w:t>
      </w:r>
      <w:proofErr w:type="gramStart"/>
      <w:r w:rsidRPr="006862D4">
        <w:rPr>
          <w:rFonts w:cs="Times New Roman"/>
          <w:color w:val="auto"/>
        </w:rPr>
        <w:t>channel,</w:t>
      </w:r>
      <w:proofErr w:type="gramEnd"/>
      <w:r w:rsidRPr="006862D4">
        <w:rPr>
          <w:rFonts w:cs="Times New Roman"/>
          <w:color w:val="auto"/>
        </w:rPr>
        <w:t xml:space="preserve"> crevasse slay samples and portrays the </w:t>
      </w:r>
      <w:proofErr w:type="gramStart"/>
      <w:r w:rsidRPr="006862D4">
        <w:rPr>
          <w:rFonts w:cs="Times New Roman"/>
          <w:color w:val="auto"/>
        </w:rPr>
        <w:t>manner in which</w:t>
      </w:r>
      <w:proofErr w:type="gramEnd"/>
      <w:r w:rsidRPr="006862D4">
        <w:rPr>
          <w:rFonts w:cs="Times New Roman"/>
          <w:color w:val="auto"/>
        </w:rPr>
        <w:t xml:space="preserve"> every type of facies assembles within </w:t>
      </w:r>
      <w:proofErr w:type="spellStart"/>
      <w:r w:rsidRPr="006862D4">
        <w:rPr>
          <w:rFonts w:cs="Times New Roman"/>
          <w:color w:val="auto"/>
        </w:rPr>
        <w:t>poro</w:t>
      </w:r>
      <w:proofErr w:type="spellEnd"/>
      <w:r w:rsidRPr="006862D4">
        <w:rPr>
          <w:rFonts w:cs="Times New Roman"/>
          <w:color w:val="auto"/>
        </w:rPr>
        <w:t>-perm space</w:t>
      </w:r>
      <w:r w:rsidR="00E32EFA" w:rsidRPr="006862D4">
        <w:rPr>
          <w:rFonts w:cs="Times New Roman"/>
          <w:color w:val="auto"/>
        </w:rPr>
        <w:t>.</w:t>
      </w:r>
    </w:p>
    <w:p w14:paraId="1FE2B5F5"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cs="Times New Roman"/>
          <w:noProof/>
          <w:color w:val="auto"/>
        </w:rPr>
        <w:lastRenderedPageBreak/>
        <w:drawing>
          <wp:inline distT="0" distB="0" distL="0" distR="0" wp14:anchorId="7398B4DF" wp14:editId="594A7956">
            <wp:extent cx="3898803" cy="3416154"/>
            <wp:effectExtent l="19050" t="19050" r="26035" b="13335"/>
            <wp:docPr id="2118282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2298" name="Picture 2118282298"/>
                    <pic:cNvPicPr/>
                  </pic:nvPicPr>
                  <pic:blipFill>
                    <a:blip r:embed="rId9">
                      <a:extLst>
                        <a:ext uri="{28A0092B-C50C-407E-A947-70E740481C1C}">
                          <a14:useLocalDpi xmlns:a14="http://schemas.microsoft.com/office/drawing/2010/main" val="0"/>
                        </a:ext>
                      </a:extLst>
                    </a:blip>
                    <a:stretch>
                      <a:fillRect/>
                    </a:stretch>
                  </pic:blipFill>
                  <pic:spPr>
                    <a:xfrm>
                      <a:off x="0" y="0"/>
                      <a:ext cx="3911991" cy="3427710"/>
                    </a:xfrm>
                    <a:prstGeom prst="rect">
                      <a:avLst/>
                    </a:prstGeom>
                    <a:ln>
                      <a:solidFill>
                        <a:schemeClr val="tx1"/>
                      </a:solidFill>
                    </a:ln>
                  </pic:spPr>
                </pic:pic>
              </a:graphicData>
            </a:graphic>
          </wp:inline>
        </w:drawing>
      </w:r>
    </w:p>
    <w:p w14:paraId="576B3119"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3</w:t>
      </w:r>
      <w:r w:rsidRPr="006862D4">
        <w:rPr>
          <w:rFonts w:cs="Times New Roman"/>
          <w:b/>
          <w:bCs/>
          <w:i w:val="0"/>
          <w:iCs w:val="0"/>
          <w:color w:val="auto"/>
        </w:rPr>
        <w:fldChar w:fldCharType="end"/>
      </w:r>
      <w:r w:rsidRPr="006862D4">
        <w:rPr>
          <w:rFonts w:cs="Times New Roman"/>
          <w:b/>
          <w:bCs/>
          <w:i w:val="0"/>
          <w:iCs w:val="0"/>
          <w:color w:val="auto"/>
        </w:rPr>
        <w:t xml:space="preserve"> Porosity vs log-permeability </w:t>
      </w:r>
      <w:proofErr w:type="spellStart"/>
      <w:r w:rsidRPr="006862D4">
        <w:rPr>
          <w:rFonts w:cs="Times New Roman"/>
          <w:b/>
          <w:bCs/>
          <w:i w:val="0"/>
          <w:iCs w:val="0"/>
          <w:color w:val="auto"/>
        </w:rPr>
        <w:t>crossplot</w:t>
      </w:r>
      <w:proofErr w:type="spellEnd"/>
    </w:p>
    <w:p w14:paraId="3E798540"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p>
    <w:p w14:paraId="56F9AC35"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29D6EBBA" wp14:editId="3CAA7EAC">
            <wp:extent cx="5284470" cy="3097851"/>
            <wp:effectExtent l="19050" t="19050" r="11430" b="26670"/>
            <wp:docPr id="29366580"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6580" name="Picture 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07000" cy="3111058"/>
                    </a:xfrm>
                    <a:prstGeom prst="rect">
                      <a:avLst/>
                    </a:prstGeom>
                    <a:ln>
                      <a:solidFill>
                        <a:schemeClr val="tx1"/>
                      </a:solidFill>
                    </a:ln>
                  </pic:spPr>
                </pic:pic>
              </a:graphicData>
            </a:graphic>
          </wp:inline>
        </w:drawing>
      </w:r>
    </w:p>
    <w:p w14:paraId="435063CA"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4</w:t>
      </w:r>
      <w:r w:rsidRPr="006862D4">
        <w:rPr>
          <w:rFonts w:cs="Times New Roman"/>
          <w:b/>
          <w:bCs/>
          <w:i w:val="0"/>
          <w:iCs w:val="0"/>
          <w:color w:val="auto"/>
        </w:rPr>
        <w:fldChar w:fldCharType="end"/>
      </w:r>
      <w:r w:rsidRPr="006862D4">
        <w:rPr>
          <w:rFonts w:cs="Times New Roman"/>
          <w:b/>
          <w:bCs/>
          <w:i w:val="0"/>
          <w:iCs w:val="0"/>
          <w:color w:val="auto"/>
        </w:rPr>
        <w:t xml:space="preserve"> Histogram of porosity distribution</w:t>
      </w:r>
    </w:p>
    <w:p w14:paraId="7E1123DB" w14:textId="77777777" w:rsidR="00E32EFA" w:rsidRPr="006862D4" w:rsidRDefault="00E32EFA" w:rsidP="006862D4">
      <w:pPr>
        <w:spacing w:after="0"/>
        <w:rPr>
          <w:rFonts w:cs="Times New Roman"/>
          <w:color w:val="auto"/>
        </w:rPr>
      </w:pPr>
      <w:r w:rsidRPr="006862D4">
        <w:rPr>
          <w:rFonts w:cs="Times New Roman"/>
          <w:color w:val="auto"/>
        </w:rPr>
        <w:t>Histogram showing the distribution of core porosity values. The plot highlights skewness and the presence of multiple facies-related populations.</w:t>
      </w:r>
    </w:p>
    <w:p w14:paraId="729982D7"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lastRenderedPageBreak/>
        <w:drawing>
          <wp:inline distT="0" distB="0" distL="0" distR="0" wp14:anchorId="5D3F7577" wp14:editId="174D2197">
            <wp:extent cx="4140200" cy="3256095"/>
            <wp:effectExtent l="19050" t="19050" r="12700" b="20955"/>
            <wp:docPr id="2139973041" name="Picture 5" descr="A diagram of a distribution of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73041" name="Picture 5" descr="A diagram of a distribution of lo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44884" cy="3259779"/>
                    </a:xfrm>
                    <a:prstGeom prst="rect">
                      <a:avLst/>
                    </a:prstGeom>
                    <a:ln>
                      <a:solidFill>
                        <a:schemeClr val="tx1"/>
                      </a:solidFill>
                    </a:ln>
                  </pic:spPr>
                </pic:pic>
              </a:graphicData>
            </a:graphic>
          </wp:inline>
        </w:drawing>
      </w:r>
    </w:p>
    <w:p w14:paraId="063D5CBB"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5</w:t>
      </w:r>
      <w:r w:rsidRPr="006862D4">
        <w:rPr>
          <w:rFonts w:cs="Times New Roman"/>
          <w:b/>
          <w:bCs/>
          <w:i w:val="0"/>
          <w:iCs w:val="0"/>
          <w:color w:val="auto"/>
        </w:rPr>
        <w:fldChar w:fldCharType="end"/>
      </w:r>
      <w:r w:rsidRPr="006862D4">
        <w:rPr>
          <w:rFonts w:cs="Times New Roman"/>
          <w:b/>
          <w:bCs/>
          <w:i w:val="0"/>
          <w:iCs w:val="0"/>
          <w:color w:val="auto"/>
        </w:rPr>
        <w:t xml:space="preserve"> Histogram of permeability distribution</w:t>
      </w:r>
    </w:p>
    <w:p w14:paraId="7B1B37B0" w14:textId="77777777" w:rsidR="00E32EFA" w:rsidRPr="006862D4" w:rsidRDefault="00E32EFA" w:rsidP="006862D4">
      <w:pPr>
        <w:pStyle w:val="NormalWeb"/>
        <w:spacing w:after="0" w:afterAutospacing="0"/>
      </w:pPr>
      <w:r w:rsidRPr="006862D4">
        <w:t xml:space="preserve">Histogram </w:t>
      </w:r>
      <w:proofErr w:type="gramStart"/>
      <w:r w:rsidRPr="006862D4">
        <w:t>showing</w:t>
      </w:r>
      <w:proofErr w:type="gramEnd"/>
      <w:r w:rsidRPr="006862D4">
        <w:t xml:space="preserve"> the distribution of permeability measurements. The data exhibit positive </w:t>
      </w:r>
      <w:proofErr w:type="gramStart"/>
      <w:r w:rsidRPr="006862D4">
        <w:t>skew</w:t>
      </w:r>
      <w:proofErr w:type="gramEnd"/>
      <w:r w:rsidRPr="006862D4">
        <w:t xml:space="preserve"> due to high-permeability outliers typical of heterogeneous fluvial reservoirs.</w:t>
      </w:r>
    </w:p>
    <w:p w14:paraId="5E345F42"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5E4ED51D" wp14:editId="620337EF">
            <wp:extent cx="3918487" cy="3364865"/>
            <wp:effectExtent l="19050" t="19050" r="25400" b="26035"/>
            <wp:docPr id="1310885028"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85028" name="Picture 6" descr="A graph with a red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22232" cy="3368080"/>
                    </a:xfrm>
                    <a:prstGeom prst="rect">
                      <a:avLst/>
                    </a:prstGeom>
                    <a:ln>
                      <a:solidFill>
                        <a:schemeClr val="tx1"/>
                      </a:solidFill>
                    </a:ln>
                  </pic:spPr>
                </pic:pic>
              </a:graphicData>
            </a:graphic>
          </wp:inline>
        </w:drawing>
      </w:r>
    </w:p>
    <w:p w14:paraId="1A375ECA"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6</w:t>
      </w:r>
      <w:r w:rsidRPr="006862D4">
        <w:rPr>
          <w:rFonts w:cs="Times New Roman"/>
          <w:b/>
          <w:bCs/>
          <w:i w:val="0"/>
          <w:iCs w:val="0"/>
          <w:color w:val="auto"/>
        </w:rPr>
        <w:fldChar w:fldCharType="end"/>
      </w:r>
      <w:r w:rsidRPr="006862D4">
        <w:rPr>
          <w:rFonts w:cs="Times New Roman"/>
          <w:b/>
          <w:bCs/>
          <w:i w:val="0"/>
          <w:iCs w:val="0"/>
          <w:color w:val="auto"/>
        </w:rPr>
        <w:t xml:space="preserve"> Linear regression between porosity and log-permeability</w:t>
      </w:r>
    </w:p>
    <w:p w14:paraId="593C2FDE" w14:textId="77777777" w:rsidR="00E32EFA" w:rsidRPr="006862D4" w:rsidRDefault="00E32EFA" w:rsidP="006862D4">
      <w:pPr>
        <w:pStyle w:val="Caption"/>
        <w:spacing w:after="0"/>
        <w:ind w:left="360"/>
        <w:jc w:val="center"/>
        <w:rPr>
          <w:rFonts w:cs="Times New Roman"/>
          <w:b/>
          <w:bCs/>
          <w:i w:val="0"/>
          <w:iCs w:val="0"/>
          <w:color w:val="auto"/>
        </w:rPr>
      </w:pPr>
      <w:r w:rsidRPr="006862D4">
        <w:rPr>
          <w:rFonts w:eastAsia="Times New Roman" w:cs="Times New Roman"/>
          <w:noProof/>
          <w:color w:val="auto"/>
          <w:szCs w:val="24"/>
          <w14:ligatures w14:val="standardContextual"/>
        </w:rPr>
        <w:lastRenderedPageBreak/>
        <w:drawing>
          <wp:inline distT="0" distB="0" distL="0" distR="0" wp14:anchorId="2C2E0A89" wp14:editId="59E064DB">
            <wp:extent cx="3596347" cy="3151140"/>
            <wp:effectExtent l="19050" t="19050" r="23495" b="11430"/>
            <wp:docPr id="1415034217" name="Picture 7"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4217" name="Picture 7" descr="A graph with dots and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03011" cy="3156979"/>
                    </a:xfrm>
                    <a:prstGeom prst="rect">
                      <a:avLst/>
                    </a:prstGeom>
                    <a:ln>
                      <a:solidFill>
                        <a:schemeClr val="tx1"/>
                      </a:solidFill>
                    </a:ln>
                  </pic:spPr>
                </pic:pic>
              </a:graphicData>
            </a:graphic>
          </wp:inline>
        </w:drawing>
      </w:r>
      <w:r w:rsidRPr="006862D4">
        <w:rPr>
          <w:rFonts w:cs="Times New Roman"/>
          <w:b/>
          <w:bCs/>
          <w:i w:val="0"/>
          <w:iCs w:val="0"/>
          <w:color w:val="auto"/>
        </w:rPr>
        <w:t xml:space="preserve"> </w:t>
      </w:r>
    </w:p>
    <w:p w14:paraId="7505323C"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7</w:t>
      </w:r>
      <w:r w:rsidRPr="006862D4">
        <w:rPr>
          <w:rFonts w:cs="Times New Roman"/>
          <w:b/>
          <w:bCs/>
          <w:i w:val="0"/>
          <w:iCs w:val="0"/>
          <w:color w:val="auto"/>
        </w:rPr>
        <w:fldChar w:fldCharType="end"/>
      </w:r>
      <w:r w:rsidRPr="006862D4">
        <w:rPr>
          <w:rFonts w:cs="Times New Roman"/>
          <w:b/>
          <w:bCs/>
          <w:i w:val="0"/>
          <w:iCs w:val="0"/>
          <w:color w:val="auto"/>
        </w:rPr>
        <w:t xml:space="preserve"> K-means cluster plot</w:t>
      </w:r>
    </w:p>
    <w:p w14:paraId="3874D3ED" w14:textId="2D46F30A" w:rsidR="00E32EFA" w:rsidRPr="006862D4" w:rsidRDefault="00E32EFA" w:rsidP="006862D4">
      <w:pPr>
        <w:spacing w:after="0"/>
        <w:rPr>
          <w:rFonts w:cs="Times New Roman"/>
          <w:color w:val="auto"/>
        </w:rPr>
      </w:pPr>
      <w:r w:rsidRPr="006862D4">
        <w:rPr>
          <w:rFonts w:cs="Times New Roman"/>
          <w:color w:val="auto"/>
        </w:rPr>
        <w:t xml:space="preserve">Scatter plot of porosity vs log permeability with data points </w:t>
      </w:r>
      <w:proofErr w:type="spellStart"/>
      <w:r w:rsidRPr="006862D4">
        <w:rPr>
          <w:rFonts w:cs="Times New Roman"/>
          <w:color w:val="auto"/>
        </w:rPr>
        <w:t>coloured</w:t>
      </w:r>
      <w:proofErr w:type="spellEnd"/>
      <w:r w:rsidRPr="006862D4">
        <w:rPr>
          <w:rFonts w:cs="Times New Roman"/>
          <w:color w:val="auto"/>
        </w:rPr>
        <w:t xml:space="preserve"> by k-means cluster membership. The figure illustrates the three statistically derived rock quality groups.</w:t>
      </w:r>
    </w:p>
    <w:p w14:paraId="74F2FD11" w14:textId="77777777" w:rsidR="00E32EFA" w:rsidRPr="006862D4" w:rsidRDefault="00E32EFA" w:rsidP="006862D4">
      <w:pPr>
        <w:pStyle w:val="Caption"/>
        <w:keepNext/>
        <w:spacing w:after="0"/>
        <w:rPr>
          <w:rFonts w:cs="Times New Roman"/>
          <w:b/>
          <w:bCs/>
          <w:i w:val="0"/>
          <w:iCs w:val="0"/>
          <w:color w:val="auto"/>
        </w:rPr>
      </w:pPr>
      <w:r w:rsidRPr="006862D4">
        <w:rPr>
          <w:rFonts w:cs="Times New Roman"/>
          <w:b/>
          <w:bCs/>
          <w:i w:val="0"/>
          <w:iCs w:val="0"/>
          <w:color w:val="auto"/>
        </w:rPr>
        <w:t xml:space="preserve">Table </w:t>
      </w:r>
      <w:r w:rsidRPr="006862D4">
        <w:rPr>
          <w:rFonts w:cs="Times New Roman"/>
          <w:b/>
          <w:bCs/>
          <w:i w:val="0"/>
          <w:iCs w:val="0"/>
          <w:color w:val="auto"/>
        </w:rPr>
        <w:fldChar w:fldCharType="begin"/>
      </w:r>
      <w:r w:rsidRPr="006862D4">
        <w:rPr>
          <w:rFonts w:cs="Times New Roman"/>
          <w:b/>
          <w:bCs/>
          <w:i w:val="0"/>
          <w:iCs w:val="0"/>
          <w:color w:val="auto"/>
        </w:rPr>
        <w:instrText xml:space="preserve"> SEQ Table \* ARABIC </w:instrText>
      </w:r>
      <w:r w:rsidRPr="006862D4">
        <w:rPr>
          <w:rFonts w:cs="Times New Roman"/>
          <w:b/>
          <w:bCs/>
          <w:i w:val="0"/>
          <w:iCs w:val="0"/>
          <w:color w:val="auto"/>
        </w:rPr>
        <w:fldChar w:fldCharType="separate"/>
      </w:r>
      <w:r w:rsidRPr="006862D4">
        <w:rPr>
          <w:rFonts w:cs="Times New Roman"/>
          <w:b/>
          <w:bCs/>
          <w:i w:val="0"/>
          <w:iCs w:val="0"/>
          <w:noProof/>
          <w:color w:val="auto"/>
        </w:rPr>
        <w:t>1</w:t>
      </w:r>
      <w:r w:rsidRPr="006862D4">
        <w:rPr>
          <w:rFonts w:cs="Times New Roman"/>
          <w:b/>
          <w:bCs/>
          <w:i w:val="0"/>
          <w:iCs w:val="0"/>
          <w:color w:val="auto"/>
        </w:rPr>
        <w:fldChar w:fldCharType="end"/>
      </w:r>
      <w:r w:rsidRPr="006862D4">
        <w:rPr>
          <w:rFonts w:cs="Times New Roman"/>
          <w:b/>
          <w:bCs/>
          <w:i w:val="0"/>
          <w:iCs w:val="0"/>
          <w:color w:val="auto"/>
        </w:rPr>
        <w:t xml:space="preserve"> K-means clustering results</w:t>
      </w:r>
    </w:p>
    <w:tbl>
      <w:tblPr>
        <w:tblStyle w:val="TableGrid"/>
        <w:tblW w:w="0" w:type="auto"/>
        <w:tblLook w:val="04A0" w:firstRow="1" w:lastRow="0" w:firstColumn="1" w:lastColumn="0" w:noHBand="0" w:noVBand="1"/>
      </w:tblPr>
      <w:tblGrid>
        <w:gridCol w:w="2160"/>
        <w:gridCol w:w="2160"/>
        <w:gridCol w:w="2160"/>
        <w:gridCol w:w="2160"/>
      </w:tblGrid>
      <w:tr w:rsidR="00E32EFA" w:rsidRPr="006862D4" w14:paraId="3672A64B" w14:textId="77777777">
        <w:tc>
          <w:tcPr>
            <w:tcW w:w="2160" w:type="dxa"/>
          </w:tcPr>
          <w:p w14:paraId="28E36A71" w14:textId="77777777" w:rsidR="00E32EFA" w:rsidRPr="006862D4" w:rsidRDefault="00E32EFA" w:rsidP="006862D4">
            <w:pPr>
              <w:spacing w:after="0"/>
              <w:rPr>
                <w:rFonts w:cs="Times New Roman"/>
                <w:color w:val="auto"/>
              </w:rPr>
            </w:pPr>
            <w:r w:rsidRPr="006862D4">
              <w:rPr>
                <w:rFonts w:cs="Times New Roman"/>
                <w:color w:val="auto"/>
              </w:rPr>
              <w:t>Cluster</w:t>
            </w:r>
          </w:p>
        </w:tc>
        <w:tc>
          <w:tcPr>
            <w:tcW w:w="2160" w:type="dxa"/>
          </w:tcPr>
          <w:p w14:paraId="37772EDE" w14:textId="77777777" w:rsidR="00E32EFA" w:rsidRPr="006862D4" w:rsidRDefault="00E32EFA" w:rsidP="006862D4">
            <w:pPr>
              <w:spacing w:after="0"/>
              <w:rPr>
                <w:rFonts w:cs="Times New Roman"/>
                <w:color w:val="auto"/>
              </w:rPr>
            </w:pPr>
            <w:r w:rsidRPr="006862D4">
              <w:rPr>
                <w:rFonts w:cs="Times New Roman"/>
                <w:color w:val="auto"/>
              </w:rPr>
              <w:t>Porosity (%)</w:t>
            </w:r>
          </w:p>
        </w:tc>
        <w:tc>
          <w:tcPr>
            <w:tcW w:w="2160" w:type="dxa"/>
          </w:tcPr>
          <w:p w14:paraId="724DCEDD" w14:textId="77777777" w:rsidR="00E32EFA" w:rsidRPr="006862D4" w:rsidRDefault="00E32EFA" w:rsidP="006862D4">
            <w:pPr>
              <w:spacing w:after="0"/>
              <w:rPr>
                <w:rFonts w:cs="Times New Roman"/>
                <w:color w:val="auto"/>
              </w:rPr>
            </w:pPr>
            <w:r w:rsidRPr="006862D4">
              <w:rPr>
                <w:rFonts w:cs="Times New Roman"/>
                <w:color w:val="auto"/>
              </w:rPr>
              <w:t>Permeability (</w:t>
            </w:r>
            <w:proofErr w:type="spellStart"/>
            <w:r w:rsidRPr="006862D4">
              <w:rPr>
                <w:rFonts w:cs="Times New Roman"/>
                <w:color w:val="auto"/>
              </w:rPr>
              <w:t>mD</w:t>
            </w:r>
            <w:proofErr w:type="spellEnd"/>
            <w:r w:rsidRPr="006862D4">
              <w:rPr>
                <w:rFonts w:cs="Times New Roman"/>
                <w:color w:val="auto"/>
              </w:rPr>
              <w:t>)</w:t>
            </w:r>
          </w:p>
        </w:tc>
        <w:tc>
          <w:tcPr>
            <w:tcW w:w="2160" w:type="dxa"/>
          </w:tcPr>
          <w:p w14:paraId="2E05FAC8" w14:textId="77777777" w:rsidR="00E32EFA" w:rsidRPr="006862D4" w:rsidRDefault="00E32EFA" w:rsidP="006862D4">
            <w:pPr>
              <w:spacing w:after="0"/>
              <w:rPr>
                <w:rFonts w:cs="Times New Roman"/>
                <w:color w:val="auto"/>
              </w:rPr>
            </w:pPr>
            <w:proofErr w:type="spellStart"/>
            <w:r w:rsidRPr="006862D4">
              <w:rPr>
                <w:rFonts w:cs="Times New Roman"/>
                <w:color w:val="auto"/>
              </w:rPr>
              <w:t>logK</w:t>
            </w:r>
            <w:proofErr w:type="spellEnd"/>
          </w:p>
        </w:tc>
      </w:tr>
      <w:tr w:rsidR="006862D4" w:rsidRPr="006862D4" w14:paraId="4D33C855" w14:textId="77777777">
        <w:tc>
          <w:tcPr>
            <w:tcW w:w="2160" w:type="dxa"/>
          </w:tcPr>
          <w:p w14:paraId="67626AB4" w14:textId="77777777" w:rsidR="00E32EFA" w:rsidRPr="006862D4" w:rsidRDefault="00E32EFA" w:rsidP="006862D4">
            <w:pPr>
              <w:spacing w:after="0"/>
              <w:rPr>
                <w:rFonts w:cs="Times New Roman"/>
                <w:color w:val="auto"/>
              </w:rPr>
            </w:pPr>
            <w:r w:rsidRPr="006862D4">
              <w:rPr>
                <w:rFonts w:cs="Times New Roman"/>
                <w:color w:val="auto"/>
              </w:rPr>
              <w:t>0</w:t>
            </w:r>
          </w:p>
        </w:tc>
        <w:tc>
          <w:tcPr>
            <w:tcW w:w="2160" w:type="dxa"/>
          </w:tcPr>
          <w:p w14:paraId="45A464F7" w14:textId="77777777" w:rsidR="00E32EFA" w:rsidRPr="006862D4" w:rsidRDefault="00E32EFA" w:rsidP="006862D4">
            <w:pPr>
              <w:spacing w:after="0"/>
              <w:rPr>
                <w:rFonts w:cs="Times New Roman"/>
                <w:color w:val="auto"/>
              </w:rPr>
            </w:pPr>
            <w:r w:rsidRPr="006862D4">
              <w:rPr>
                <w:rFonts w:cs="Times New Roman"/>
                <w:color w:val="auto"/>
              </w:rPr>
              <w:t>11.9769</w:t>
            </w:r>
          </w:p>
        </w:tc>
        <w:tc>
          <w:tcPr>
            <w:tcW w:w="2160" w:type="dxa"/>
          </w:tcPr>
          <w:p w14:paraId="4EC22EF2" w14:textId="77777777" w:rsidR="00E32EFA" w:rsidRPr="006862D4" w:rsidRDefault="00E32EFA" w:rsidP="006862D4">
            <w:pPr>
              <w:spacing w:after="0"/>
              <w:rPr>
                <w:rFonts w:cs="Times New Roman"/>
                <w:color w:val="auto"/>
              </w:rPr>
            </w:pPr>
            <w:r w:rsidRPr="006862D4">
              <w:rPr>
                <w:rFonts w:cs="Times New Roman"/>
                <w:color w:val="auto"/>
              </w:rPr>
              <w:t>38.3188</w:t>
            </w:r>
          </w:p>
        </w:tc>
        <w:tc>
          <w:tcPr>
            <w:tcW w:w="2160" w:type="dxa"/>
          </w:tcPr>
          <w:p w14:paraId="0A8FE43E" w14:textId="77777777" w:rsidR="00E32EFA" w:rsidRPr="006862D4" w:rsidRDefault="00E32EFA" w:rsidP="006862D4">
            <w:pPr>
              <w:spacing w:after="0"/>
              <w:rPr>
                <w:rFonts w:cs="Times New Roman"/>
                <w:color w:val="auto"/>
              </w:rPr>
            </w:pPr>
            <w:r w:rsidRPr="006862D4">
              <w:rPr>
                <w:rFonts w:cs="Times New Roman"/>
                <w:color w:val="auto"/>
              </w:rPr>
              <w:t>1.5339</w:t>
            </w:r>
          </w:p>
        </w:tc>
      </w:tr>
      <w:tr w:rsidR="006862D4" w:rsidRPr="006862D4" w14:paraId="2505A813" w14:textId="77777777">
        <w:tc>
          <w:tcPr>
            <w:tcW w:w="2160" w:type="dxa"/>
          </w:tcPr>
          <w:p w14:paraId="56994C5B" w14:textId="77777777" w:rsidR="00E32EFA" w:rsidRPr="006862D4" w:rsidRDefault="00E32EFA" w:rsidP="006862D4">
            <w:pPr>
              <w:spacing w:after="0"/>
              <w:rPr>
                <w:rFonts w:cs="Times New Roman"/>
                <w:color w:val="auto"/>
              </w:rPr>
            </w:pPr>
            <w:r w:rsidRPr="006862D4">
              <w:rPr>
                <w:rFonts w:cs="Times New Roman"/>
                <w:color w:val="auto"/>
              </w:rPr>
              <w:t>1</w:t>
            </w:r>
          </w:p>
        </w:tc>
        <w:tc>
          <w:tcPr>
            <w:tcW w:w="2160" w:type="dxa"/>
          </w:tcPr>
          <w:p w14:paraId="521312FA" w14:textId="77777777" w:rsidR="00E32EFA" w:rsidRPr="006862D4" w:rsidRDefault="00E32EFA" w:rsidP="006862D4">
            <w:pPr>
              <w:spacing w:after="0"/>
              <w:rPr>
                <w:rFonts w:cs="Times New Roman"/>
                <w:color w:val="auto"/>
              </w:rPr>
            </w:pPr>
            <w:r w:rsidRPr="006862D4">
              <w:rPr>
                <w:rFonts w:cs="Times New Roman"/>
                <w:color w:val="auto"/>
              </w:rPr>
              <w:t>20.7213</w:t>
            </w:r>
          </w:p>
        </w:tc>
        <w:tc>
          <w:tcPr>
            <w:tcW w:w="2160" w:type="dxa"/>
          </w:tcPr>
          <w:p w14:paraId="40CBEB72" w14:textId="77777777" w:rsidR="00E32EFA" w:rsidRPr="006862D4" w:rsidRDefault="00E32EFA" w:rsidP="006862D4">
            <w:pPr>
              <w:spacing w:after="0"/>
              <w:rPr>
                <w:rFonts w:cs="Times New Roman"/>
                <w:color w:val="auto"/>
              </w:rPr>
            </w:pPr>
            <w:r w:rsidRPr="006862D4">
              <w:rPr>
                <w:rFonts w:cs="Times New Roman"/>
                <w:color w:val="auto"/>
              </w:rPr>
              <w:t>55.6695</w:t>
            </w:r>
          </w:p>
        </w:tc>
        <w:tc>
          <w:tcPr>
            <w:tcW w:w="2160" w:type="dxa"/>
          </w:tcPr>
          <w:p w14:paraId="6A143A18" w14:textId="77777777" w:rsidR="00E32EFA" w:rsidRPr="006862D4" w:rsidRDefault="00E32EFA" w:rsidP="006862D4">
            <w:pPr>
              <w:spacing w:after="0"/>
              <w:rPr>
                <w:rFonts w:cs="Times New Roman"/>
                <w:color w:val="auto"/>
              </w:rPr>
            </w:pPr>
            <w:r w:rsidRPr="006862D4">
              <w:rPr>
                <w:rFonts w:cs="Times New Roman"/>
                <w:color w:val="auto"/>
              </w:rPr>
              <w:t>1.6858</w:t>
            </w:r>
          </w:p>
        </w:tc>
      </w:tr>
      <w:tr w:rsidR="006862D4" w:rsidRPr="006862D4" w14:paraId="265A931F" w14:textId="77777777">
        <w:tc>
          <w:tcPr>
            <w:tcW w:w="2160" w:type="dxa"/>
          </w:tcPr>
          <w:p w14:paraId="650DB652" w14:textId="77777777" w:rsidR="00E32EFA" w:rsidRPr="006862D4" w:rsidRDefault="00E32EFA" w:rsidP="006862D4">
            <w:pPr>
              <w:spacing w:after="0"/>
              <w:rPr>
                <w:rFonts w:cs="Times New Roman"/>
                <w:color w:val="auto"/>
              </w:rPr>
            </w:pPr>
            <w:r w:rsidRPr="006862D4">
              <w:rPr>
                <w:rFonts w:cs="Times New Roman"/>
                <w:color w:val="auto"/>
              </w:rPr>
              <w:t>2</w:t>
            </w:r>
          </w:p>
        </w:tc>
        <w:tc>
          <w:tcPr>
            <w:tcW w:w="2160" w:type="dxa"/>
          </w:tcPr>
          <w:p w14:paraId="5A184453" w14:textId="77777777" w:rsidR="00E32EFA" w:rsidRPr="006862D4" w:rsidRDefault="00E32EFA" w:rsidP="006862D4">
            <w:pPr>
              <w:spacing w:after="0"/>
              <w:rPr>
                <w:rFonts w:cs="Times New Roman"/>
                <w:color w:val="auto"/>
              </w:rPr>
            </w:pPr>
            <w:r w:rsidRPr="006862D4">
              <w:rPr>
                <w:rFonts w:cs="Times New Roman"/>
                <w:color w:val="auto"/>
              </w:rPr>
              <w:t>5.0747</w:t>
            </w:r>
          </w:p>
        </w:tc>
        <w:tc>
          <w:tcPr>
            <w:tcW w:w="2160" w:type="dxa"/>
          </w:tcPr>
          <w:p w14:paraId="70020A80" w14:textId="77777777" w:rsidR="00E32EFA" w:rsidRPr="006862D4" w:rsidRDefault="00E32EFA" w:rsidP="006862D4">
            <w:pPr>
              <w:spacing w:after="0"/>
              <w:rPr>
                <w:rFonts w:cs="Times New Roman"/>
                <w:color w:val="auto"/>
              </w:rPr>
            </w:pPr>
            <w:r w:rsidRPr="006862D4">
              <w:rPr>
                <w:rFonts w:cs="Times New Roman"/>
                <w:color w:val="auto"/>
              </w:rPr>
              <w:t>14.0006</w:t>
            </w:r>
          </w:p>
        </w:tc>
        <w:tc>
          <w:tcPr>
            <w:tcW w:w="2160" w:type="dxa"/>
          </w:tcPr>
          <w:p w14:paraId="1959D55A" w14:textId="77777777" w:rsidR="00E32EFA" w:rsidRPr="006862D4" w:rsidRDefault="00E32EFA" w:rsidP="006862D4">
            <w:pPr>
              <w:spacing w:after="0"/>
              <w:rPr>
                <w:rFonts w:cs="Times New Roman"/>
                <w:color w:val="auto"/>
              </w:rPr>
            </w:pPr>
            <w:r w:rsidRPr="006862D4">
              <w:rPr>
                <w:rFonts w:cs="Times New Roman"/>
                <w:color w:val="auto"/>
              </w:rPr>
              <w:t>1.0781</w:t>
            </w:r>
          </w:p>
        </w:tc>
      </w:tr>
    </w:tbl>
    <w:p w14:paraId="646096CE" w14:textId="77777777" w:rsidR="00E32EFA" w:rsidRPr="006862D4" w:rsidRDefault="00E32EFA" w:rsidP="006862D4">
      <w:pPr>
        <w:spacing w:before="100" w:beforeAutospacing="1" w:after="0" w:line="240" w:lineRule="auto"/>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0A07D954" wp14:editId="0A7D7653">
            <wp:extent cx="3691932" cy="3223553"/>
            <wp:effectExtent l="19050" t="19050" r="22860" b="15240"/>
            <wp:docPr id="1249750621" name="Picture 8"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50621" name="Picture 8" descr="A graph with dot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08748" cy="3238235"/>
                    </a:xfrm>
                    <a:prstGeom prst="rect">
                      <a:avLst/>
                    </a:prstGeom>
                    <a:ln>
                      <a:solidFill>
                        <a:schemeClr val="tx1"/>
                      </a:solidFill>
                    </a:ln>
                  </pic:spPr>
                </pic:pic>
              </a:graphicData>
            </a:graphic>
          </wp:inline>
        </w:drawing>
      </w:r>
    </w:p>
    <w:p w14:paraId="68864715"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lastRenderedPageBreak/>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8</w:t>
      </w:r>
      <w:r w:rsidRPr="006862D4">
        <w:rPr>
          <w:rFonts w:cs="Times New Roman"/>
          <w:b/>
          <w:bCs/>
          <w:i w:val="0"/>
          <w:iCs w:val="0"/>
          <w:color w:val="auto"/>
        </w:rPr>
        <w:fldChar w:fldCharType="end"/>
      </w:r>
      <w:r w:rsidRPr="006862D4">
        <w:rPr>
          <w:rFonts w:cs="Times New Roman"/>
          <w:b/>
          <w:bCs/>
          <w:i w:val="0"/>
          <w:iCs w:val="0"/>
          <w:color w:val="auto"/>
        </w:rPr>
        <w:t xml:space="preserve"> ANN-predicted facies classification</w:t>
      </w:r>
    </w:p>
    <w:p w14:paraId="0261E034" w14:textId="77777777" w:rsidR="00E32EFA" w:rsidRPr="006862D4" w:rsidRDefault="00E32EFA" w:rsidP="006862D4">
      <w:pPr>
        <w:spacing w:after="0"/>
        <w:rPr>
          <w:rFonts w:cs="Times New Roman"/>
          <w:b/>
          <w:bCs/>
          <w:color w:val="auto"/>
        </w:rPr>
      </w:pPr>
    </w:p>
    <w:p w14:paraId="7FE2C9C2" w14:textId="77777777" w:rsidR="00E32EFA" w:rsidRPr="006862D4" w:rsidRDefault="00E32EFA" w:rsidP="006862D4">
      <w:pPr>
        <w:pStyle w:val="Caption"/>
        <w:keepNext/>
        <w:spacing w:after="0"/>
        <w:rPr>
          <w:rFonts w:cs="Times New Roman"/>
          <w:b/>
          <w:bCs/>
          <w:i w:val="0"/>
          <w:iCs w:val="0"/>
          <w:color w:val="auto"/>
        </w:rPr>
      </w:pPr>
      <w:r w:rsidRPr="006862D4">
        <w:rPr>
          <w:rFonts w:cs="Times New Roman"/>
          <w:b/>
          <w:bCs/>
          <w:i w:val="0"/>
          <w:iCs w:val="0"/>
          <w:color w:val="auto"/>
        </w:rPr>
        <w:t xml:space="preserve">Table </w:t>
      </w:r>
      <w:r w:rsidRPr="006862D4">
        <w:rPr>
          <w:rFonts w:cs="Times New Roman"/>
          <w:b/>
          <w:bCs/>
          <w:i w:val="0"/>
          <w:iCs w:val="0"/>
          <w:color w:val="auto"/>
        </w:rPr>
        <w:fldChar w:fldCharType="begin"/>
      </w:r>
      <w:r w:rsidRPr="006862D4">
        <w:rPr>
          <w:rFonts w:cs="Times New Roman"/>
          <w:b/>
          <w:bCs/>
          <w:i w:val="0"/>
          <w:iCs w:val="0"/>
          <w:color w:val="auto"/>
        </w:rPr>
        <w:instrText xml:space="preserve"> SEQ Table \* ARABIC </w:instrText>
      </w:r>
      <w:r w:rsidRPr="006862D4">
        <w:rPr>
          <w:rFonts w:cs="Times New Roman"/>
          <w:b/>
          <w:bCs/>
          <w:i w:val="0"/>
          <w:iCs w:val="0"/>
          <w:color w:val="auto"/>
        </w:rPr>
        <w:fldChar w:fldCharType="separate"/>
      </w:r>
      <w:r w:rsidRPr="006862D4">
        <w:rPr>
          <w:rFonts w:cs="Times New Roman"/>
          <w:b/>
          <w:bCs/>
          <w:i w:val="0"/>
          <w:iCs w:val="0"/>
          <w:noProof/>
          <w:color w:val="auto"/>
        </w:rPr>
        <w:t>2</w:t>
      </w:r>
      <w:r w:rsidRPr="006862D4">
        <w:rPr>
          <w:rFonts w:cs="Times New Roman"/>
          <w:b/>
          <w:bCs/>
          <w:i w:val="0"/>
          <w:iCs w:val="0"/>
          <w:color w:val="auto"/>
        </w:rPr>
        <w:fldChar w:fldCharType="end"/>
      </w:r>
      <w:r w:rsidRPr="006862D4">
        <w:rPr>
          <w:rFonts w:cs="Times New Roman"/>
          <w:b/>
          <w:bCs/>
          <w:i w:val="0"/>
          <w:iCs w:val="0"/>
          <w:color w:val="auto"/>
        </w:rPr>
        <w:t xml:space="preserve"> ANN classification report</w:t>
      </w:r>
    </w:p>
    <w:tbl>
      <w:tblPr>
        <w:tblStyle w:val="TableGrid"/>
        <w:tblW w:w="0" w:type="auto"/>
        <w:tblLook w:val="04A0" w:firstRow="1" w:lastRow="0" w:firstColumn="1" w:lastColumn="0" w:noHBand="0" w:noVBand="1"/>
      </w:tblPr>
      <w:tblGrid>
        <w:gridCol w:w="1728"/>
        <w:gridCol w:w="1728"/>
        <w:gridCol w:w="1728"/>
        <w:gridCol w:w="1728"/>
        <w:gridCol w:w="1728"/>
      </w:tblGrid>
      <w:tr w:rsidR="00E32EFA" w:rsidRPr="006862D4" w14:paraId="2814FB3C" w14:textId="77777777">
        <w:tc>
          <w:tcPr>
            <w:tcW w:w="1728" w:type="dxa"/>
          </w:tcPr>
          <w:p w14:paraId="3A631163"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Class</w:t>
            </w:r>
          </w:p>
        </w:tc>
        <w:tc>
          <w:tcPr>
            <w:tcW w:w="1728" w:type="dxa"/>
          </w:tcPr>
          <w:p w14:paraId="059EE1C1"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Precision</w:t>
            </w:r>
          </w:p>
        </w:tc>
        <w:tc>
          <w:tcPr>
            <w:tcW w:w="1728" w:type="dxa"/>
          </w:tcPr>
          <w:p w14:paraId="3B4753F9"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Recall</w:t>
            </w:r>
          </w:p>
        </w:tc>
        <w:tc>
          <w:tcPr>
            <w:tcW w:w="1728" w:type="dxa"/>
          </w:tcPr>
          <w:p w14:paraId="3A6D4D67"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F1-score</w:t>
            </w:r>
          </w:p>
        </w:tc>
        <w:tc>
          <w:tcPr>
            <w:tcW w:w="1728" w:type="dxa"/>
          </w:tcPr>
          <w:p w14:paraId="0E3F2902"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Support</w:t>
            </w:r>
          </w:p>
        </w:tc>
      </w:tr>
      <w:tr w:rsidR="006862D4" w:rsidRPr="006862D4" w14:paraId="6DF057BB" w14:textId="77777777">
        <w:tc>
          <w:tcPr>
            <w:tcW w:w="1728" w:type="dxa"/>
          </w:tcPr>
          <w:p w14:paraId="47F6E78A"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channel</w:t>
            </w:r>
          </w:p>
        </w:tc>
        <w:tc>
          <w:tcPr>
            <w:tcW w:w="1728" w:type="dxa"/>
          </w:tcPr>
          <w:p w14:paraId="661D828E"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0.64</w:t>
            </w:r>
          </w:p>
        </w:tc>
        <w:tc>
          <w:tcPr>
            <w:tcW w:w="1728" w:type="dxa"/>
          </w:tcPr>
          <w:p w14:paraId="1526713B"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0.64</w:t>
            </w:r>
          </w:p>
        </w:tc>
        <w:tc>
          <w:tcPr>
            <w:tcW w:w="1728" w:type="dxa"/>
          </w:tcPr>
          <w:p w14:paraId="7ED2B0A2"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0.64</w:t>
            </w:r>
          </w:p>
        </w:tc>
        <w:tc>
          <w:tcPr>
            <w:tcW w:w="1728" w:type="dxa"/>
          </w:tcPr>
          <w:p w14:paraId="73CF2CA3"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11</w:t>
            </w:r>
          </w:p>
        </w:tc>
      </w:tr>
      <w:tr w:rsidR="006862D4" w:rsidRPr="006862D4" w14:paraId="1E713985" w14:textId="77777777">
        <w:tc>
          <w:tcPr>
            <w:tcW w:w="1728" w:type="dxa"/>
          </w:tcPr>
          <w:p w14:paraId="38629E24"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crevasse splay</w:t>
            </w:r>
          </w:p>
        </w:tc>
        <w:tc>
          <w:tcPr>
            <w:tcW w:w="1728" w:type="dxa"/>
          </w:tcPr>
          <w:p w14:paraId="3A5992A3"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0.58</w:t>
            </w:r>
          </w:p>
        </w:tc>
        <w:tc>
          <w:tcPr>
            <w:tcW w:w="1728" w:type="dxa"/>
          </w:tcPr>
          <w:p w14:paraId="195B3C9A"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0.78</w:t>
            </w:r>
          </w:p>
        </w:tc>
        <w:tc>
          <w:tcPr>
            <w:tcW w:w="1728" w:type="dxa"/>
          </w:tcPr>
          <w:p w14:paraId="5C309B10"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0.67</w:t>
            </w:r>
          </w:p>
        </w:tc>
        <w:tc>
          <w:tcPr>
            <w:tcW w:w="1728" w:type="dxa"/>
          </w:tcPr>
          <w:p w14:paraId="4FB99AB7"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9</w:t>
            </w:r>
          </w:p>
        </w:tc>
      </w:tr>
      <w:tr w:rsidR="006862D4" w:rsidRPr="006862D4" w14:paraId="71D67AED" w14:textId="77777777">
        <w:tc>
          <w:tcPr>
            <w:tcW w:w="1728" w:type="dxa"/>
          </w:tcPr>
          <w:p w14:paraId="78B87163"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overbanks</w:t>
            </w:r>
          </w:p>
        </w:tc>
        <w:tc>
          <w:tcPr>
            <w:tcW w:w="1728" w:type="dxa"/>
          </w:tcPr>
          <w:p w14:paraId="56E2ED82"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0.00</w:t>
            </w:r>
          </w:p>
        </w:tc>
        <w:tc>
          <w:tcPr>
            <w:tcW w:w="1728" w:type="dxa"/>
          </w:tcPr>
          <w:p w14:paraId="5ABE6885"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0.00</w:t>
            </w:r>
          </w:p>
        </w:tc>
        <w:tc>
          <w:tcPr>
            <w:tcW w:w="1728" w:type="dxa"/>
          </w:tcPr>
          <w:p w14:paraId="55BC9D6B"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0.00</w:t>
            </w:r>
          </w:p>
        </w:tc>
        <w:tc>
          <w:tcPr>
            <w:tcW w:w="1728" w:type="dxa"/>
          </w:tcPr>
          <w:p w14:paraId="3FEFE950"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3</w:t>
            </w:r>
          </w:p>
        </w:tc>
      </w:tr>
      <w:tr w:rsidR="006862D4" w:rsidRPr="006862D4" w14:paraId="4806E72A" w14:textId="77777777">
        <w:tc>
          <w:tcPr>
            <w:tcW w:w="1728" w:type="dxa"/>
          </w:tcPr>
          <w:p w14:paraId="4C36C045"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accuracy</w:t>
            </w:r>
          </w:p>
        </w:tc>
        <w:tc>
          <w:tcPr>
            <w:tcW w:w="1728" w:type="dxa"/>
          </w:tcPr>
          <w:p w14:paraId="6B7AFFBD"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w:t>
            </w:r>
          </w:p>
        </w:tc>
        <w:tc>
          <w:tcPr>
            <w:tcW w:w="1728" w:type="dxa"/>
          </w:tcPr>
          <w:p w14:paraId="68B1EC58"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w:t>
            </w:r>
          </w:p>
        </w:tc>
        <w:tc>
          <w:tcPr>
            <w:tcW w:w="1728" w:type="dxa"/>
          </w:tcPr>
          <w:p w14:paraId="0CC4E163"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0.61</w:t>
            </w:r>
          </w:p>
        </w:tc>
        <w:tc>
          <w:tcPr>
            <w:tcW w:w="1728" w:type="dxa"/>
          </w:tcPr>
          <w:p w14:paraId="78073847"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23</w:t>
            </w:r>
          </w:p>
        </w:tc>
      </w:tr>
      <w:tr w:rsidR="006862D4" w:rsidRPr="006862D4" w14:paraId="20996C31" w14:textId="77777777">
        <w:tc>
          <w:tcPr>
            <w:tcW w:w="1728" w:type="dxa"/>
          </w:tcPr>
          <w:p w14:paraId="4BDF1B56"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macro avg</w:t>
            </w:r>
          </w:p>
        </w:tc>
        <w:tc>
          <w:tcPr>
            <w:tcW w:w="1728" w:type="dxa"/>
          </w:tcPr>
          <w:p w14:paraId="49288D5B"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0.41</w:t>
            </w:r>
          </w:p>
        </w:tc>
        <w:tc>
          <w:tcPr>
            <w:tcW w:w="1728" w:type="dxa"/>
          </w:tcPr>
          <w:p w14:paraId="33C3B11A"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0.47</w:t>
            </w:r>
          </w:p>
        </w:tc>
        <w:tc>
          <w:tcPr>
            <w:tcW w:w="1728" w:type="dxa"/>
          </w:tcPr>
          <w:p w14:paraId="756E1280"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0.43</w:t>
            </w:r>
          </w:p>
        </w:tc>
        <w:tc>
          <w:tcPr>
            <w:tcW w:w="1728" w:type="dxa"/>
          </w:tcPr>
          <w:p w14:paraId="1AC8B376"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23</w:t>
            </w:r>
          </w:p>
        </w:tc>
      </w:tr>
      <w:tr w:rsidR="006862D4" w:rsidRPr="006862D4" w14:paraId="203257B6" w14:textId="77777777">
        <w:tc>
          <w:tcPr>
            <w:tcW w:w="1728" w:type="dxa"/>
          </w:tcPr>
          <w:p w14:paraId="38D861BA"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weighted avg</w:t>
            </w:r>
          </w:p>
        </w:tc>
        <w:tc>
          <w:tcPr>
            <w:tcW w:w="1728" w:type="dxa"/>
          </w:tcPr>
          <w:p w14:paraId="6029F2D0"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0.53</w:t>
            </w:r>
          </w:p>
        </w:tc>
        <w:tc>
          <w:tcPr>
            <w:tcW w:w="1728" w:type="dxa"/>
          </w:tcPr>
          <w:p w14:paraId="4454F206"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0.61</w:t>
            </w:r>
          </w:p>
        </w:tc>
        <w:tc>
          <w:tcPr>
            <w:tcW w:w="1728" w:type="dxa"/>
          </w:tcPr>
          <w:p w14:paraId="09D5AF91"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0.57</w:t>
            </w:r>
          </w:p>
        </w:tc>
        <w:tc>
          <w:tcPr>
            <w:tcW w:w="1728" w:type="dxa"/>
          </w:tcPr>
          <w:p w14:paraId="65BD09EB" w14:textId="77777777" w:rsidR="00E32EFA" w:rsidRPr="006862D4" w:rsidRDefault="00E32EFA" w:rsidP="006862D4">
            <w:pPr>
              <w:spacing w:after="0"/>
              <w:rPr>
                <w:rFonts w:eastAsia="MS Mincho" w:cs="Times New Roman"/>
                <w:color w:val="auto"/>
                <w:sz w:val="22"/>
              </w:rPr>
            </w:pPr>
            <w:r w:rsidRPr="006862D4">
              <w:rPr>
                <w:rFonts w:eastAsia="MS Mincho" w:cs="Times New Roman"/>
                <w:color w:val="auto"/>
                <w:sz w:val="22"/>
              </w:rPr>
              <w:t>23</w:t>
            </w:r>
          </w:p>
        </w:tc>
      </w:tr>
    </w:tbl>
    <w:p w14:paraId="465BA4B4" w14:textId="77777777" w:rsidR="00E32EFA" w:rsidRPr="006862D4" w:rsidRDefault="00E32EFA" w:rsidP="006862D4">
      <w:pPr>
        <w:spacing w:after="0"/>
        <w:rPr>
          <w:rFonts w:cs="Times New Roman"/>
          <w:color w:val="auto"/>
        </w:rPr>
      </w:pPr>
    </w:p>
    <w:p w14:paraId="63B91081" w14:textId="1FC73B42" w:rsidR="00855482" w:rsidRPr="006862D4" w:rsidRDefault="006E0754" w:rsidP="006862D4">
      <w:pPr>
        <w:spacing w:after="0"/>
        <w:rPr>
          <w:rFonts w:cs="Times New Roman"/>
        </w:rPr>
      </w:pPr>
      <w:r w:rsidRPr="006862D4">
        <w:rPr>
          <w:rFonts w:cs="Times New Roman"/>
        </w:rPr>
        <w:t xml:space="preserve">The core-derived porosity and permeability data give direct information about the quality of the reservoir at the plug scale. </w:t>
      </w:r>
      <w:r w:rsidRPr="006862D4">
        <w:rPr>
          <w:rFonts w:cs="Times New Roman"/>
          <w:b/>
          <w:bCs/>
        </w:rPr>
        <w:t>Figure 1</w:t>
      </w:r>
      <w:r w:rsidRPr="006862D4">
        <w:rPr>
          <w:rFonts w:cs="Times New Roman"/>
        </w:rPr>
        <w:t xml:space="preserve"> is a scatter plot depicting that the relationship between porosity and permeability is generally positive with higher pore volume samples having higher flow capacity. Nevertheless, the dispersion of the data also demonstrates high heterogeneity which is typical of the fluvial depositional systems. Facies are important in the explanation of this variability</w:t>
      </w:r>
      <w:r w:rsidR="000C7563" w:rsidRPr="006862D4">
        <w:rPr>
          <w:rFonts w:cs="Times New Roman"/>
        </w:rPr>
        <w:t xml:space="preserve"> </w:t>
      </w:r>
      <w:r w:rsidR="000C7563" w:rsidRPr="006862D4">
        <w:rPr>
          <w:rFonts w:cs="Times New Roman"/>
        </w:rPr>
        <w:fldChar w:fldCharType="begin"/>
      </w:r>
      <w:r w:rsidR="000C7563" w:rsidRPr="006862D4">
        <w:rPr>
          <w:rFonts w:cs="Times New Roman"/>
        </w:rPr>
        <w:instrText xml:space="preserve"> ADDIN EN.CITE &lt;EndNote&gt;&lt;Cite&gt;&lt;Author&gt;Katz&lt;/Author&gt;&lt;Year&gt;1986&lt;/Year&gt;&lt;RecNum&gt;367&lt;/RecNum&gt;&lt;DisplayText&gt;(Katz and Thompson 1986)&lt;/DisplayText&gt;&lt;record&gt;&lt;rec-number&gt;367&lt;/rec-number&gt;&lt;foreign-keys&gt;&lt;key app="EN" db-id="0vfw2fpzoxwz04etwpuvvdxv5vdp5de5avv9" timestamp="1763441891"&gt;367&lt;/key&gt;&lt;/foreign-keys&gt;&lt;ref-type name="Journal Article"&gt;17&lt;/ref-type&gt;&lt;contributors&gt;&lt;authors&gt;&lt;author&gt;Katz, AJ&lt;/author&gt;&lt;author&gt;Thompson, AH&lt;/author&gt;&lt;/authors&gt;&lt;/contributors&gt;&lt;titles&gt;&lt;title&gt;Quantitative prediction of permeability in porous rock&lt;/title&gt;&lt;secondary-title&gt;Physical review B&lt;/secondary-title&gt;&lt;/titles&gt;&lt;periodical&gt;&lt;full-title&gt;Physical review B&lt;/full-title&gt;&lt;/periodical&gt;&lt;pages&gt;8179&lt;/pages&gt;&lt;volume&gt;34&lt;/volume&gt;&lt;number&gt;11&lt;/number&gt;&lt;dates&gt;&lt;year&gt;1986&lt;/year&gt;&lt;/dates&gt;&lt;urls&gt;&lt;/urls&gt;&lt;/record&gt;&lt;/Cite&gt;&lt;/EndNote&gt;</w:instrText>
      </w:r>
      <w:r w:rsidR="000C7563" w:rsidRPr="006862D4">
        <w:rPr>
          <w:rFonts w:cs="Times New Roman"/>
        </w:rPr>
        <w:fldChar w:fldCharType="separate"/>
      </w:r>
      <w:r w:rsidR="000C7563" w:rsidRPr="006862D4">
        <w:rPr>
          <w:rFonts w:cs="Times New Roman"/>
          <w:noProof/>
        </w:rPr>
        <w:t>(Katz and Thompson 1986)</w:t>
      </w:r>
      <w:r w:rsidR="000C7563" w:rsidRPr="006862D4">
        <w:rPr>
          <w:rFonts w:cs="Times New Roman"/>
        </w:rPr>
        <w:fldChar w:fldCharType="end"/>
      </w:r>
      <w:r w:rsidRPr="006862D4">
        <w:rPr>
          <w:rFonts w:cs="Times New Roman"/>
        </w:rPr>
        <w:t xml:space="preserve">. </w:t>
      </w:r>
      <w:r w:rsidRPr="006862D4">
        <w:rPr>
          <w:rFonts w:cs="Times New Roman"/>
          <w:b/>
          <w:bCs/>
        </w:rPr>
        <w:t>Figure 2</w:t>
      </w:r>
      <w:r w:rsidRPr="006862D4">
        <w:rPr>
          <w:rFonts w:cs="Times New Roman"/>
        </w:rPr>
        <w:t xml:space="preserve"> shows that the channel samples are concentrated around the larger range of porosity and permeability, with the samples of overbank occupying the lower-quality area. In between fall </w:t>
      </w:r>
      <w:proofErr w:type="gramStart"/>
      <w:r w:rsidRPr="006862D4">
        <w:rPr>
          <w:rFonts w:cs="Times New Roman"/>
        </w:rPr>
        <w:t>crevasse splay</w:t>
      </w:r>
      <w:proofErr w:type="gramEnd"/>
      <w:r w:rsidRPr="006862D4">
        <w:rPr>
          <w:rFonts w:cs="Times New Roman"/>
        </w:rPr>
        <w:t xml:space="preserve"> samples. This distribution </w:t>
      </w:r>
      <w:proofErr w:type="gramStart"/>
      <w:r w:rsidRPr="006862D4">
        <w:rPr>
          <w:rFonts w:cs="Times New Roman"/>
        </w:rPr>
        <w:t>is in agreement</w:t>
      </w:r>
      <w:proofErr w:type="gramEnd"/>
      <w:r w:rsidRPr="006862D4">
        <w:rPr>
          <w:rFonts w:cs="Times New Roman"/>
        </w:rPr>
        <w:t xml:space="preserve"> with the geology of reservoirs, in which the channel sands tend to be more sorted and to have more connected pore spaces than plants composed of smaller </w:t>
      </w:r>
      <w:proofErr w:type="gramStart"/>
      <w:r w:rsidRPr="006862D4">
        <w:rPr>
          <w:rFonts w:cs="Times New Roman"/>
        </w:rPr>
        <w:t>grains</w:t>
      </w:r>
      <w:r w:rsidR="00EB265E" w:rsidRPr="006862D4">
        <w:rPr>
          <w:rFonts w:cs="Times New Roman"/>
        </w:rPr>
        <w:t xml:space="preserve"> </w:t>
      </w:r>
      <w:r w:rsidRPr="006862D4">
        <w:rPr>
          <w:rFonts w:cs="Times New Roman"/>
        </w:rPr>
        <w:t>.</w:t>
      </w:r>
      <w:proofErr w:type="gramEnd"/>
      <w:r w:rsidRPr="006862D4">
        <w:rPr>
          <w:rFonts w:cs="Times New Roman"/>
        </w:rPr>
        <w:t xml:space="preserve"> </w:t>
      </w:r>
      <w:r w:rsidRPr="006862D4">
        <w:rPr>
          <w:rFonts w:cs="Times New Roman"/>
          <w:b/>
          <w:bCs/>
        </w:rPr>
        <w:t>Figure 3</w:t>
      </w:r>
      <w:r w:rsidRPr="006862D4">
        <w:rPr>
          <w:rFonts w:cs="Times New Roman"/>
        </w:rPr>
        <w:t xml:space="preserve"> shows the use of the log-permeability because extremely high values of permeability skew the result, and a linear trend emerges better with the use of the log-permeability. This conversion enhances </w:t>
      </w:r>
      <w:proofErr w:type="spellStart"/>
      <w:r w:rsidRPr="006862D4">
        <w:rPr>
          <w:rFonts w:cs="Times New Roman"/>
        </w:rPr>
        <w:t>visualisation</w:t>
      </w:r>
      <w:proofErr w:type="spellEnd"/>
      <w:r w:rsidRPr="006862D4">
        <w:rPr>
          <w:rFonts w:cs="Times New Roman"/>
        </w:rPr>
        <w:t xml:space="preserve"> as well as modelling particularly on the regression and clustering tasks. Further heterogeneity is also depicted </w:t>
      </w:r>
      <w:proofErr w:type="gramStart"/>
      <w:r w:rsidRPr="006862D4">
        <w:rPr>
          <w:rFonts w:cs="Times New Roman"/>
        </w:rPr>
        <w:t>by the use of</w:t>
      </w:r>
      <w:proofErr w:type="gramEnd"/>
      <w:r w:rsidRPr="006862D4">
        <w:rPr>
          <w:rFonts w:cs="Times New Roman"/>
        </w:rPr>
        <w:t xml:space="preserve"> histogram analyses (</w:t>
      </w:r>
      <w:r w:rsidRPr="006862D4">
        <w:rPr>
          <w:rFonts w:cs="Times New Roman"/>
          <w:b/>
          <w:bCs/>
        </w:rPr>
        <w:t>Figures 4 and 5</w:t>
      </w:r>
      <w:r w:rsidRPr="006862D4">
        <w:rPr>
          <w:rFonts w:cs="Times New Roman"/>
        </w:rPr>
        <w:t xml:space="preserve">). Porosity is skewed to </w:t>
      </w:r>
      <w:proofErr w:type="gramStart"/>
      <w:r w:rsidRPr="006862D4">
        <w:rPr>
          <w:rFonts w:cs="Times New Roman"/>
        </w:rPr>
        <w:t>moderate</w:t>
      </w:r>
      <w:proofErr w:type="gramEnd"/>
      <w:r w:rsidRPr="006862D4">
        <w:rPr>
          <w:rFonts w:cs="Times New Roman"/>
        </w:rPr>
        <w:t xml:space="preserve"> and this indicates the existence of more than one population of facies. Permeability has far more positive </w:t>
      </w:r>
      <w:proofErr w:type="gramStart"/>
      <w:r w:rsidRPr="006862D4">
        <w:rPr>
          <w:rFonts w:cs="Times New Roman"/>
        </w:rPr>
        <w:t>skew</w:t>
      </w:r>
      <w:proofErr w:type="gramEnd"/>
      <w:r w:rsidRPr="006862D4">
        <w:rPr>
          <w:rFonts w:cs="Times New Roman"/>
        </w:rPr>
        <w:t xml:space="preserve"> and tends to have a long high-value tail, as is typical of situations where a small number of well-sorted sandy intervals control flow. Figure 6 shows that the linear regression gave rise to a moderate correlation between porosity and log-permeability. This confirms the notion that in mixed lithologies, porosity cannot be used to purely predict flow </w:t>
      </w:r>
      <w:proofErr w:type="spellStart"/>
      <w:r w:rsidRPr="006862D4">
        <w:rPr>
          <w:rFonts w:cs="Times New Roman"/>
        </w:rPr>
        <w:t>behaviour</w:t>
      </w:r>
      <w:proofErr w:type="spellEnd"/>
      <w:r w:rsidRPr="006862D4">
        <w:rPr>
          <w:rFonts w:cs="Times New Roman"/>
        </w:rPr>
        <w:t xml:space="preserve">. Using K-means clustering </w:t>
      </w:r>
      <w:r w:rsidRPr="006862D4">
        <w:rPr>
          <w:rFonts w:cs="Times New Roman"/>
          <w:b/>
          <w:bCs/>
        </w:rPr>
        <w:t xml:space="preserve">(Figure 7 and Table 1) </w:t>
      </w:r>
      <w:r w:rsidRPr="006862D4">
        <w:rPr>
          <w:rFonts w:cs="Times New Roman"/>
        </w:rPr>
        <w:t>is effective in separating the data in terms of three classes of quality.</w:t>
      </w:r>
    </w:p>
    <w:p w14:paraId="7CCEAEBA" w14:textId="07FAEBAC" w:rsidR="00855482" w:rsidRPr="006862D4" w:rsidRDefault="00855482" w:rsidP="006862D4">
      <w:pPr>
        <w:spacing w:after="0"/>
        <w:rPr>
          <w:rFonts w:cs="Times New Roman"/>
        </w:rPr>
      </w:pPr>
      <w:r w:rsidRPr="006862D4">
        <w:rPr>
          <w:rFonts w:cs="Times New Roman"/>
        </w:rPr>
        <w:t xml:space="preserve">The K-means algorithm automatically formed three distinct clusters of core measurements that indicate reservoir quality differences. The best cluster has samples that have porosity of about 20.72 percent and permeability of about 55.67 </w:t>
      </w:r>
      <w:proofErr w:type="spellStart"/>
      <w:r w:rsidRPr="006862D4">
        <w:rPr>
          <w:rFonts w:cs="Times New Roman"/>
        </w:rPr>
        <w:t>mD</w:t>
      </w:r>
      <w:proofErr w:type="spellEnd"/>
      <w:r w:rsidRPr="006862D4">
        <w:rPr>
          <w:rFonts w:cs="Times New Roman"/>
        </w:rPr>
        <w:t xml:space="preserve">, which is in line with well-sorted and clean sands. The poor sorting or tight packing is observed by the medium-quality cluster with the porosity nearer to 11.98 percent. The most quality cluster has the tightest samples, and the porosity and permeability of approximately 5.07 percent and around 14.00 </w:t>
      </w:r>
      <w:proofErr w:type="spellStart"/>
      <w:r w:rsidRPr="006862D4">
        <w:rPr>
          <w:rFonts w:cs="Times New Roman"/>
        </w:rPr>
        <w:t>mD</w:t>
      </w:r>
      <w:proofErr w:type="spellEnd"/>
      <w:r w:rsidRPr="006862D4">
        <w:rPr>
          <w:rFonts w:cs="Times New Roman"/>
        </w:rPr>
        <w:t xml:space="preserve"> are the closest ones</w:t>
      </w:r>
      <w:r w:rsidR="00A614FF" w:rsidRPr="006862D4">
        <w:rPr>
          <w:rFonts w:cs="Times New Roman"/>
        </w:rPr>
        <w:t xml:space="preserve"> </w:t>
      </w:r>
      <w:r w:rsidR="00A614FF" w:rsidRPr="006862D4">
        <w:rPr>
          <w:rFonts w:cs="Times New Roman"/>
        </w:rPr>
        <w:fldChar w:fldCharType="begin"/>
      </w:r>
      <w:r w:rsidR="00A614FF" w:rsidRPr="006862D4">
        <w:rPr>
          <w:rFonts w:cs="Times New Roman"/>
        </w:rPr>
        <w:instrText xml:space="preserve"> ADDIN EN.CITE &lt;EndNote&gt;&lt;Cite&gt;&lt;Author&gt;Ma&lt;/Author&gt;&lt;Year&gt;1996&lt;/Year&gt;&lt;RecNum&gt;368&lt;/RecNum&gt;&lt;DisplayText&gt;(Ma and Morrow 1996)&lt;/DisplayText&gt;&lt;record&gt;&lt;rec-number&gt;368&lt;/rec-number&gt;&lt;foreign-keys&gt;&lt;key app="EN" db-id="0vfw2fpzoxwz04etwpuvvdxv5vdp5de5avv9" timestamp="1763443096"&gt;368&lt;/key&gt;&lt;/foreign-keys&gt;&lt;ref-type name="Conference Proceedings"&gt;10&lt;/ref-type&gt;&lt;contributors&gt;&lt;authors&gt;&lt;author&gt;Ma, Shouxiang&lt;/author&gt;&lt;author&gt;Morrow, Norman R&lt;/author&gt;&lt;/authors&gt;&lt;/contributors&gt;&lt;titles&gt;&lt;title&gt;Relationships between porosity and permeability for porous rocks&lt;/title&gt;&lt;secondary-title&gt;International symposium of the Society of Core Analysts&lt;/secondary-title&gt;&lt;/titles&gt;&lt;pages&gt;8-10&lt;/pages&gt;&lt;dates&gt;&lt;year&gt;1996&lt;/year&gt;&lt;/dates&gt;&lt;publisher&gt;Montpelier France&lt;/publisher&gt;&lt;urls&gt;&lt;/urls&gt;&lt;/record&gt;&lt;/Cite&gt;&lt;/EndNote&gt;</w:instrText>
      </w:r>
      <w:r w:rsidR="00A614FF" w:rsidRPr="006862D4">
        <w:rPr>
          <w:rFonts w:cs="Times New Roman"/>
        </w:rPr>
        <w:fldChar w:fldCharType="separate"/>
      </w:r>
      <w:r w:rsidR="00A614FF" w:rsidRPr="006862D4">
        <w:rPr>
          <w:rFonts w:cs="Times New Roman"/>
          <w:noProof/>
        </w:rPr>
        <w:t>(Ma and Morrow 1996)</w:t>
      </w:r>
      <w:r w:rsidR="00A614FF" w:rsidRPr="006862D4">
        <w:rPr>
          <w:rFonts w:cs="Times New Roman"/>
        </w:rPr>
        <w:fldChar w:fldCharType="end"/>
      </w:r>
      <w:r w:rsidRPr="006862D4">
        <w:rPr>
          <w:rFonts w:cs="Times New Roman"/>
        </w:rPr>
        <w:t>.</w:t>
      </w:r>
      <w:r w:rsidRPr="006862D4">
        <w:rPr>
          <w:rFonts w:cs="Times New Roman"/>
        </w:rPr>
        <w:t xml:space="preserve"> </w:t>
      </w:r>
    </w:p>
    <w:p w14:paraId="4EFDD2AD" w14:textId="483F2257" w:rsidR="006E0754" w:rsidRPr="006862D4" w:rsidRDefault="006E0754" w:rsidP="006862D4">
      <w:pPr>
        <w:spacing w:after="0"/>
        <w:rPr>
          <w:rFonts w:eastAsia="Times New Roman" w:cs="Times New Roman"/>
          <w:szCs w:val="24"/>
        </w:rPr>
      </w:pPr>
      <w:r w:rsidRPr="006862D4">
        <w:rPr>
          <w:rFonts w:eastAsia="Times New Roman" w:cs="Times New Roman"/>
          <w:szCs w:val="24"/>
        </w:rPr>
        <w:t xml:space="preserve">These statistically obtained clusters are in agreeable correlation with the anticipated facies trend which lends more credibility to the workflow. The ANN facies classifier </w:t>
      </w:r>
      <w:r w:rsidRPr="006862D4">
        <w:rPr>
          <w:rFonts w:eastAsia="Times New Roman" w:cs="Times New Roman"/>
          <w:b/>
          <w:bCs/>
          <w:szCs w:val="24"/>
        </w:rPr>
        <w:t>(Figure 8 and Table 2)</w:t>
      </w:r>
      <w:r w:rsidRPr="006862D4">
        <w:rPr>
          <w:rFonts w:eastAsia="Times New Roman" w:cs="Times New Roman"/>
          <w:szCs w:val="24"/>
        </w:rPr>
        <w:t xml:space="preserve"> </w:t>
      </w:r>
      <w:r w:rsidRPr="006862D4">
        <w:rPr>
          <w:rFonts w:eastAsia="Times New Roman" w:cs="Times New Roman"/>
          <w:szCs w:val="24"/>
        </w:rPr>
        <w:lastRenderedPageBreak/>
        <w:t xml:space="preserve">had a total accuracy of 61 percent. The model works well on channel and crevasse-slay facies and poor on overbank samples because of their limited representation by the data. This disproportion influences recall and this means that more sampling or class balancing methods should be used to enhance model </w:t>
      </w:r>
      <w:proofErr w:type="spellStart"/>
      <w:r w:rsidR="00A614FF" w:rsidRPr="006862D4">
        <w:rPr>
          <w:rFonts w:eastAsia="Times New Roman" w:cs="Times New Roman"/>
          <w:szCs w:val="24"/>
        </w:rPr>
        <w:t>robustness</w:t>
      </w:r>
      <w:r w:rsidRPr="006862D4">
        <w:rPr>
          <w:rFonts w:eastAsia="Times New Roman" w:cs="Times New Roman"/>
          <w:szCs w:val="24"/>
        </w:rPr>
        <w:t>s</w:t>
      </w:r>
      <w:proofErr w:type="spellEnd"/>
      <w:r w:rsidR="00A614FF" w:rsidRPr="006862D4">
        <w:rPr>
          <w:rFonts w:eastAsia="Times New Roman" w:cs="Times New Roman"/>
          <w:szCs w:val="24"/>
        </w:rPr>
        <w:t xml:space="preserve"> </w:t>
      </w:r>
      <w:r w:rsidR="00A614FF" w:rsidRPr="006862D4">
        <w:rPr>
          <w:rFonts w:eastAsia="Times New Roman" w:cs="Times New Roman"/>
          <w:szCs w:val="24"/>
        </w:rPr>
        <w:fldChar w:fldCharType="begin"/>
      </w:r>
      <w:r w:rsidR="00A614FF" w:rsidRPr="006862D4">
        <w:rPr>
          <w:rFonts w:eastAsia="Times New Roman" w:cs="Times New Roman"/>
          <w:szCs w:val="24"/>
        </w:rPr>
        <w:instrText xml:space="preserve"> ADDIN EN.CITE &lt;EndNote&gt;&lt;Cite&gt;&lt;Author&gt;Parimontonsakul&lt;/Author&gt;&lt;Year&gt;2021&lt;/Year&gt;&lt;RecNum&gt;369&lt;/RecNum&gt;&lt;DisplayText&gt;(Parimontonsakul 2021)&lt;/DisplayText&gt;&lt;record&gt;&lt;rec-number&gt;369&lt;/rec-number&gt;&lt;foreign-keys&gt;&lt;key app="EN" db-id="0vfw2fpzoxwz04etwpuvvdxv5vdp5de5avv9" timestamp="1763443196"&gt;369&lt;/key&gt;&lt;/foreign-keys&gt;&lt;ref-type name="Thesis"&gt;32&lt;/ref-type&gt;&lt;contributors&gt;&lt;authors&gt;&lt;author&gt;Parimontonsakul, Monthep&lt;/author&gt;&lt;/authors&gt;&lt;/contributors&gt;&lt;titles&gt;&lt;title&gt;An Analytical Approach to Automate Stratigraphic Correlation using Well Logging Information&lt;/title&gt;&lt;/titles&gt;&lt;dates&gt;&lt;year&gt;2021&lt;/year&gt;&lt;/dates&gt;&lt;publisher&gt;Massachusetts Institute of Technology&lt;/publisher&gt;&lt;urls&gt;&lt;/urls&gt;&lt;/record&gt;&lt;/Cite&gt;&lt;/EndNote&gt;</w:instrText>
      </w:r>
      <w:r w:rsidR="00A614FF" w:rsidRPr="006862D4">
        <w:rPr>
          <w:rFonts w:eastAsia="Times New Roman" w:cs="Times New Roman"/>
          <w:szCs w:val="24"/>
        </w:rPr>
        <w:fldChar w:fldCharType="separate"/>
      </w:r>
      <w:r w:rsidR="00A614FF" w:rsidRPr="006862D4">
        <w:rPr>
          <w:rFonts w:eastAsia="Times New Roman" w:cs="Times New Roman"/>
          <w:noProof/>
          <w:szCs w:val="24"/>
        </w:rPr>
        <w:t>(Parimontonsakul 2021)</w:t>
      </w:r>
      <w:r w:rsidR="00A614FF" w:rsidRPr="006862D4">
        <w:rPr>
          <w:rFonts w:eastAsia="Times New Roman" w:cs="Times New Roman"/>
          <w:szCs w:val="24"/>
        </w:rPr>
        <w:fldChar w:fldCharType="end"/>
      </w:r>
      <w:r w:rsidRPr="006862D4">
        <w:rPr>
          <w:rFonts w:eastAsia="Times New Roman" w:cs="Times New Roman"/>
          <w:szCs w:val="24"/>
        </w:rPr>
        <w:t>.</w:t>
      </w:r>
    </w:p>
    <w:p w14:paraId="44CA6116" w14:textId="3D3A5AF1" w:rsidR="00E32EFA" w:rsidRPr="006862D4" w:rsidRDefault="00E32EFA" w:rsidP="006862D4">
      <w:pPr>
        <w:pStyle w:val="Heading2"/>
        <w:spacing w:after="0"/>
        <w:rPr>
          <w:rFonts w:eastAsia="Times New Roman" w:cs="Times New Roman"/>
        </w:rPr>
      </w:pPr>
      <w:r w:rsidRPr="006862D4">
        <w:rPr>
          <w:rFonts w:eastAsia="Times New Roman" w:cs="Times New Roman"/>
        </w:rPr>
        <w:t>3.2 Well Log Data</w:t>
      </w:r>
    </w:p>
    <w:p w14:paraId="2676569C" w14:textId="77777777" w:rsidR="00E32EFA" w:rsidRPr="006862D4" w:rsidRDefault="00E32EFA" w:rsidP="006862D4">
      <w:pPr>
        <w:spacing w:after="0"/>
        <w:rPr>
          <w:rFonts w:cs="Times New Roman"/>
          <w:color w:val="auto"/>
        </w:rPr>
      </w:pPr>
    </w:p>
    <w:p w14:paraId="24E56C4D"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45B0D24B" wp14:editId="56E4EE87">
            <wp:extent cx="5340741" cy="3690589"/>
            <wp:effectExtent l="19050" t="19050" r="12700" b="24765"/>
            <wp:docPr id="1805329102"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9102" name="Picture 9"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4145" cy="3706762"/>
                    </a:xfrm>
                    <a:prstGeom prst="rect">
                      <a:avLst/>
                    </a:prstGeom>
                    <a:ln>
                      <a:solidFill>
                        <a:schemeClr val="tx1"/>
                      </a:solidFill>
                    </a:ln>
                  </pic:spPr>
                </pic:pic>
              </a:graphicData>
            </a:graphic>
          </wp:inline>
        </w:drawing>
      </w:r>
    </w:p>
    <w:p w14:paraId="10788058"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9</w:t>
      </w:r>
      <w:r w:rsidRPr="006862D4">
        <w:rPr>
          <w:rFonts w:cs="Times New Roman"/>
          <w:b/>
          <w:bCs/>
          <w:i w:val="0"/>
          <w:iCs w:val="0"/>
          <w:color w:val="auto"/>
        </w:rPr>
        <w:fldChar w:fldCharType="end"/>
      </w:r>
      <w:r w:rsidRPr="006862D4">
        <w:rPr>
          <w:rFonts w:cs="Times New Roman"/>
          <w:b/>
          <w:bCs/>
          <w:i w:val="0"/>
          <w:iCs w:val="0"/>
          <w:color w:val="auto"/>
        </w:rPr>
        <w:t xml:space="preserve"> </w:t>
      </w:r>
      <w:proofErr w:type="gramStart"/>
      <w:r w:rsidRPr="006862D4">
        <w:rPr>
          <w:rFonts w:cs="Times New Roman"/>
          <w:b/>
          <w:bCs/>
          <w:i w:val="0"/>
          <w:iCs w:val="0"/>
          <w:color w:val="auto"/>
        </w:rPr>
        <w:t>Multi-track</w:t>
      </w:r>
      <w:proofErr w:type="gramEnd"/>
      <w:r w:rsidRPr="006862D4">
        <w:rPr>
          <w:rFonts w:cs="Times New Roman"/>
          <w:b/>
          <w:bCs/>
          <w:i w:val="0"/>
          <w:iCs w:val="0"/>
          <w:color w:val="auto"/>
        </w:rPr>
        <w:t xml:space="preserve"> well log plot</w:t>
      </w:r>
    </w:p>
    <w:p w14:paraId="79E0768C"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lastRenderedPageBreak/>
        <w:drawing>
          <wp:inline distT="0" distB="0" distL="0" distR="0" wp14:anchorId="74B23656" wp14:editId="1993213F">
            <wp:extent cx="4834303" cy="3642771"/>
            <wp:effectExtent l="19050" t="19050" r="23495" b="15240"/>
            <wp:docPr id="1304696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96903" name="Picture 1304696903"/>
                    <pic:cNvPicPr/>
                  </pic:nvPicPr>
                  <pic:blipFill>
                    <a:blip r:embed="rId16">
                      <a:extLst>
                        <a:ext uri="{28A0092B-C50C-407E-A947-70E740481C1C}">
                          <a14:useLocalDpi xmlns:a14="http://schemas.microsoft.com/office/drawing/2010/main" val="0"/>
                        </a:ext>
                      </a:extLst>
                    </a:blip>
                    <a:stretch>
                      <a:fillRect/>
                    </a:stretch>
                  </pic:blipFill>
                  <pic:spPr>
                    <a:xfrm>
                      <a:off x="0" y="0"/>
                      <a:ext cx="4871876" cy="3671083"/>
                    </a:xfrm>
                    <a:prstGeom prst="rect">
                      <a:avLst/>
                    </a:prstGeom>
                    <a:ln>
                      <a:solidFill>
                        <a:schemeClr val="tx1"/>
                      </a:solidFill>
                    </a:ln>
                  </pic:spPr>
                </pic:pic>
              </a:graphicData>
            </a:graphic>
          </wp:inline>
        </w:drawing>
      </w:r>
    </w:p>
    <w:p w14:paraId="3330DD1C"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10</w:t>
      </w:r>
      <w:r w:rsidRPr="006862D4">
        <w:rPr>
          <w:rFonts w:cs="Times New Roman"/>
          <w:b/>
          <w:bCs/>
          <w:i w:val="0"/>
          <w:iCs w:val="0"/>
          <w:color w:val="auto"/>
        </w:rPr>
        <w:fldChar w:fldCharType="end"/>
      </w:r>
      <w:r w:rsidRPr="006862D4">
        <w:rPr>
          <w:rFonts w:cs="Times New Roman"/>
          <w:b/>
          <w:bCs/>
          <w:i w:val="0"/>
          <w:iCs w:val="0"/>
          <w:color w:val="auto"/>
        </w:rPr>
        <w:t xml:space="preserve"> Histograms of GR, RHOB, CNPOR, and RILD</w:t>
      </w:r>
    </w:p>
    <w:p w14:paraId="749F4593"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46DF45B6" wp14:editId="3D8828A9">
            <wp:extent cx="2467608" cy="4039479"/>
            <wp:effectExtent l="19050" t="19050" r="28575" b="18415"/>
            <wp:docPr id="532226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6379" name="Picture 532226379"/>
                    <pic:cNvPicPr/>
                  </pic:nvPicPr>
                  <pic:blipFill>
                    <a:blip r:embed="rId17">
                      <a:extLst>
                        <a:ext uri="{28A0092B-C50C-407E-A947-70E740481C1C}">
                          <a14:useLocalDpi xmlns:a14="http://schemas.microsoft.com/office/drawing/2010/main" val="0"/>
                        </a:ext>
                      </a:extLst>
                    </a:blip>
                    <a:stretch>
                      <a:fillRect/>
                    </a:stretch>
                  </pic:blipFill>
                  <pic:spPr>
                    <a:xfrm>
                      <a:off x="0" y="0"/>
                      <a:ext cx="2476380" cy="4053839"/>
                    </a:xfrm>
                    <a:prstGeom prst="rect">
                      <a:avLst/>
                    </a:prstGeom>
                    <a:ln>
                      <a:solidFill>
                        <a:schemeClr val="tx1"/>
                      </a:solidFill>
                    </a:ln>
                  </pic:spPr>
                </pic:pic>
              </a:graphicData>
            </a:graphic>
          </wp:inline>
        </w:drawing>
      </w:r>
    </w:p>
    <w:p w14:paraId="1D3D0068"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11</w:t>
      </w:r>
      <w:r w:rsidRPr="006862D4">
        <w:rPr>
          <w:rFonts w:cs="Times New Roman"/>
          <w:b/>
          <w:bCs/>
          <w:i w:val="0"/>
          <w:iCs w:val="0"/>
          <w:color w:val="auto"/>
        </w:rPr>
        <w:fldChar w:fldCharType="end"/>
      </w:r>
      <w:r w:rsidRPr="006862D4">
        <w:rPr>
          <w:rFonts w:cs="Times New Roman"/>
          <w:b/>
          <w:bCs/>
          <w:i w:val="0"/>
          <w:iCs w:val="0"/>
          <w:color w:val="auto"/>
        </w:rPr>
        <w:t xml:space="preserve"> </w:t>
      </w:r>
      <w:proofErr w:type="spellStart"/>
      <w:r w:rsidRPr="006862D4">
        <w:rPr>
          <w:rFonts w:cs="Times New Roman"/>
          <w:b/>
          <w:bCs/>
          <w:i w:val="0"/>
          <w:iCs w:val="0"/>
          <w:color w:val="auto"/>
        </w:rPr>
        <w:t>Vshale</w:t>
      </w:r>
      <w:proofErr w:type="spellEnd"/>
      <w:r w:rsidRPr="006862D4">
        <w:rPr>
          <w:rFonts w:cs="Times New Roman"/>
          <w:b/>
          <w:bCs/>
          <w:i w:val="0"/>
          <w:iCs w:val="0"/>
          <w:color w:val="auto"/>
        </w:rPr>
        <w:t xml:space="preserve"> profile with net reservoir identification</w:t>
      </w:r>
    </w:p>
    <w:p w14:paraId="48454DC1"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lastRenderedPageBreak/>
        <w:drawing>
          <wp:inline distT="0" distB="0" distL="0" distR="0" wp14:anchorId="66435A27" wp14:editId="647FEBD5">
            <wp:extent cx="4166088" cy="3941872"/>
            <wp:effectExtent l="19050" t="19050" r="25400" b="20955"/>
            <wp:docPr id="1044070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70775" name="Picture 1044070775"/>
                    <pic:cNvPicPr/>
                  </pic:nvPicPr>
                  <pic:blipFill>
                    <a:blip r:embed="rId18">
                      <a:extLst>
                        <a:ext uri="{28A0092B-C50C-407E-A947-70E740481C1C}">
                          <a14:useLocalDpi xmlns:a14="http://schemas.microsoft.com/office/drawing/2010/main" val="0"/>
                        </a:ext>
                      </a:extLst>
                    </a:blip>
                    <a:stretch>
                      <a:fillRect/>
                    </a:stretch>
                  </pic:blipFill>
                  <pic:spPr>
                    <a:xfrm>
                      <a:off x="0" y="0"/>
                      <a:ext cx="4184897" cy="3959669"/>
                    </a:xfrm>
                    <a:prstGeom prst="rect">
                      <a:avLst/>
                    </a:prstGeom>
                    <a:ln>
                      <a:solidFill>
                        <a:schemeClr val="tx1"/>
                      </a:solidFill>
                    </a:ln>
                  </pic:spPr>
                </pic:pic>
              </a:graphicData>
            </a:graphic>
          </wp:inline>
        </w:drawing>
      </w:r>
    </w:p>
    <w:p w14:paraId="25C4B2E4"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12</w:t>
      </w:r>
      <w:r w:rsidRPr="006862D4">
        <w:rPr>
          <w:rFonts w:cs="Times New Roman"/>
          <w:b/>
          <w:bCs/>
          <w:i w:val="0"/>
          <w:iCs w:val="0"/>
          <w:color w:val="auto"/>
        </w:rPr>
        <w:fldChar w:fldCharType="end"/>
      </w:r>
      <w:r w:rsidRPr="006862D4">
        <w:rPr>
          <w:rFonts w:cs="Times New Roman"/>
          <w:b/>
          <w:bCs/>
          <w:i w:val="0"/>
          <w:iCs w:val="0"/>
          <w:color w:val="auto"/>
        </w:rPr>
        <w:t xml:space="preserve"> Neutron–density </w:t>
      </w:r>
      <w:proofErr w:type="spellStart"/>
      <w:r w:rsidRPr="006862D4">
        <w:rPr>
          <w:rFonts w:cs="Times New Roman"/>
          <w:b/>
          <w:bCs/>
          <w:i w:val="0"/>
          <w:iCs w:val="0"/>
          <w:color w:val="auto"/>
        </w:rPr>
        <w:t>crossplot</w:t>
      </w:r>
      <w:proofErr w:type="spellEnd"/>
      <w:r w:rsidRPr="006862D4">
        <w:rPr>
          <w:rFonts w:cs="Times New Roman"/>
          <w:b/>
          <w:bCs/>
          <w:i w:val="0"/>
          <w:iCs w:val="0"/>
          <w:color w:val="auto"/>
        </w:rPr>
        <w:t xml:space="preserve"> </w:t>
      </w:r>
      <w:proofErr w:type="spellStart"/>
      <w:r w:rsidRPr="006862D4">
        <w:rPr>
          <w:rFonts w:cs="Times New Roman"/>
          <w:b/>
          <w:bCs/>
          <w:i w:val="0"/>
          <w:iCs w:val="0"/>
          <w:color w:val="auto"/>
        </w:rPr>
        <w:t>coloured</w:t>
      </w:r>
      <w:proofErr w:type="spellEnd"/>
      <w:r w:rsidRPr="006862D4">
        <w:rPr>
          <w:rFonts w:cs="Times New Roman"/>
          <w:b/>
          <w:bCs/>
          <w:i w:val="0"/>
          <w:iCs w:val="0"/>
          <w:color w:val="auto"/>
        </w:rPr>
        <w:t xml:space="preserve"> by gamma ray</w:t>
      </w:r>
    </w:p>
    <w:p w14:paraId="060F9D23"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654647FA" wp14:editId="17D6AC0C">
            <wp:extent cx="4208042" cy="3538025"/>
            <wp:effectExtent l="19050" t="19050" r="21590" b="24765"/>
            <wp:docPr id="705531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1119" name="Picture 705531119"/>
                    <pic:cNvPicPr/>
                  </pic:nvPicPr>
                  <pic:blipFill>
                    <a:blip r:embed="rId19">
                      <a:extLst>
                        <a:ext uri="{28A0092B-C50C-407E-A947-70E740481C1C}">
                          <a14:useLocalDpi xmlns:a14="http://schemas.microsoft.com/office/drawing/2010/main" val="0"/>
                        </a:ext>
                      </a:extLst>
                    </a:blip>
                    <a:stretch>
                      <a:fillRect/>
                    </a:stretch>
                  </pic:blipFill>
                  <pic:spPr>
                    <a:xfrm>
                      <a:off x="0" y="0"/>
                      <a:ext cx="4223585" cy="3551093"/>
                    </a:xfrm>
                    <a:prstGeom prst="rect">
                      <a:avLst/>
                    </a:prstGeom>
                    <a:ln>
                      <a:solidFill>
                        <a:schemeClr val="tx1"/>
                      </a:solidFill>
                    </a:ln>
                  </pic:spPr>
                </pic:pic>
              </a:graphicData>
            </a:graphic>
          </wp:inline>
        </w:drawing>
      </w:r>
    </w:p>
    <w:p w14:paraId="200C060F"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13</w:t>
      </w:r>
      <w:r w:rsidRPr="006862D4">
        <w:rPr>
          <w:rFonts w:cs="Times New Roman"/>
          <w:b/>
          <w:bCs/>
          <w:i w:val="0"/>
          <w:iCs w:val="0"/>
          <w:color w:val="auto"/>
        </w:rPr>
        <w:fldChar w:fldCharType="end"/>
      </w:r>
      <w:r w:rsidRPr="006862D4">
        <w:rPr>
          <w:rFonts w:cs="Times New Roman"/>
          <w:b/>
          <w:bCs/>
          <w:i w:val="0"/>
          <w:iCs w:val="0"/>
          <w:color w:val="auto"/>
        </w:rPr>
        <w:t xml:space="preserve"> Correlation heatmap of key well log curves</w:t>
      </w:r>
    </w:p>
    <w:p w14:paraId="085125B9" w14:textId="77777777" w:rsidR="00E32EFA" w:rsidRPr="006862D4" w:rsidRDefault="00E32EFA" w:rsidP="006862D4">
      <w:pPr>
        <w:pStyle w:val="Caption"/>
        <w:keepNext/>
        <w:spacing w:after="0"/>
        <w:rPr>
          <w:rFonts w:cs="Times New Roman"/>
          <w:b/>
          <w:bCs/>
          <w:i w:val="0"/>
          <w:iCs w:val="0"/>
          <w:color w:val="auto"/>
        </w:rPr>
      </w:pPr>
      <w:r w:rsidRPr="006862D4">
        <w:rPr>
          <w:rFonts w:cs="Times New Roman"/>
          <w:b/>
          <w:bCs/>
          <w:i w:val="0"/>
          <w:iCs w:val="0"/>
          <w:color w:val="auto"/>
        </w:rPr>
        <w:lastRenderedPageBreak/>
        <w:t xml:space="preserve">Table </w:t>
      </w:r>
      <w:r w:rsidRPr="006862D4">
        <w:rPr>
          <w:rFonts w:cs="Times New Roman"/>
          <w:b/>
          <w:bCs/>
          <w:i w:val="0"/>
          <w:iCs w:val="0"/>
          <w:color w:val="auto"/>
        </w:rPr>
        <w:fldChar w:fldCharType="begin"/>
      </w:r>
      <w:r w:rsidRPr="006862D4">
        <w:rPr>
          <w:rFonts w:cs="Times New Roman"/>
          <w:b/>
          <w:bCs/>
          <w:i w:val="0"/>
          <w:iCs w:val="0"/>
          <w:color w:val="auto"/>
        </w:rPr>
        <w:instrText xml:space="preserve"> SEQ Table \* ARABIC </w:instrText>
      </w:r>
      <w:r w:rsidRPr="006862D4">
        <w:rPr>
          <w:rFonts w:cs="Times New Roman"/>
          <w:b/>
          <w:bCs/>
          <w:i w:val="0"/>
          <w:iCs w:val="0"/>
          <w:color w:val="auto"/>
        </w:rPr>
        <w:fldChar w:fldCharType="separate"/>
      </w:r>
      <w:r w:rsidRPr="006862D4">
        <w:rPr>
          <w:rFonts w:cs="Times New Roman"/>
          <w:b/>
          <w:bCs/>
          <w:i w:val="0"/>
          <w:iCs w:val="0"/>
          <w:noProof/>
          <w:color w:val="auto"/>
        </w:rPr>
        <w:t>3</w:t>
      </w:r>
      <w:r w:rsidRPr="006862D4">
        <w:rPr>
          <w:rFonts w:cs="Times New Roman"/>
          <w:b/>
          <w:bCs/>
          <w:i w:val="0"/>
          <w:iCs w:val="0"/>
          <w:color w:val="auto"/>
        </w:rPr>
        <w:fldChar w:fldCharType="end"/>
      </w:r>
      <w:r w:rsidRPr="006862D4">
        <w:rPr>
          <w:rFonts w:cs="Times New Roman"/>
          <w:b/>
          <w:bCs/>
          <w:i w:val="0"/>
          <w:iCs w:val="0"/>
          <w:color w:val="auto"/>
        </w:rPr>
        <w:t xml:space="preserve"> Correlation matrix of logging curves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32EFA" w:rsidRPr="006862D4" w14:paraId="2F72BFD2" w14:textId="77777777">
        <w:tc>
          <w:tcPr>
            <w:tcW w:w="1440" w:type="dxa"/>
          </w:tcPr>
          <w:p w14:paraId="2C20ED7F" w14:textId="77777777" w:rsidR="00E32EFA" w:rsidRPr="006862D4" w:rsidRDefault="00E32EFA" w:rsidP="006862D4">
            <w:pPr>
              <w:spacing w:after="0"/>
              <w:rPr>
                <w:rFonts w:cs="Times New Roman"/>
                <w:color w:val="auto"/>
              </w:rPr>
            </w:pPr>
          </w:p>
        </w:tc>
        <w:tc>
          <w:tcPr>
            <w:tcW w:w="1440" w:type="dxa"/>
          </w:tcPr>
          <w:p w14:paraId="0643D8F6" w14:textId="77777777" w:rsidR="00E32EFA" w:rsidRPr="006862D4" w:rsidRDefault="00E32EFA" w:rsidP="006862D4">
            <w:pPr>
              <w:spacing w:after="0"/>
              <w:rPr>
                <w:rFonts w:cs="Times New Roman"/>
                <w:color w:val="auto"/>
              </w:rPr>
            </w:pPr>
            <w:r w:rsidRPr="006862D4">
              <w:rPr>
                <w:rFonts w:cs="Times New Roman"/>
                <w:color w:val="auto"/>
              </w:rPr>
              <w:t>GR</w:t>
            </w:r>
          </w:p>
        </w:tc>
        <w:tc>
          <w:tcPr>
            <w:tcW w:w="1440" w:type="dxa"/>
          </w:tcPr>
          <w:p w14:paraId="73E71534" w14:textId="77777777" w:rsidR="00E32EFA" w:rsidRPr="006862D4" w:rsidRDefault="00E32EFA" w:rsidP="006862D4">
            <w:pPr>
              <w:spacing w:after="0"/>
              <w:rPr>
                <w:rFonts w:cs="Times New Roman"/>
                <w:color w:val="auto"/>
              </w:rPr>
            </w:pPr>
            <w:r w:rsidRPr="006862D4">
              <w:rPr>
                <w:rFonts w:cs="Times New Roman"/>
                <w:color w:val="auto"/>
              </w:rPr>
              <w:t>RHOB</w:t>
            </w:r>
          </w:p>
        </w:tc>
        <w:tc>
          <w:tcPr>
            <w:tcW w:w="1440" w:type="dxa"/>
          </w:tcPr>
          <w:p w14:paraId="032562CE" w14:textId="77777777" w:rsidR="00E32EFA" w:rsidRPr="006862D4" w:rsidRDefault="00E32EFA" w:rsidP="006862D4">
            <w:pPr>
              <w:spacing w:after="0"/>
              <w:rPr>
                <w:rFonts w:cs="Times New Roman"/>
                <w:color w:val="auto"/>
              </w:rPr>
            </w:pPr>
            <w:r w:rsidRPr="006862D4">
              <w:rPr>
                <w:rFonts w:cs="Times New Roman"/>
                <w:color w:val="auto"/>
              </w:rPr>
              <w:t>CNPOR</w:t>
            </w:r>
          </w:p>
        </w:tc>
        <w:tc>
          <w:tcPr>
            <w:tcW w:w="1440" w:type="dxa"/>
          </w:tcPr>
          <w:p w14:paraId="4C4C3680" w14:textId="77777777" w:rsidR="00E32EFA" w:rsidRPr="006862D4" w:rsidRDefault="00E32EFA" w:rsidP="006862D4">
            <w:pPr>
              <w:spacing w:after="0"/>
              <w:rPr>
                <w:rFonts w:cs="Times New Roman"/>
                <w:color w:val="auto"/>
              </w:rPr>
            </w:pPr>
            <w:r w:rsidRPr="006862D4">
              <w:rPr>
                <w:rFonts w:cs="Times New Roman"/>
                <w:color w:val="auto"/>
              </w:rPr>
              <w:t>RILD</w:t>
            </w:r>
          </w:p>
        </w:tc>
        <w:tc>
          <w:tcPr>
            <w:tcW w:w="1440" w:type="dxa"/>
          </w:tcPr>
          <w:p w14:paraId="22D3B927" w14:textId="77777777" w:rsidR="00E32EFA" w:rsidRPr="006862D4" w:rsidRDefault="00E32EFA" w:rsidP="006862D4">
            <w:pPr>
              <w:spacing w:after="0"/>
              <w:rPr>
                <w:rFonts w:cs="Times New Roman"/>
                <w:color w:val="auto"/>
              </w:rPr>
            </w:pPr>
            <w:r w:rsidRPr="006862D4">
              <w:rPr>
                <w:rFonts w:cs="Times New Roman"/>
                <w:color w:val="auto"/>
              </w:rPr>
              <w:t>VSH</w:t>
            </w:r>
          </w:p>
        </w:tc>
      </w:tr>
      <w:tr w:rsidR="006862D4" w:rsidRPr="006862D4" w14:paraId="2DA077CA" w14:textId="77777777">
        <w:tc>
          <w:tcPr>
            <w:tcW w:w="1440" w:type="dxa"/>
          </w:tcPr>
          <w:p w14:paraId="6035AD09" w14:textId="77777777" w:rsidR="00E32EFA" w:rsidRPr="006862D4" w:rsidRDefault="00E32EFA" w:rsidP="006862D4">
            <w:pPr>
              <w:spacing w:after="0"/>
              <w:rPr>
                <w:rFonts w:cs="Times New Roman"/>
                <w:color w:val="auto"/>
              </w:rPr>
            </w:pPr>
            <w:r w:rsidRPr="006862D4">
              <w:rPr>
                <w:rFonts w:cs="Times New Roman"/>
                <w:color w:val="auto"/>
              </w:rPr>
              <w:t>GR</w:t>
            </w:r>
          </w:p>
        </w:tc>
        <w:tc>
          <w:tcPr>
            <w:tcW w:w="1440" w:type="dxa"/>
          </w:tcPr>
          <w:p w14:paraId="063C12A2" w14:textId="77777777" w:rsidR="00E32EFA" w:rsidRPr="006862D4" w:rsidRDefault="00E32EFA" w:rsidP="006862D4">
            <w:pPr>
              <w:spacing w:after="0"/>
              <w:rPr>
                <w:rFonts w:cs="Times New Roman"/>
                <w:color w:val="auto"/>
              </w:rPr>
            </w:pPr>
            <w:r w:rsidRPr="006862D4">
              <w:rPr>
                <w:rFonts w:cs="Times New Roman"/>
                <w:color w:val="auto"/>
              </w:rPr>
              <w:t>1.0000</w:t>
            </w:r>
          </w:p>
        </w:tc>
        <w:tc>
          <w:tcPr>
            <w:tcW w:w="1440" w:type="dxa"/>
          </w:tcPr>
          <w:p w14:paraId="49A37498" w14:textId="77777777" w:rsidR="00E32EFA" w:rsidRPr="006862D4" w:rsidRDefault="00E32EFA" w:rsidP="006862D4">
            <w:pPr>
              <w:spacing w:after="0"/>
              <w:rPr>
                <w:rFonts w:cs="Times New Roman"/>
                <w:color w:val="auto"/>
              </w:rPr>
            </w:pPr>
            <w:r w:rsidRPr="006862D4">
              <w:rPr>
                <w:rFonts w:cs="Times New Roman"/>
                <w:color w:val="auto"/>
              </w:rPr>
              <w:t>-0.0008</w:t>
            </w:r>
          </w:p>
        </w:tc>
        <w:tc>
          <w:tcPr>
            <w:tcW w:w="1440" w:type="dxa"/>
          </w:tcPr>
          <w:p w14:paraId="1EBCB759" w14:textId="77777777" w:rsidR="00E32EFA" w:rsidRPr="006862D4" w:rsidRDefault="00E32EFA" w:rsidP="006862D4">
            <w:pPr>
              <w:spacing w:after="0"/>
              <w:rPr>
                <w:rFonts w:cs="Times New Roman"/>
                <w:color w:val="auto"/>
              </w:rPr>
            </w:pPr>
            <w:r w:rsidRPr="006862D4">
              <w:rPr>
                <w:rFonts w:cs="Times New Roman"/>
                <w:color w:val="auto"/>
              </w:rPr>
              <w:t>0.0263</w:t>
            </w:r>
          </w:p>
        </w:tc>
        <w:tc>
          <w:tcPr>
            <w:tcW w:w="1440" w:type="dxa"/>
          </w:tcPr>
          <w:p w14:paraId="48D299CA" w14:textId="77777777" w:rsidR="00E32EFA" w:rsidRPr="006862D4" w:rsidRDefault="00E32EFA" w:rsidP="006862D4">
            <w:pPr>
              <w:spacing w:after="0"/>
              <w:rPr>
                <w:rFonts w:cs="Times New Roman"/>
                <w:color w:val="auto"/>
              </w:rPr>
            </w:pPr>
            <w:r w:rsidRPr="006862D4">
              <w:rPr>
                <w:rFonts w:cs="Times New Roman"/>
                <w:color w:val="auto"/>
              </w:rPr>
              <w:t>-0.0025</w:t>
            </w:r>
          </w:p>
        </w:tc>
        <w:tc>
          <w:tcPr>
            <w:tcW w:w="1440" w:type="dxa"/>
          </w:tcPr>
          <w:p w14:paraId="5262A6A9" w14:textId="77777777" w:rsidR="00E32EFA" w:rsidRPr="006862D4" w:rsidRDefault="00E32EFA" w:rsidP="006862D4">
            <w:pPr>
              <w:spacing w:after="0"/>
              <w:rPr>
                <w:rFonts w:cs="Times New Roman"/>
                <w:color w:val="auto"/>
              </w:rPr>
            </w:pPr>
            <w:r w:rsidRPr="006862D4">
              <w:rPr>
                <w:rFonts w:cs="Times New Roman"/>
                <w:color w:val="auto"/>
              </w:rPr>
              <w:t>0.0595</w:t>
            </w:r>
          </w:p>
        </w:tc>
      </w:tr>
      <w:tr w:rsidR="006862D4" w:rsidRPr="006862D4" w14:paraId="548CE1DF" w14:textId="77777777">
        <w:tc>
          <w:tcPr>
            <w:tcW w:w="1440" w:type="dxa"/>
          </w:tcPr>
          <w:p w14:paraId="0020446C" w14:textId="77777777" w:rsidR="00E32EFA" w:rsidRPr="006862D4" w:rsidRDefault="00E32EFA" w:rsidP="006862D4">
            <w:pPr>
              <w:spacing w:after="0"/>
              <w:rPr>
                <w:rFonts w:cs="Times New Roman"/>
                <w:color w:val="auto"/>
              </w:rPr>
            </w:pPr>
            <w:r w:rsidRPr="006862D4">
              <w:rPr>
                <w:rFonts w:cs="Times New Roman"/>
                <w:color w:val="auto"/>
              </w:rPr>
              <w:t>RHOB</w:t>
            </w:r>
          </w:p>
        </w:tc>
        <w:tc>
          <w:tcPr>
            <w:tcW w:w="1440" w:type="dxa"/>
          </w:tcPr>
          <w:p w14:paraId="70ED9403" w14:textId="77777777" w:rsidR="00E32EFA" w:rsidRPr="006862D4" w:rsidRDefault="00E32EFA" w:rsidP="006862D4">
            <w:pPr>
              <w:spacing w:after="0"/>
              <w:rPr>
                <w:rFonts w:cs="Times New Roman"/>
                <w:color w:val="auto"/>
              </w:rPr>
            </w:pPr>
            <w:r w:rsidRPr="006862D4">
              <w:rPr>
                <w:rFonts w:cs="Times New Roman"/>
                <w:color w:val="auto"/>
              </w:rPr>
              <w:t>-0.0008</w:t>
            </w:r>
          </w:p>
        </w:tc>
        <w:tc>
          <w:tcPr>
            <w:tcW w:w="1440" w:type="dxa"/>
          </w:tcPr>
          <w:p w14:paraId="65541A72" w14:textId="77777777" w:rsidR="00E32EFA" w:rsidRPr="006862D4" w:rsidRDefault="00E32EFA" w:rsidP="006862D4">
            <w:pPr>
              <w:spacing w:after="0"/>
              <w:rPr>
                <w:rFonts w:cs="Times New Roman"/>
                <w:color w:val="auto"/>
              </w:rPr>
            </w:pPr>
            <w:r w:rsidRPr="006862D4">
              <w:rPr>
                <w:rFonts w:cs="Times New Roman"/>
                <w:color w:val="auto"/>
              </w:rPr>
              <w:t>1.0000</w:t>
            </w:r>
          </w:p>
        </w:tc>
        <w:tc>
          <w:tcPr>
            <w:tcW w:w="1440" w:type="dxa"/>
          </w:tcPr>
          <w:p w14:paraId="66876A18" w14:textId="77777777" w:rsidR="00E32EFA" w:rsidRPr="006862D4" w:rsidRDefault="00E32EFA" w:rsidP="006862D4">
            <w:pPr>
              <w:spacing w:after="0"/>
              <w:rPr>
                <w:rFonts w:cs="Times New Roman"/>
                <w:color w:val="auto"/>
              </w:rPr>
            </w:pPr>
            <w:r w:rsidRPr="006862D4">
              <w:rPr>
                <w:rFonts w:cs="Times New Roman"/>
                <w:color w:val="auto"/>
              </w:rPr>
              <w:t>0.0004</w:t>
            </w:r>
          </w:p>
        </w:tc>
        <w:tc>
          <w:tcPr>
            <w:tcW w:w="1440" w:type="dxa"/>
          </w:tcPr>
          <w:p w14:paraId="73FDFD06" w14:textId="77777777" w:rsidR="00E32EFA" w:rsidRPr="006862D4" w:rsidRDefault="00E32EFA" w:rsidP="006862D4">
            <w:pPr>
              <w:spacing w:after="0"/>
              <w:rPr>
                <w:rFonts w:cs="Times New Roman"/>
                <w:color w:val="auto"/>
              </w:rPr>
            </w:pPr>
            <w:r w:rsidRPr="006862D4">
              <w:rPr>
                <w:rFonts w:cs="Times New Roman"/>
                <w:color w:val="auto"/>
              </w:rPr>
              <w:t>-0.0008</w:t>
            </w:r>
          </w:p>
        </w:tc>
        <w:tc>
          <w:tcPr>
            <w:tcW w:w="1440" w:type="dxa"/>
          </w:tcPr>
          <w:p w14:paraId="71E0B501" w14:textId="77777777" w:rsidR="00E32EFA" w:rsidRPr="006862D4" w:rsidRDefault="00E32EFA" w:rsidP="006862D4">
            <w:pPr>
              <w:spacing w:after="0"/>
              <w:rPr>
                <w:rFonts w:cs="Times New Roman"/>
                <w:color w:val="auto"/>
              </w:rPr>
            </w:pPr>
            <w:r w:rsidRPr="006862D4">
              <w:rPr>
                <w:rFonts w:cs="Times New Roman"/>
                <w:color w:val="auto"/>
              </w:rPr>
              <w:t>-0.0094</w:t>
            </w:r>
          </w:p>
        </w:tc>
      </w:tr>
      <w:tr w:rsidR="006862D4" w:rsidRPr="006862D4" w14:paraId="78E2554C" w14:textId="77777777">
        <w:tc>
          <w:tcPr>
            <w:tcW w:w="1440" w:type="dxa"/>
          </w:tcPr>
          <w:p w14:paraId="3BC20140" w14:textId="77777777" w:rsidR="00E32EFA" w:rsidRPr="006862D4" w:rsidRDefault="00E32EFA" w:rsidP="006862D4">
            <w:pPr>
              <w:spacing w:after="0"/>
              <w:rPr>
                <w:rFonts w:cs="Times New Roman"/>
                <w:color w:val="auto"/>
              </w:rPr>
            </w:pPr>
            <w:r w:rsidRPr="006862D4">
              <w:rPr>
                <w:rFonts w:cs="Times New Roman"/>
                <w:color w:val="auto"/>
              </w:rPr>
              <w:t>CNPOR</w:t>
            </w:r>
          </w:p>
        </w:tc>
        <w:tc>
          <w:tcPr>
            <w:tcW w:w="1440" w:type="dxa"/>
          </w:tcPr>
          <w:p w14:paraId="1CB6DAE7" w14:textId="77777777" w:rsidR="00E32EFA" w:rsidRPr="006862D4" w:rsidRDefault="00E32EFA" w:rsidP="006862D4">
            <w:pPr>
              <w:spacing w:after="0"/>
              <w:rPr>
                <w:rFonts w:cs="Times New Roman"/>
                <w:color w:val="auto"/>
              </w:rPr>
            </w:pPr>
            <w:r w:rsidRPr="006862D4">
              <w:rPr>
                <w:rFonts w:cs="Times New Roman"/>
                <w:color w:val="auto"/>
              </w:rPr>
              <w:t>0.0263</w:t>
            </w:r>
          </w:p>
        </w:tc>
        <w:tc>
          <w:tcPr>
            <w:tcW w:w="1440" w:type="dxa"/>
          </w:tcPr>
          <w:p w14:paraId="2DF8A3EA" w14:textId="77777777" w:rsidR="00E32EFA" w:rsidRPr="006862D4" w:rsidRDefault="00E32EFA" w:rsidP="006862D4">
            <w:pPr>
              <w:spacing w:after="0"/>
              <w:rPr>
                <w:rFonts w:cs="Times New Roman"/>
                <w:color w:val="auto"/>
              </w:rPr>
            </w:pPr>
            <w:r w:rsidRPr="006862D4">
              <w:rPr>
                <w:rFonts w:cs="Times New Roman"/>
                <w:color w:val="auto"/>
              </w:rPr>
              <w:t>0.0004</w:t>
            </w:r>
          </w:p>
        </w:tc>
        <w:tc>
          <w:tcPr>
            <w:tcW w:w="1440" w:type="dxa"/>
          </w:tcPr>
          <w:p w14:paraId="36B5133D" w14:textId="77777777" w:rsidR="00E32EFA" w:rsidRPr="006862D4" w:rsidRDefault="00E32EFA" w:rsidP="006862D4">
            <w:pPr>
              <w:spacing w:after="0"/>
              <w:rPr>
                <w:rFonts w:cs="Times New Roman"/>
                <w:color w:val="auto"/>
              </w:rPr>
            </w:pPr>
            <w:r w:rsidRPr="006862D4">
              <w:rPr>
                <w:rFonts w:cs="Times New Roman"/>
                <w:color w:val="auto"/>
              </w:rPr>
              <w:t>1.0000</w:t>
            </w:r>
          </w:p>
        </w:tc>
        <w:tc>
          <w:tcPr>
            <w:tcW w:w="1440" w:type="dxa"/>
          </w:tcPr>
          <w:p w14:paraId="5BAFCCB9" w14:textId="77777777" w:rsidR="00E32EFA" w:rsidRPr="006862D4" w:rsidRDefault="00E32EFA" w:rsidP="006862D4">
            <w:pPr>
              <w:spacing w:after="0"/>
              <w:rPr>
                <w:rFonts w:cs="Times New Roman"/>
                <w:color w:val="auto"/>
              </w:rPr>
            </w:pPr>
            <w:r w:rsidRPr="006862D4">
              <w:rPr>
                <w:rFonts w:cs="Times New Roman"/>
                <w:color w:val="auto"/>
              </w:rPr>
              <w:t>-0.0278</w:t>
            </w:r>
          </w:p>
        </w:tc>
        <w:tc>
          <w:tcPr>
            <w:tcW w:w="1440" w:type="dxa"/>
          </w:tcPr>
          <w:p w14:paraId="024DAC94" w14:textId="77777777" w:rsidR="00E32EFA" w:rsidRPr="006862D4" w:rsidRDefault="00E32EFA" w:rsidP="006862D4">
            <w:pPr>
              <w:spacing w:after="0"/>
              <w:rPr>
                <w:rFonts w:cs="Times New Roman"/>
                <w:color w:val="auto"/>
              </w:rPr>
            </w:pPr>
            <w:r w:rsidRPr="006862D4">
              <w:rPr>
                <w:rFonts w:cs="Times New Roman"/>
                <w:color w:val="auto"/>
              </w:rPr>
              <w:t>0.5280</w:t>
            </w:r>
          </w:p>
        </w:tc>
      </w:tr>
      <w:tr w:rsidR="006862D4" w:rsidRPr="006862D4" w14:paraId="27B1E520" w14:textId="77777777">
        <w:tc>
          <w:tcPr>
            <w:tcW w:w="1440" w:type="dxa"/>
          </w:tcPr>
          <w:p w14:paraId="1DEF32E9" w14:textId="77777777" w:rsidR="00E32EFA" w:rsidRPr="006862D4" w:rsidRDefault="00E32EFA" w:rsidP="006862D4">
            <w:pPr>
              <w:spacing w:after="0"/>
              <w:rPr>
                <w:rFonts w:cs="Times New Roman"/>
                <w:color w:val="auto"/>
              </w:rPr>
            </w:pPr>
            <w:r w:rsidRPr="006862D4">
              <w:rPr>
                <w:rFonts w:cs="Times New Roman"/>
                <w:color w:val="auto"/>
              </w:rPr>
              <w:t>RILD</w:t>
            </w:r>
          </w:p>
        </w:tc>
        <w:tc>
          <w:tcPr>
            <w:tcW w:w="1440" w:type="dxa"/>
          </w:tcPr>
          <w:p w14:paraId="7C80C738" w14:textId="77777777" w:rsidR="00E32EFA" w:rsidRPr="006862D4" w:rsidRDefault="00E32EFA" w:rsidP="006862D4">
            <w:pPr>
              <w:spacing w:after="0"/>
              <w:rPr>
                <w:rFonts w:cs="Times New Roman"/>
                <w:color w:val="auto"/>
              </w:rPr>
            </w:pPr>
            <w:r w:rsidRPr="006862D4">
              <w:rPr>
                <w:rFonts w:cs="Times New Roman"/>
                <w:color w:val="auto"/>
              </w:rPr>
              <w:t>-0.0025</w:t>
            </w:r>
          </w:p>
        </w:tc>
        <w:tc>
          <w:tcPr>
            <w:tcW w:w="1440" w:type="dxa"/>
          </w:tcPr>
          <w:p w14:paraId="7367A07C" w14:textId="77777777" w:rsidR="00E32EFA" w:rsidRPr="006862D4" w:rsidRDefault="00E32EFA" w:rsidP="006862D4">
            <w:pPr>
              <w:spacing w:after="0"/>
              <w:rPr>
                <w:rFonts w:cs="Times New Roman"/>
                <w:color w:val="auto"/>
              </w:rPr>
            </w:pPr>
            <w:r w:rsidRPr="006862D4">
              <w:rPr>
                <w:rFonts w:cs="Times New Roman"/>
                <w:color w:val="auto"/>
              </w:rPr>
              <w:t>-0.0008</w:t>
            </w:r>
          </w:p>
        </w:tc>
        <w:tc>
          <w:tcPr>
            <w:tcW w:w="1440" w:type="dxa"/>
          </w:tcPr>
          <w:p w14:paraId="698499AC" w14:textId="77777777" w:rsidR="00E32EFA" w:rsidRPr="006862D4" w:rsidRDefault="00E32EFA" w:rsidP="006862D4">
            <w:pPr>
              <w:spacing w:after="0"/>
              <w:rPr>
                <w:rFonts w:cs="Times New Roman"/>
                <w:color w:val="auto"/>
              </w:rPr>
            </w:pPr>
            <w:r w:rsidRPr="006862D4">
              <w:rPr>
                <w:rFonts w:cs="Times New Roman"/>
                <w:color w:val="auto"/>
              </w:rPr>
              <w:t>-0.0278</w:t>
            </w:r>
          </w:p>
        </w:tc>
        <w:tc>
          <w:tcPr>
            <w:tcW w:w="1440" w:type="dxa"/>
          </w:tcPr>
          <w:p w14:paraId="1F085997" w14:textId="77777777" w:rsidR="00E32EFA" w:rsidRPr="006862D4" w:rsidRDefault="00E32EFA" w:rsidP="006862D4">
            <w:pPr>
              <w:spacing w:after="0"/>
              <w:rPr>
                <w:rFonts w:cs="Times New Roman"/>
                <w:color w:val="auto"/>
              </w:rPr>
            </w:pPr>
            <w:r w:rsidRPr="006862D4">
              <w:rPr>
                <w:rFonts w:cs="Times New Roman"/>
                <w:color w:val="auto"/>
              </w:rPr>
              <w:t>1.0000</w:t>
            </w:r>
          </w:p>
        </w:tc>
        <w:tc>
          <w:tcPr>
            <w:tcW w:w="1440" w:type="dxa"/>
          </w:tcPr>
          <w:p w14:paraId="1E61C43C" w14:textId="77777777" w:rsidR="00E32EFA" w:rsidRPr="006862D4" w:rsidRDefault="00E32EFA" w:rsidP="006862D4">
            <w:pPr>
              <w:spacing w:after="0"/>
              <w:rPr>
                <w:rFonts w:cs="Times New Roman"/>
                <w:color w:val="auto"/>
              </w:rPr>
            </w:pPr>
            <w:r w:rsidRPr="006862D4">
              <w:rPr>
                <w:rFonts w:cs="Times New Roman"/>
                <w:color w:val="auto"/>
              </w:rPr>
              <w:t>-0.0736</w:t>
            </w:r>
          </w:p>
        </w:tc>
      </w:tr>
      <w:tr w:rsidR="006862D4" w:rsidRPr="006862D4" w14:paraId="4ACA13AC" w14:textId="77777777">
        <w:tc>
          <w:tcPr>
            <w:tcW w:w="1440" w:type="dxa"/>
          </w:tcPr>
          <w:p w14:paraId="6EAFC05C" w14:textId="77777777" w:rsidR="00E32EFA" w:rsidRPr="006862D4" w:rsidRDefault="00E32EFA" w:rsidP="006862D4">
            <w:pPr>
              <w:spacing w:after="0"/>
              <w:rPr>
                <w:rFonts w:cs="Times New Roman"/>
                <w:color w:val="auto"/>
              </w:rPr>
            </w:pPr>
            <w:r w:rsidRPr="006862D4">
              <w:rPr>
                <w:rFonts w:cs="Times New Roman"/>
                <w:color w:val="auto"/>
              </w:rPr>
              <w:t>VSH</w:t>
            </w:r>
          </w:p>
        </w:tc>
        <w:tc>
          <w:tcPr>
            <w:tcW w:w="1440" w:type="dxa"/>
          </w:tcPr>
          <w:p w14:paraId="67736B0D" w14:textId="77777777" w:rsidR="00E32EFA" w:rsidRPr="006862D4" w:rsidRDefault="00E32EFA" w:rsidP="006862D4">
            <w:pPr>
              <w:spacing w:after="0"/>
              <w:rPr>
                <w:rFonts w:cs="Times New Roman"/>
                <w:color w:val="auto"/>
              </w:rPr>
            </w:pPr>
            <w:r w:rsidRPr="006862D4">
              <w:rPr>
                <w:rFonts w:cs="Times New Roman"/>
                <w:color w:val="auto"/>
              </w:rPr>
              <w:t>0.0595</w:t>
            </w:r>
          </w:p>
        </w:tc>
        <w:tc>
          <w:tcPr>
            <w:tcW w:w="1440" w:type="dxa"/>
          </w:tcPr>
          <w:p w14:paraId="51DEC5A3" w14:textId="77777777" w:rsidR="00E32EFA" w:rsidRPr="006862D4" w:rsidRDefault="00E32EFA" w:rsidP="006862D4">
            <w:pPr>
              <w:spacing w:after="0"/>
              <w:rPr>
                <w:rFonts w:cs="Times New Roman"/>
                <w:color w:val="auto"/>
              </w:rPr>
            </w:pPr>
            <w:r w:rsidRPr="006862D4">
              <w:rPr>
                <w:rFonts w:cs="Times New Roman"/>
                <w:color w:val="auto"/>
              </w:rPr>
              <w:t>-0.0094</w:t>
            </w:r>
          </w:p>
        </w:tc>
        <w:tc>
          <w:tcPr>
            <w:tcW w:w="1440" w:type="dxa"/>
          </w:tcPr>
          <w:p w14:paraId="6A50D7FA" w14:textId="77777777" w:rsidR="00E32EFA" w:rsidRPr="006862D4" w:rsidRDefault="00E32EFA" w:rsidP="006862D4">
            <w:pPr>
              <w:spacing w:after="0"/>
              <w:rPr>
                <w:rFonts w:cs="Times New Roman"/>
                <w:color w:val="auto"/>
              </w:rPr>
            </w:pPr>
            <w:r w:rsidRPr="006862D4">
              <w:rPr>
                <w:rFonts w:cs="Times New Roman"/>
                <w:color w:val="auto"/>
              </w:rPr>
              <w:t>0.5280</w:t>
            </w:r>
          </w:p>
        </w:tc>
        <w:tc>
          <w:tcPr>
            <w:tcW w:w="1440" w:type="dxa"/>
          </w:tcPr>
          <w:p w14:paraId="3A7A82E3" w14:textId="77777777" w:rsidR="00E32EFA" w:rsidRPr="006862D4" w:rsidRDefault="00E32EFA" w:rsidP="006862D4">
            <w:pPr>
              <w:spacing w:after="0"/>
              <w:rPr>
                <w:rFonts w:cs="Times New Roman"/>
                <w:color w:val="auto"/>
              </w:rPr>
            </w:pPr>
            <w:r w:rsidRPr="006862D4">
              <w:rPr>
                <w:rFonts w:cs="Times New Roman"/>
                <w:color w:val="auto"/>
              </w:rPr>
              <w:t>-0.0736</w:t>
            </w:r>
          </w:p>
        </w:tc>
        <w:tc>
          <w:tcPr>
            <w:tcW w:w="1440" w:type="dxa"/>
          </w:tcPr>
          <w:p w14:paraId="08FC1BFB" w14:textId="77777777" w:rsidR="00E32EFA" w:rsidRPr="006862D4" w:rsidRDefault="00E32EFA" w:rsidP="006862D4">
            <w:pPr>
              <w:spacing w:after="0"/>
              <w:rPr>
                <w:rFonts w:cs="Times New Roman"/>
                <w:color w:val="auto"/>
              </w:rPr>
            </w:pPr>
            <w:r w:rsidRPr="006862D4">
              <w:rPr>
                <w:rFonts w:cs="Times New Roman"/>
                <w:color w:val="auto"/>
              </w:rPr>
              <w:t>1.0000</w:t>
            </w:r>
          </w:p>
        </w:tc>
      </w:tr>
    </w:tbl>
    <w:p w14:paraId="45617CC2" w14:textId="77777777" w:rsidR="00E32EFA" w:rsidRPr="006862D4" w:rsidRDefault="00E32EFA" w:rsidP="006862D4">
      <w:pPr>
        <w:spacing w:after="0"/>
        <w:rPr>
          <w:rFonts w:cs="Times New Roman"/>
          <w:color w:val="auto"/>
        </w:rPr>
      </w:pPr>
    </w:p>
    <w:p w14:paraId="45529BB4" w14:textId="77777777" w:rsidR="006862D4" w:rsidRDefault="006862D4" w:rsidP="006862D4">
      <w:pPr>
        <w:spacing w:before="100" w:beforeAutospacing="1" w:after="0" w:line="240" w:lineRule="auto"/>
        <w:ind w:left="360"/>
        <w:jc w:val="center"/>
        <w:rPr>
          <w:rFonts w:eastAsia="Times New Roman" w:cs="Times New Roman"/>
          <w:color w:val="auto"/>
          <w:szCs w:val="24"/>
        </w:rPr>
        <w:sectPr w:rsidR="006862D4">
          <w:pgSz w:w="12240" w:h="15840"/>
          <w:pgMar w:top="1440" w:right="1440" w:bottom="1440" w:left="1440" w:header="720" w:footer="720" w:gutter="0"/>
          <w:cols w:space="720"/>
          <w:docGrid w:linePitch="360"/>
        </w:sectPr>
      </w:pPr>
    </w:p>
    <w:p w14:paraId="47FBFF0F"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583B8225" wp14:editId="2140F67B">
            <wp:extent cx="2514261" cy="4460581"/>
            <wp:effectExtent l="19050" t="19050" r="19685" b="16510"/>
            <wp:docPr id="6695995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9534" name="Picture 669599534"/>
                    <pic:cNvPicPr/>
                  </pic:nvPicPr>
                  <pic:blipFill>
                    <a:blip r:embed="rId20">
                      <a:extLst>
                        <a:ext uri="{28A0092B-C50C-407E-A947-70E740481C1C}">
                          <a14:useLocalDpi xmlns:a14="http://schemas.microsoft.com/office/drawing/2010/main" val="0"/>
                        </a:ext>
                      </a:extLst>
                    </a:blip>
                    <a:stretch>
                      <a:fillRect/>
                    </a:stretch>
                  </pic:blipFill>
                  <pic:spPr>
                    <a:xfrm>
                      <a:off x="0" y="0"/>
                      <a:ext cx="2518830" cy="4468686"/>
                    </a:xfrm>
                    <a:prstGeom prst="rect">
                      <a:avLst/>
                    </a:prstGeom>
                    <a:ln>
                      <a:solidFill>
                        <a:schemeClr val="tx1"/>
                      </a:solidFill>
                    </a:ln>
                  </pic:spPr>
                </pic:pic>
              </a:graphicData>
            </a:graphic>
          </wp:inline>
        </w:drawing>
      </w:r>
    </w:p>
    <w:p w14:paraId="2974C176"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14</w:t>
      </w:r>
      <w:r w:rsidRPr="006862D4">
        <w:rPr>
          <w:rFonts w:cs="Times New Roman"/>
          <w:b/>
          <w:bCs/>
          <w:i w:val="0"/>
          <w:iCs w:val="0"/>
          <w:color w:val="auto"/>
        </w:rPr>
        <w:fldChar w:fldCharType="end"/>
      </w:r>
      <w:r w:rsidRPr="006862D4">
        <w:rPr>
          <w:rFonts w:cs="Times New Roman"/>
          <w:b/>
          <w:bCs/>
          <w:i w:val="0"/>
          <w:iCs w:val="0"/>
          <w:color w:val="auto"/>
        </w:rPr>
        <w:t xml:space="preserve"> Deep resistivity (RILD) versus depth</w:t>
      </w:r>
    </w:p>
    <w:p w14:paraId="7F2E8BA1"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6279BC2B" wp14:editId="34910294">
            <wp:extent cx="2641000" cy="4405867"/>
            <wp:effectExtent l="19050" t="19050" r="26035" b="13970"/>
            <wp:docPr id="18951005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0534" name="Picture 1895100534"/>
                    <pic:cNvPicPr/>
                  </pic:nvPicPr>
                  <pic:blipFill>
                    <a:blip r:embed="rId21">
                      <a:extLst>
                        <a:ext uri="{28A0092B-C50C-407E-A947-70E740481C1C}">
                          <a14:useLocalDpi xmlns:a14="http://schemas.microsoft.com/office/drawing/2010/main" val="0"/>
                        </a:ext>
                      </a:extLst>
                    </a:blip>
                    <a:stretch>
                      <a:fillRect/>
                    </a:stretch>
                  </pic:blipFill>
                  <pic:spPr>
                    <a:xfrm>
                      <a:off x="0" y="0"/>
                      <a:ext cx="2662482" cy="4441704"/>
                    </a:xfrm>
                    <a:prstGeom prst="rect">
                      <a:avLst/>
                    </a:prstGeom>
                    <a:ln>
                      <a:solidFill>
                        <a:schemeClr val="tx1"/>
                      </a:solidFill>
                    </a:ln>
                  </pic:spPr>
                </pic:pic>
              </a:graphicData>
            </a:graphic>
          </wp:inline>
        </w:drawing>
      </w:r>
    </w:p>
    <w:p w14:paraId="37AF8F6F"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15</w:t>
      </w:r>
      <w:r w:rsidRPr="006862D4">
        <w:rPr>
          <w:rFonts w:cs="Times New Roman"/>
          <w:b/>
          <w:bCs/>
          <w:i w:val="0"/>
          <w:iCs w:val="0"/>
          <w:color w:val="auto"/>
        </w:rPr>
        <w:fldChar w:fldCharType="end"/>
      </w:r>
      <w:r w:rsidRPr="006862D4">
        <w:rPr>
          <w:rFonts w:cs="Times New Roman"/>
          <w:b/>
          <w:bCs/>
          <w:i w:val="0"/>
          <w:iCs w:val="0"/>
          <w:color w:val="auto"/>
        </w:rPr>
        <w:t xml:space="preserve"> Reservoir interval identification based on high resistivity</w:t>
      </w:r>
    </w:p>
    <w:p w14:paraId="0D2C27A1" w14:textId="77777777" w:rsidR="006862D4" w:rsidRDefault="006862D4" w:rsidP="006862D4">
      <w:pPr>
        <w:pStyle w:val="Caption"/>
        <w:keepNext/>
        <w:spacing w:after="0"/>
        <w:rPr>
          <w:rFonts w:cs="Times New Roman"/>
          <w:b/>
          <w:bCs/>
          <w:i w:val="0"/>
          <w:iCs w:val="0"/>
          <w:color w:val="auto"/>
        </w:rPr>
        <w:sectPr w:rsidR="006862D4" w:rsidSect="006862D4">
          <w:type w:val="continuous"/>
          <w:pgSz w:w="12240" w:h="15840"/>
          <w:pgMar w:top="1440" w:right="1440" w:bottom="1440" w:left="1440" w:header="720" w:footer="720" w:gutter="0"/>
          <w:cols w:num="2" w:space="720"/>
          <w:docGrid w:linePitch="360"/>
        </w:sectPr>
      </w:pPr>
    </w:p>
    <w:p w14:paraId="5025EBC1" w14:textId="77777777" w:rsidR="006862D4" w:rsidRDefault="006862D4" w:rsidP="006862D4">
      <w:pPr>
        <w:pStyle w:val="Caption"/>
        <w:keepNext/>
        <w:spacing w:after="0"/>
        <w:rPr>
          <w:rFonts w:cs="Times New Roman"/>
          <w:b/>
          <w:bCs/>
          <w:i w:val="0"/>
          <w:iCs w:val="0"/>
          <w:color w:val="auto"/>
        </w:rPr>
      </w:pPr>
    </w:p>
    <w:p w14:paraId="6D060024" w14:textId="77777777" w:rsidR="006862D4" w:rsidRDefault="006862D4" w:rsidP="006862D4">
      <w:pPr>
        <w:pStyle w:val="Caption"/>
        <w:keepNext/>
        <w:spacing w:after="0"/>
        <w:rPr>
          <w:rFonts w:cs="Times New Roman"/>
          <w:b/>
          <w:bCs/>
          <w:i w:val="0"/>
          <w:iCs w:val="0"/>
          <w:color w:val="auto"/>
        </w:rPr>
      </w:pPr>
    </w:p>
    <w:p w14:paraId="651E572F" w14:textId="59D21F42" w:rsidR="00E32EFA" w:rsidRPr="006862D4" w:rsidRDefault="00E32EFA" w:rsidP="006862D4">
      <w:pPr>
        <w:pStyle w:val="Caption"/>
        <w:keepNext/>
        <w:spacing w:after="0"/>
        <w:rPr>
          <w:rFonts w:cs="Times New Roman"/>
          <w:b/>
          <w:bCs/>
          <w:i w:val="0"/>
          <w:iCs w:val="0"/>
          <w:color w:val="auto"/>
        </w:rPr>
      </w:pPr>
      <w:r w:rsidRPr="006862D4">
        <w:rPr>
          <w:rFonts w:cs="Times New Roman"/>
          <w:b/>
          <w:bCs/>
          <w:i w:val="0"/>
          <w:iCs w:val="0"/>
          <w:color w:val="auto"/>
        </w:rPr>
        <w:t xml:space="preserve">Table </w:t>
      </w:r>
      <w:r w:rsidRPr="006862D4">
        <w:rPr>
          <w:rFonts w:cs="Times New Roman"/>
          <w:b/>
          <w:bCs/>
          <w:i w:val="0"/>
          <w:iCs w:val="0"/>
          <w:color w:val="auto"/>
        </w:rPr>
        <w:fldChar w:fldCharType="begin"/>
      </w:r>
      <w:r w:rsidRPr="006862D4">
        <w:rPr>
          <w:rFonts w:cs="Times New Roman"/>
          <w:b/>
          <w:bCs/>
          <w:i w:val="0"/>
          <w:iCs w:val="0"/>
          <w:color w:val="auto"/>
        </w:rPr>
        <w:instrText xml:space="preserve"> SEQ Table \* ARABIC </w:instrText>
      </w:r>
      <w:r w:rsidRPr="006862D4">
        <w:rPr>
          <w:rFonts w:cs="Times New Roman"/>
          <w:b/>
          <w:bCs/>
          <w:i w:val="0"/>
          <w:iCs w:val="0"/>
          <w:color w:val="auto"/>
        </w:rPr>
        <w:fldChar w:fldCharType="separate"/>
      </w:r>
      <w:r w:rsidRPr="006862D4">
        <w:rPr>
          <w:rFonts w:cs="Times New Roman"/>
          <w:b/>
          <w:bCs/>
          <w:i w:val="0"/>
          <w:iCs w:val="0"/>
          <w:noProof/>
          <w:color w:val="auto"/>
        </w:rPr>
        <w:t>4</w:t>
      </w:r>
      <w:r w:rsidRPr="006862D4">
        <w:rPr>
          <w:rFonts w:cs="Times New Roman"/>
          <w:b/>
          <w:bCs/>
          <w:i w:val="0"/>
          <w:iCs w:val="0"/>
          <w:color w:val="auto"/>
        </w:rPr>
        <w:fldChar w:fldCharType="end"/>
      </w:r>
      <w:r w:rsidRPr="006862D4">
        <w:rPr>
          <w:rFonts w:cs="Times New Roman"/>
          <w:b/>
          <w:bCs/>
          <w:i w:val="0"/>
          <w:iCs w:val="0"/>
          <w:color w:val="auto"/>
        </w:rPr>
        <w:t xml:space="preserve"> Reservoir vs </w:t>
      </w:r>
      <w:proofErr w:type="gramStart"/>
      <w:r w:rsidRPr="006862D4">
        <w:rPr>
          <w:rFonts w:cs="Times New Roman"/>
          <w:b/>
          <w:bCs/>
          <w:i w:val="0"/>
          <w:iCs w:val="0"/>
          <w:color w:val="auto"/>
        </w:rPr>
        <w:t>Non-reservoir</w:t>
      </w:r>
      <w:proofErr w:type="gramEnd"/>
      <w:r w:rsidRPr="006862D4">
        <w:rPr>
          <w:rFonts w:cs="Times New Roman"/>
          <w:b/>
          <w:bCs/>
          <w:i w:val="0"/>
          <w:iCs w:val="0"/>
          <w:color w:val="auto"/>
        </w:rPr>
        <w:t xml:space="preserve"> summary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32EFA" w:rsidRPr="006862D4" w14:paraId="05251A76" w14:textId="77777777">
        <w:tc>
          <w:tcPr>
            <w:tcW w:w="1440" w:type="dxa"/>
          </w:tcPr>
          <w:p w14:paraId="58039950"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Zone</w:t>
            </w:r>
          </w:p>
        </w:tc>
        <w:tc>
          <w:tcPr>
            <w:tcW w:w="1440" w:type="dxa"/>
          </w:tcPr>
          <w:p w14:paraId="1D1D79D7"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GR</w:t>
            </w:r>
          </w:p>
        </w:tc>
        <w:tc>
          <w:tcPr>
            <w:tcW w:w="1440" w:type="dxa"/>
          </w:tcPr>
          <w:p w14:paraId="0ED7F68A"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RHOB</w:t>
            </w:r>
          </w:p>
        </w:tc>
        <w:tc>
          <w:tcPr>
            <w:tcW w:w="1440" w:type="dxa"/>
          </w:tcPr>
          <w:p w14:paraId="0E19BFE9"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CNPOR</w:t>
            </w:r>
          </w:p>
        </w:tc>
        <w:tc>
          <w:tcPr>
            <w:tcW w:w="1440" w:type="dxa"/>
          </w:tcPr>
          <w:p w14:paraId="0CE414D4"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RILD</w:t>
            </w:r>
          </w:p>
        </w:tc>
        <w:tc>
          <w:tcPr>
            <w:tcW w:w="1440" w:type="dxa"/>
          </w:tcPr>
          <w:p w14:paraId="24FFD1EC"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VSH</w:t>
            </w:r>
          </w:p>
        </w:tc>
      </w:tr>
      <w:tr w:rsidR="006862D4" w:rsidRPr="006862D4" w14:paraId="08C30896" w14:textId="77777777">
        <w:tc>
          <w:tcPr>
            <w:tcW w:w="1440" w:type="dxa"/>
          </w:tcPr>
          <w:p w14:paraId="7B74DE88"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Non-Reservoir</w:t>
            </w:r>
          </w:p>
        </w:tc>
        <w:tc>
          <w:tcPr>
            <w:tcW w:w="1440" w:type="dxa"/>
          </w:tcPr>
          <w:p w14:paraId="4D89F40D"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266.8572</w:t>
            </w:r>
          </w:p>
        </w:tc>
        <w:tc>
          <w:tcPr>
            <w:tcW w:w="1440" w:type="dxa"/>
          </w:tcPr>
          <w:p w14:paraId="40647F3F"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47.0427</w:t>
            </w:r>
          </w:p>
        </w:tc>
        <w:tc>
          <w:tcPr>
            <w:tcW w:w="1440" w:type="dxa"/>
          </w:tcPr>
          <w:p w14:paraId="6A727CA2"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28.0739</w:t>
            </w:r>
          </w:p>
        </w:tc>
        <w:tc>
          <w:tcPr>
            <w:tcW w:w="1440" w:type="dxa"/>
          </w:tcPr>
          <w:p w14:paraId="45245082"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7.9379</w:t>
            </w:r>
          </w:p>
        </w:tc>
        <w:tc>
          <w:tcPr>
            <w:tcW w:w="1440" w:type="dxa"/>
          </w:tcPr>
          <w:p w14:paraId="1D315628"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0.6702</w:t>
            </w:r>
          </w:p>
        </w:tc>
      </w:tr>
      <w:tr w:rsidR="006862D4" w:rsidRPr="006862D4" w14:paraId="275A743E" w14:textId="77777777">
        <w:tc>
          <w:tcPr>
            <w:tcW w:w="1440" w:type="dxa"/>
          </w:tcPr>
          <w:p w14:paraId="3D2D23FB"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Reservoir</w:t>
            </w:r>
          </w:p>
        </w:tc>
        <w:tc>
          <w:tcPr>
            <w:tcW w:w="1440" w:type="dxa"/>
          </w:tcPr>
          <w:p w14:paraId="07CA2496"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37.8322</w:t>
            </w:r>
          </w:p>
        </w:tc>
        <w:tc>
          <w:tcPr>
            <w:tcW w:w="1440" w:type="dxa"/>
          </w:tcPr>
          <w:p w14:paraId="70EA3E25"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2.6553</w:t>
            </w:r>
          </w:p>
        </w:tc>
        <w:tc>
          <w:tcPr>
            <w:tcW w:w="1440" w:type="dxa"/>
          </w:tcPr>
          <w:p w14:paraId="655EFF5C"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15.8555</w:t>
            </w:r>
          </w:p>
        </w:tc>
        <w:tc>
          <w:tcPr>
            <w:tcW w:w="1440" w:type="dxa"/>
          </w:tcPr>
          <w:p w14:paraId="0877583F"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987.5444</w:t>
            </w:r>
          </w:p>
        </w:tc>
        <w:tc>
          <w:tcPr>
            <w:tcW w:w="1440" w:type="dxa"/>
          </w:tcPr>
          <w:p w14:paraId="65812AF9" w14:textId="77777777" w:rsidR="00E32EFA" w:rsidRPr="006862D4" w:rsidRDefault="00E32EFA" w:rsidP="006862D4">
            <w:pPr>
              <w:spacing w:after="0"/>
              <w:rPr>
                <w:rFonts w:eastAsia="MS Mincho" w:cs="Times New Roman"/>
                <w:color w:val="auto"/>
                <w:szCs w:val="24"/>
              </w:rPr>
            </w:pPr>
            <w:r w:rsidRPr="006862D4">
              <w:rPr>
                <w:rFonts w:eastAsia="MS Mincho" w:cs="Times New Roman"/>
                <w:color w:val="auto"/>
                <w:szCs w:val="24"/>
              </w:rPr>
              <w:t>0.0614</w:t>
            </w:r>
          </w:p>
        </w:tc>
      </w:tr>
    </w:tbl>
    <w:p w14:paraId="542A2392" w14:textId="77777777" w:rsidR="00E32EFA" w:rsidRPr="006862D4" w:rsidRDefault="00E32EFA" w:rsidP="006862D4">
      <w:pPr>
        <w:spacing w:after="0"/>
        <w:rPr>
          <w:rFonts w:cs="Times New Roman"/>
          <w:color w:val="auto"/>
        </w:rPr>
      </w:pPr>
    </w:p>
    <w:p w14:paraId="52493350" w14:textId="5E982305" w:rsidR="00A164FC" w:rsidRPr="006862D4" w:rsidRDefault="00554814" w:rsidP="006862D4">
      <w:pPr>
        <w:spacing w:after="0"/>
        <w:rPr>
          <w:rFonts w:cs="Times New Roman"/>
        </w:rPr>
      </w:pPr>
      <w:r w:rsidRPr="006862D4">
        <w:rPr>
          <w:rFonts w:cs="Times New Roman"/>
        </w:rPr>
        <w:lastRenderedPageBreak/>
        <w:t xml:space="preserve">The well log data gives continuous measurements depending on depth that supplements the plug-scale porosity-permeability measurements. </w:t>
      </w:r>
      <w:r w:rsidRPr="006862D4">
        <w:rPr>
          <w:rFonts w:cs="Times New Roman"/>
          <w:b/>
          <w:bCs/>
        </w:rPr>
        <w:t>Figure 9</w:t>
      </w:r>
      <w:r w:rsidRPr="006862D4">
        <w:rPr>
          <w:rFonts w:cs="Times New Roman"/>
        </w:rPr>
        <w:t xml:space="preserve"> is the multi-track plot indicating the main curves utilized in the </w:t>
      </w:r>
      <w:proofErr w:type="spellStart"/>
      <w:r w:rsidRPr="006862D4">
        <w:rPr>
          <w:rFonts w:cs="Times New Roman"/>
        </w:rPr>
        <w:t>characterisation</w:t>
      </w:r>
      <w:proofErr w:type="spellEnd"/>
      <w:r w:rsidRPr="006862D4">
        <w:rPr>
          <w:rFonts w:cs="Times New Roman"/>
        </w:rPr>
        <w:t xml:space="preserve"> of the reservoir: gamma ray, density, neutron porosity and deep resistivity. The reason behind the selection of these logs is that they are beneficial in the identification of lithology, estimation of the shale, and detection of hydrocarbons directly. GR, RHOB, CNPOR and RILD distributions (</w:t>
      </w:r>
      <w:r w:rsidRPr="006862D4">
        <w:rPr>
          <w:rFonts w:cs="Times New Roman"/>
          <w:b/>
          <w:bCs/>
        </w:rPr>
        <w:t>Figure 10</w:t>
      </w:r>
      <w:r w:rsidRPr="006862D4">
        <w:rPr>
          <w:rFonts w:cs="Times New Roman"/>
        </w:rPr>
        <w:t>) show that there is high variability along the well. GR shows a wide dispersion, which represents clean and shaly units. Density and neutron porosity exhibit fewer variations in response to more stable mineral matrix and compaction environments. RILD is characterized by skewed distribution, as would be true when the number of intervals containing high-resistivity hydrocarbons is small</w:t>
      </w:r>
      <w:r w:rsidR="001B60C3" w:rsidRPr="006862D4">
        <w:rPr>
          <w:rFonts w:cs="Times New Roman"/>
        </w:rPr>
        <w:t xml:space="preserve"> </w:t>
      </w:r>
      <w:r w:rsidR="001B60C3" w:rsidRPr="006862D4">
        <w:rPr>
          <w:rFonts w:cs="Times New Roman"/>
        </w:rPr>
        <w:fldChar w:fldCharType="begin"/>
      </w:r>
      <w:r w:rsidR="001B60C3" w:rsidRPr="006862D4">
        <w:rPr>
          <w:rFonts w:cs="Times New Roman"/>
        </w:rPr>
        <w:instrText xml:space="preserve"> ADDIN EN.CITE &lt;EndNote&gt;&lt;Cite&gt;&lt;Author&gt;Asquith&lt;/Author&gt;&lt;Year&gt;2004&lt;/Year&gt;&lt;RecNum&gt;370&lt;/RecNum&gt;&lt;DisplayText&gt;(Asquith, Krygowski et al. 2004)&lt;/DisplayText&gt;&lt;record&gt;&lt;rec-number&gt;370&lt;/rec-number&gt;&lt;foreign-keys&gt;&lt;key app="EN" db-id="0vfw2fpzoxwz04etwpuvvdxv5vdp5de5avv9" timestamp="1763443499"&gt;370&lt;/key&gt;&lt;/foreign-keys&gt;&lt;ref-type name="Book"&gt;6&lt;/ref-type&gt;&lt;contributors&gt;&lt;authors&gt;&lt;author&gt;Asquith, George B&lt;/author&gt;&lt;author&gt;Krygowski, Daniel&lt;/author&gt;&lt;author&gt;Gibson, Charles R&lt;/author&gt;&lt;/authors&gt;&lt;/contributors&gt;&lt;titles&gt;&lt;title&gt;Basic well log analysis&lt;/title&gt;&lt;/titles&gt;&lt;volume&gt;16&lt;/volume&gt;&lt;dates&gt;&lt;year&gt;2004&lt;/year&gt;&lt;/dates&gt;&lt;publisher&gt;American Association of Petroleum Geologists Tulsa&lt;/publisher&gt;&lt;urls&gt;&lt;/urls&gt;&lt;/record&gt;&lt;/Cite&gt;&lt;/EndNote&gt;</w:instrText>
      </w:r>
      <w:r w:rsidR="001B60C3" w:rsidRPr="006862D4">
        <w:rPr>
          <w:rFonts w:cs="Times New Roman"/>
        </w:rPr>
        <w:fldChar w:fldCharType="separate"/>
      </w:r>
      <w:r w:rsidR="001B60C3" w:rsidRPr="006862D4">
        <w:rPr>
          <w:rFonts w:cs="Times New Roman"/>
          <w:noProof/>
        </w:rPr>
        <w:t>(Asquith, Krygowski et al. 2004)</w:t>
      </w:r>
      <w:r w:rsidR="001B60C3" w:rsidRPr="006862D4">
        <w:rPr>
          <w:rFonts w:cs="Times New Roman"/>
        </w:rPr>
        <w:fldChar w:fldCharType="end"/>
      </w:r>
      <w:r w:rsidRPr="006862D4">
        <w:rPr>
          <w:rFonts w:cs="Times New Roman"/>
        </w:rPr>
        <w:t xml:space="preserve">. </w:t>
      </w:r>
      <w:r w:rsidRPr="006862D4">
        <w:rPr>
          <w:rFonts w:cs="Times New Roman"/>
          <w:b/>
          <w:bCs/>
        </w:rPr>
        <w:t>Figure 11</w:t>
      </w:r>
      <w:r w:rsidRPr="006862D4">
        <w:rPr>
          <w:rFonts w:cs="Times New Roman"/>
        </w:rPr>
        <w:t xml:space="preserve"> is the </w:t>
      </w:r>
      <w:proofErr w:type="spellStart"/>
      <w:r w:rsidRPr="006862D4">
        <w:rPr>
          <w:rFonts w:cs="Times New Roman"/>
        </w:rPr>
        <w:t>Vshale</w:t>
      </w:r>
      <w:proofErr w:type="spellEnd"/>
      <w:r w:rsidRPr="006862D4">
        <w:rPr>
          <w:rFonts w:cs="Times New Roman"/>
        </w:rPr>
        <w:t xml:space="preserve"> log and shows that the sections with </w:t>
      </w:r>
      <w:proofErr w:type="gramStart"/>
      <w:r w:rsidRPr="006862D4">
        <w:rPr>
          <w:rFonts w:cs="Times New Roman"/>
        </w:rPr>
        <w:t>the</w:t>
      </w:r>
      <w:proofErr w:type="gramEnd"/>
      <w:r w:rsidRPr="006862D4">
        <w:rPr>
          <w:rFonts w:cs="Times New Roman"/>
        </w:rPr>
        <w:t xml:space="preserve"> lower level of GR than the 40 percent mark that is used to establish net reservoir. The net intervals identified cover a length of about 1057ft of the section that is logged and this has proved that the well cuts several sand-rich units. These areas help in the estimation of reservoir thickness and give an approximation on the magnitude of production. The neutron-density plot (</w:t>
      </w:r>
      <w:r w:rsidRPr="006862D4">
        <w:rPr>
          <w:rFonts w:cs="Times New Roman"/>
          <w:b/>
          <w:bCs/>
        </w:rPr>
        <w:t>Figure 12</w:t>
      </w:r>
      <w:r w:rsidRPr="006862D4">
        <w:rPr>
          <w:rFonts w:cs="Times New Roman"/>
        </w:rPr>
        <w:t xml:space="preserve">), </w:t>
      </w:r>
      <w:proofErr w:type="spellStart"/>
      <w:r w:rsidRPr="006862D4">
        <w:rPr>
          <w:rFonts w:cs="Times New Roman"/>
        </w:rPr>
        <w:t>coloured</w:t>
      </w:r>
      <w:proofErr w:type="spellEnd"/>
      <w:r w:rsidRPr="006862D4">
        <w:rPr>
          <w:rFonts w:cs="Times New Roman"/>
        </w:rPr>
        <w:t xml:space="preserve"> by gamma ray, indicates there is an apparent demarcation between clean sands, shaly sands and shale-rich intervals. The trends of clean sandstone reservoirs are concentrated around the sandstone trend with the high-shale intervals falling towards the upper density and low neutron porosity</w:t>
      </w:r>
      <w:r w:rsidR="001B60C3" w:rsidRPr="006862D4">
        <w:rPr>
          <w:rFonts w:cs="Times New Roman"/>
        </w:rPr>
        <w:t xml:space="preserve"> </w:t>
      </w:r>
      <w:r w:rsidR="001B60C3" w:rsidRPr="006862D4">
        <w:rPr>
          <w:rFonts w:cs="Times New Roman"/>
        </w:rPr>
        <w:fldChar w:fldCharType="begin"/>
      </w:r>
      <w:r w:rsidR="001B60C3" w:rsidRPr="006862D4">
        <w:rPr>
          <w:rFonts w:cs="Times New Roman"/>
        </w:rPr>
        <w:instrText xml:space="preserve"> ADDIN EN.CITE &lt;EndNote&gt;&lt;Cite&gt;&lt;Author&gt;Doll&lt;/Author&gt;&lt;Year&gt;1949&lt;/Year&gt;&lt;RecNum&gt;371&lt;/RecNum&gt;&lt;DisplayText&gt;(Doll 1949)&lt;/DisplayText&gt;&lt;record&gt;&lt;rec-number&gt;371&lt;/rec-number&gt;&lt;foreign-keys&gt;&lt;key app="EN" db-id="0vfw2fpzoxwz04etwpuvvdxv5vdp5de5avv9" timestamp="1763443606"&gt;371&lt;/key&gt;&lt;/foreign-keys&gt;&lt;ref-type name="Journal Article"&gt;17&lt;/ref-type&gt;&lt;contributors&gt;&lt;authors&gt;&lt;author&gt;Doll, HG t&lt;/author&gt;&lt;/authors&gt;&lt;/contributors&gt;&lt;titles&gt;&lt;title&gt;The SP log: Theoretical analysis and principles of interpretation&lt;/title&gt;&lt;secondary-title&gt;Transactions of the AIME&lt;/secondary-title&gt;&lt;/titles&gt;&lt;periodical&gt;&lt;full-title&gt;Transactions of the AIME&lt;/full-title&gt;&lt;/periodical&gt;&lt;pages&gt;146-185&lt;/pages&gt;&lt;volume&gt;179&lt;/volume&gt;&lt;number&gt;01&lt;/number&gt;&lt;dates&gt;&lt;year&gt;1949&lt;/year&gt;&lt;/dates&gt;&lt;isbn&gt;0081-1696&lt;/isbn&gt;&lt;urls&gt;&lt;/urls&gt;&lt;/record&gt;&lt;/Cite&gt;&lt;/EndNote&gt;</w:instrText>
      </w:r>
      <w:r w:rsidR="001B60C3" w:rsidRPr="006862D4">
        <w:rPr>
          <w:rFonts w:cs="Times New Roman"/>
        </w:rPr>
        <w:fldChar w:fldCharType="separate"/>
      </w:r>
      <w:r w:rsidR="001B60C3" w:rsidRPr="006862D4">
        <w:rPr>
          <w:rFonts w:cs="Times New Roman"/>
          <w:noProof/>
        </w:rPr>
        <w:t>(Doll 1949)</w:t>
      </w:r>
      <w:r w:rsidR="001B60C3" w:rsidRPr="006862D4">
        <w:rPr>
          <w:rFonts w:cs="Times New Roman"/>
        </w:rPr>
        <w:fldChar w:fldCharType="end"/>
      </w:r>
      <w:r w:rsidRPr="006862D4">
        <w:rPr>
          <w:rFonts w:cs="Times New Roman"/>
        </w:rPr>
        <w:t xml:space="preserve">. This is in favor of the lithology explanation based on </w:t>
      </w:r>
      <w:proofErr w:type="spellStart"/>
      <w:r w:rsidRPr="006862D4">
        <w:rPr>
          <w:rFonts w:cs="Times New Roman"/>
        </w:rPr>
        <w:t>Vshale</w:t>
      </w:r>
      <w:proofErr w:type="spellEnd"/>
      <w:r w:rsidRPr="006862D4">
        <w:rPr>
          <w:rFonts w:cs="Times New Roman"/>
        </w:rPr>
        <w:t>. The correlation heatmap (</w:t>
      </w:r>
      <w:r w:rsidRPr="006862D4">
        <w:rPr>
          <w:rFonts w:cs="Times New Roman"/>
          <w:b/>
          <w:bCs/>
        </w:rPr>
        <w:t>Figure 13</w:t>
      </w:r>
      <w:r w:rsidRPr="006862D4">
        <w:rPr>
          <w:rFonts w:cs="Times New Roman"/>
        </w:rPr>
        <w:t>) and numerical matrix (</w:t>
      </w:r>
      <w:r w:rsidRPr="006862D4">
        <w:rPr>
          <w:rFonts w:cs="Times New Roman"/>
          <w:b/>
          <w:bCs/>
        </w:rPr>
        <w:t>Table 3</w:t>
      </w:r>
      <w:r w:rsidRPr="006862D4">
        <w:rPr>
          <w:rFonts w:cs="Times New Roman"/>
        </w:rPr>
        <w:t xml:space="preserve">) demonstrate that the correlations between the logs are mostly weak, as it is expected of mixed lithologies where each of the tools reacts to various physical properties. The </w:t>
      </w:r>
      <w:proofErr w:type="gramStart"/>
      <w:r w:rsidRPr="006862D4">
        <w:rPr>
          <w:rFonts w:cs="Times New Roman"/>
        </w:rPr>
        <w:t>best-correlation</w:t>
      </w:r>
      <w:proofErr w:type="gramEnd"/>
      <w:r w:rsidRPr="006862D4">
        <w:rPr>
          <w:rFonts w:cs="Times New Roman"/>
        </w:rPr>
        <w:t xml:space="preserve"> found is the positive one between </w:t>
      </w:r>
      <w:proofErr w:type="spellStart"/>
      <w:r w:rsidRPr="006862D4">
        <w:rPr>
          <w:rFonts w:cs="Times New Roman"/>
        </w:rPr>
        <w:t>Vshale</w:t>
      </w:r>
      <w:proofErr w:type="spellEnd"/>
      <w:r w:rsidRPr="006862D4">
        <w:rPr>
          <w:rFonts w:cs="Times New Roman"/>
        </w:rPr>
        <w:t xml:space="preserve"> and CNPOR (0.5280)</w:t>
      </w:r>
      <w:proofErr w:type="gramStart"/>
      <w:r w:rsidRPr="006862D4">
        <w:rPr>
          <w:rFonts w:cs="Times New Roman"/>
        </w:rPr>
        <w:t xml:space="preserve"> indicating</w:t>
      </w:r>
      <w:proofErr w:type="gramEnd"/>
      <w:r w:rsidRPr="006862D4">
        <w:rPr>
          <w:rFonts w:cs="Times New Roman"/>
        </w:rPr>
        <w:t xml:space="preserve"> the shale to tendency to increase neutron-porosity reading artificially. The weak negative correlations anticipated by the fluid sensitivity and not the matrix composition are reflected in the resistivity log. The deep resistivity trend (</w:t>
      </w:r>
      <w:r w:rsidRPr="006862D4">
        <w:rPr>
          <w:rFonts w:cs="Times New Roman"/>
          <w:b/>
          <w:bCs/>
        </w:rPr>
        <w:t>Figure 14</w:t>
      </w:r>
      <w:r w:rsidRPr="006862D4">
        <w:rPr>
          <w:rFonts w:cs="Times New Roman"/>
        </w:rPr>
        <w:t xml:space="preserve">) shows that there are a few high resistivity intervals, which agree with the clean zone located in </w:t>
      </w:r>
      <w:proofErr w:type="spellStart"/>
      <w:r w:rsidRPr="006862D4">
        <w:rPr>
          <w:rFonts w:cs="Times New Roman"/>
        </w:rPr>
        <w:t>Vshale</w:t>
      </w:r>
      <w:proofErr w:type="spellEnd"/>
      <w:r w:rsidRPr="006862D4">
        <w:rPr>
          <w:rFonts w:cs="Times New Roman"/>
        </w:rPr>
        <w:t xml:space="preserve">. Such are viewed as possible hydrocarbon-bearing fields. </w:t>
      </w:r>
      <w:proofErr w:type="gramStart"/>
      <w:r w:rsidRPr="006862D4">
        <w:rPr>
          <w:rFonts w:cs="Times New Roman"/>
        </w:rPr>
        <w:t>It can be seen that in</w:t>
      </w:r>
      <w:proofErr w:type="gramEnd"/>
      <w:r w:rsidRPr="006862D4">
        <w:rPr>
          <w:rFonts w:cs="Times New Roman"/>
        </w:rPr>
        <w:t xml:space="preserve"> Figure 15 and Table 4, the reservoir intervals have a lower GR (37.8 vs 266.9) and </w:t>
      </w:r>
      <w:proofErr w:type="spellStart"/>
      <w:r w:rsidRPr="006862D4">
        <w:rPr>
          <w:rFonts w:cs="Times New Roman"/>
        </w:rPr>
        <w:t>Vshale</w:t>
      </w:r>
      <w:proofErr w:type="spellEnd"/>
      <w:r w:rsidRPr="006862D4">
        <w:rPr>
          <w:rFonts w:cs="Times New Roman"/>
        </w:rPr>
        <w:t xml:space="preserve"> (0.06 vs 0.67) and a higher RILD (987.5 vs 7.9). This substantiates clean, resistive sites that are in line with the presence of hydrocarbons. In general, the </w:t>
      </w:r>
      <w:proofErr w:type="gramStart"/>
      <w:r w:rsidRPr="006862D4">
        <w:rPr>
          <w:rFonts w:cs="Times New Roman"/>
        </w:rPr>
        <w:t>well log</w:t>
      </w:r>
      <w:proofErr w:type="gramEnd"/>
      <w:r w:rsidRPr="006862D4">
        <w:rPr>
          <w:rFonts w:cs="Times New Roman"/>
        </w:rPr>
        <w:t xml:space="preserve"> interpretation is also in solid agreement with the core data observations. High quality facies and high resistively responding intervals of sand are associated with clean sand. On the other hand, low resistivity and unfavorable reservoir characteristics are found in shale-rich intervals. The logging integration with the parameters derived in the core increases the trust in the reservoir </w:t>
      </w:r>
      <w:r w:rsidR="001B60C3" w:rsidRPr="006862D4">
        <w:rPr>
          <w:rFonts w:cs="Times New Roman"/>
        </w:rPr>
        <w:t xml:space="preserve">characterization </w:t>
      </w:r>
      <w:r w:rsidR="001B60C3" w:rsidRPr="006862D4">
        <w:rPr>
          <w:rFonts w:cs="Times New Roman"/>
        </w:rPr>
        <w:fldChar w:fldCharType="begin"/>
      </w:r>
      <w:r w:rsidR="001B60C3" w:rsidRPr="006862D4">
        <w:rPr>
          <w:rFonts w:cs="Times New Roman"/>
        </w:rPr>
        <w:instrText xml:space="preserve"> ADDIN EN.CITE &lt;EndNote&gt;&lt;Cite&gt;&lt;Author&gt;Tiab&lt;/Author&gt;&lt;Year&gt;2024&lt;/Year&gt;&lt;RecNum&gt;372&lt;/RecNum&gt;&lt;DisplayText&gt;(Tiab and Donaldson 2024)&lt;/DisplayText&gt;&lt;record&gt;&lt;rec-number&gt;372&lt;/rec-number&gt;&lt;foreign-keys&gt;&lt;key app="EN" db-id="0vfw2fpzoxwz04etwpuvvdxv5vdp5de5avv9" timestamp="1763443736"&gt;372&lt;/key&gt;&lt;/foreign-keys&gt;&lt;ref-type name="Book"&gt;6&lt;/ref-type&gt;&lt;contributors&gt;&lt;authors&gt;&lt;author&gt;Tiab, Djebbar&lt;/author&gt;&lt;author&gt;Donaldson, Erle C&lt;/author&gt;&lt;/authors&gt;&lt;/contributors&gt;&lt;titles&gt;&lt;title&gt;Petrophysics: theory and practice of measuring reservoir rock and fluid transport properties&lt;/title&gt;&lt;/titles&gt;&lt;dates&gt;&lt;year&gt;2024&lt;/year&gt;&lt;/dates&gt;&lt;publisher&gt;Elsevier&lt;/publisher&gt;&lt;isbn&gt;0443241287&lt;/isbn&gt;&lt;urls&gt;&lt;/urls&gt;&lt;/record&gt;&lt;/Cite&gt;&lt;/EndNote&gt;</w:instrText>
      </w:r>
      <w:r w:rsidR="001B60C3" w:rsidRPr="006862D4">
        <w:rPr>
          <w:rFonts w:cs="Times New Roman"/>
        </w:rPr>
        <w:fldChar w:fldCharType="separate"/>
      </w:r>
      <w:r w:rsidR="001B60C3" w:rsidRPr="006862D4">
        <w:rPr>
          <w:rFonts w:cs="Times New Roman"/>
          <w:noProof/>
        </w:rPr>
        <w:t>(Tiab and Donaldson 2024)</w:t>
      </w:r>
      <w:r w:rsidR="001B60C3" w:rsidRPr="006862D4">
        <w:rPr>
          <w:rFonts w:cs="Times New Roman"/>
        </w:rPr>
        <w:fldChar w:fldCharType="end"/>
      </w:r>
      <w:r w:rsidR="00A164FC" w:rsidRPr="006862D4">
        <w:rPr>
          <w:rFonts w:cs="Times New Roman"/>
        </w:rPr>
        <w:t>.</w:t>
      </w:r>
    </w:p>
    <w:p w14:paraId="6FA388F4" w14:textId="0E7EAB3E" w:rsidR="00E32EFA" w:rsidRPr="006862D4" w:rsidRDefault="00E32EFA" w:rsidP="006862D4">
      <w:pPr>
        <w:pStyle w:val="Heading2"/>
        <w:spacing w:after="0"/>
        <w:rPr>
          <w:rFonts w:eastAsia="Times New Roman" w:cs="Times New Roman"/>
        </w:rPr>
      </w:pPr>
      <w:r w:rsidRPr="006862D4">
        <w:rPr>
          <w:rFonts w:eastAsia="Times New Roman" w:cs="Times New Roman"/>
        </w:rPr>
        <w:t>3.3 Pore-Scale Image Data</w:t>
      </w:r>
    </w:p>
    <w:p w14:paraId="22489FB2" w14:textId="77777777" w:rsidR="00E32EFA" w:rsidRPr="006862D4" w:rsidRDefault="00E32EFA" w:rsidP="006862D4">
      <w:pPr>
        <w:spacing w:after="0"/>
        <w:rPr>
          <w:rFonts w:cs="Times New Roman"/>
          <w:color w:val="auto"/>
        </w:rPr>
      </w:pPr>
    </w:p>
    <w:p w14:paraId="572327C9"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lastRenderedPageBreak/>
        <w:drawing>
          <wp:inline distT="0" distB="0" distL="0" distR="0" wp14:anchorId="44CE4E17" wp14:editId="6F53C2F2">
            <wp:extent cx="2249754" cy="2365424"/>
            <wp:effectExtent l="19050" t="19050" r="17780" b="15875"/>
            <wp:docPr id="21219394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9436" name="Picture 2121939436"/>
                    <pic:cNvPicPr/>
                  </pic:nvPicPr>
                  <pic:blipFill>
                    <a:blip r:embed="rId22">
                      <a:extLst>
                        <a:ext uri="{28A0092B-C50C-407E-A947-70E740481C1C}">
                          <a14:useLocalDpi xmlns:a14="http://schemas.microsoft.com/office/drawing/2010/main" val="0"/>
                        </a:ext>
                      </a:extLst>
                    </a:blip>
                    <a:stretch>
                      <a:fillRect/>
                    </a:stretch>
                  </pic:blipFill>
                  <pic:spPr>
                    <a:xfrm>
                      <a:off x="0" y="0"/>
                      <a:ext cx="2269863" cy="2386567"/>
                    </a:xfrm>
                    <a:prstGeom prst="rect">
                      <a:avLst/>
                    </a:prstGeom>
                    <a:ln>
                      <a:solidFill>
                        <a:schemeClr val="tx1"/>
                      </a:solidFill>
                    </a:ln>
                  </pic:spPr>
                </pic:pic>
              </a:graphicData>
            </a:graphic>
          </wp:inline>
        </w:drawing>
      </w:r>
    </w:p>
    <w:p w14:paraId="7ABA25BA"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16</w:t>
      </w:r>
      <w:r w:rsidRPr="006862D4">
        <w:rPr>
          <w:rFonts w:cs="Times New Roman"/>
          <w:b/>
          <w:bCs/>
          <w:i w:val="0"/>
          <w:iCs w:val="0"/>
          <w:color w:val="auto"/>
        </w:rPr>
        <w:fldChar w:fldCharType="end"/>
      </w:r>
      <w:r w:rsidRPr="006862D4">
        <w:rPr>
          <w:rFonts w:cs="Times New Roman"/>
          <w:b/>
          <w:bCs/>
          <w:i w:val="0"/>
          <w:iCs w:val="0"/>
          <w:color w:val="auto"/>
        </w:rPr>
        <w:t xml:space="preserve"> Porosity vs permeability scatter plot</w:t>
      </w:r>
    </w:p>
    <w:p w14:paraId="52465D5C"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61D0B5BB" wp14:editId="7D1F523B">
            <wp:extent cx="4606035" cy="2273984"/>
            <wp:effectExtent l="19050" t="19050" r="23495" b="12065"/>
            <wp:docPr id="15410880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8051" name="Picture 1541088051"/>
                    <pic:cNvPicPr/>
                  </pic:nvPicPr>
                  <pic:blipFill>
                    <a:blip r:embed="rId23">
                      <a:extLst>
                        <a:ext uri="{28A0092B-C50C-407E-A947-70E740481C1C}">
                          <a14:useLocalDpi xmlns:a14="http://schemas.microsoft.com/office/drawing/2010/main" val="0"/>
                        </a:ext>
                      </a:extLst>
                    </a:blip>
                    <a:stretch>
                      <a:fillRect/>
                    </a:stretch>
                  </pic:blipFill>
                  <pic:spPr>
                    <a:xfrm>
                      <a:off x="0" y="0"/>
                      <a:ext cx="4630004" cy="2285817"/>
                    </a:xfrm>
                    <a:prstGeom prst="rect">
                      <a:avLst/>
                    </a:prstGeom>
                    <a:ln>
                      <a:solidFill>
                        <a:schemeClr val="tx1"/>
                      </a:solidFill>
                    </a:ln>
                  </pic:spPr>
                </pic:pic>
              </a:graphicData>
            </a:graphic>
          </wp:inline>
        </w:drawing>
      </w:r>
    </w:p>
    <w:p w14:paraId="707877F2"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17</w:t>
      </w:r>
      <w:r w:rsidRPr="006862D4">
        <w:rPr>
          <w:rFonts w:cs="Times New Roman"/>
          <w:b/>
          <w:bCs/>
          <w:i w:val="0"/>
          <w:iCs w:val="0"/>
          <w:color w:val="auto"/>
        </w:rPr>
        <w:fldChar w:fldCharType="end"/>
      </w:r>
      <w:r w:rsidRPr="006862D4">
        <w:rPr>
          <w:rFonts w:cs="Times New Roman"/>
          <w:b/>
          <w:bCs/>
          <w:i w:val="0"/>
          <w:iCs w:val="0"/>
          <w:color w:val="auto"/>
        </w:rPr>
        <w:t xml:space="preserve"> Berea sandstone pore image and denoised pore-scale images</w:t>
      </w:r>
    </w:p>
    <w:p w14:paraId="589E83D6"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7C9EA3EB" wp14:editId="45B29420">
            <wp:extent cx="4705763" cy="2323220"/>
            <wp:effectExtent l="19050" t="19050" r="19050" b="20320"/>
            <wp:docPr id="1594582223" name="Picture 22" descr="A close-up of 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2223" name="Picture 22" descr="A close-up of a black and white imag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748450" cy="2344295"/>
                    </a:xfrm>
                    <a:prstGeom prst="rect">
                      <a:avLst/>
                    </a:prstGeom>
                    <a:ln>
                      <a:solidFill>
                        <a:schemeClr val="tx1"/>
                      </a:solidFill>
                    </a:ln>
                  </pic:spPr>
                </pic:pic>
              </a:graphicData>
            </a:graphic>
          </wp:inline>
        </w:drawing>
      </w:r>
    </w:p>
    <w:p w14:paraId="54348B92" w14:textId="77777777" w:rsidR="00E32EFA" w:rsidRPr="006862D4" w:rsidRDefault="00E32EFA" w:rsidP="006862D4">
      <w:pPr>
        <w:pStyle w:val="Caption"/>
        <w:spacing w:after="0"/>
        <w:ind w:left="360"/>
        <w:jc w:val="center"/>
        <w:rPr>
          <w:rFonts w:eastAsia="Times New Roman" w:cs="Times New Roman"/>
          <w:b/>
          <w:bCs/>
          <w:i w:val="0"/>
          <w:iCs w:val="0"/>
          <w:color w:val="auto"/>
          <w:szCs w:val="24"/>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18</w:t>
      </w:r>
      <w:r w:rsidRPr="006862D4">
        <w:rPr>
          <w:rFonts w:cs="Times New Roman"/>
          <w:b/>
          <w:bCs/>
          <w:i w:val="0"/>
          <w:iCs w:val="0"/>
          <w:color w:val="auto"/>
        </w:rPr>
        <w:fldChar w:fldCharType="end"/>
      </w:r>
      <w:r w:rsidRPr="006862D4">
        <w:rPr>
          <w:rFonts w:cs="Times New Roman"/>
          <w:b/>
          <w:bCs/>
          <w:i w:val="0"/>
          <w:iCs w:val="0"/>
          <w:color w:val="auto"/>
        </w:rPr>
        <w:t xml:space="preserve"> Denoised and binary pore segmentation images</w:t>
      </w:r>
    </w:p>
    <w:p w14:paraId="7EDB5047"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lastRenderedPageBreak/>
        <w:drawing>
          <wp:inline distT="0" distB="0" distL="0" distR="0" wp14:anchorId="3828C9FA" wp14:editId="670CC2F1">
            <wp:extent cx="3715796" cy="2665828"/>
            <wp:effectExtent l="19050" t="19050" r="18415" b="20320"/>
            <wp:docPr id="392594809" name="Picture 23" descr="A graph of a pore siz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4809" name="Picture 23" descr="A graph of a pore size distribu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725595" cy="2672858"/>
                    </a:xfrm>
                    <a:prstGeom prst="rect">
                      <a:avLst/>
                    </a:prstGeom>
                    <a:ln>
                      <a:solidFill>
                        <a:schemeClr val="tx1"/>
                      </a:solidFill>
                    </a:ln>
                  </pic:spPr>
                </pic:pic>
              </a:graphicData>
            </a:graphic>
          </wp:inline>
        </w:drawing>
      </w:r>
    </w:p>
    <w:p w14:paraId="3EA3B7BE"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19</w:t>
      </w:r>
      <w:r w:rsidRPr="006862D4">
        <w:rPr>
          <w:rFonts w:cs="Times New Roman"/>
          <w:b/>
          <w:bCs/>
          <w:i w:val="0"/>
          <w:iCs w:val="0"/>
          <w:color w:val="auto"/>
        </w:rPr>
        <w:fldChar w:fldCharType="end"/>
      </w:r>
      <w:r w:rsidRPr="006862D4">
        <w:rPr>
          <w:rFonts w:cs="Times New Roman"/>
          <w:b/>
          <w:bCs/>
          <w:i w:val="0"/>
          <w:iCs w:val="0"/>
          <w:color w:val="auto"/>
        </w:rPr>
        <w:t xml:space="preserve"> Pore size distribution histogram</w:t>
      </w:r>
    </w:p>
    <w:p w14:paraId="29CCC8EB" w14:textId="77777777" w:rsidR="00E32EFA" w:rsidRPr="006862D4" w:rsidRDefault="00E32EFA" w:rsidP="006862D4">
      <w:pPr>
        <w:pStyle w:val="Caption"/>
        <w:keepNext/>
        <w:spacing w:after="0"/>
        <w:rPr>
          <w:rFonts w:cs="Times New Roman"/>
          <w:b/>
          <w:bCs/>
          <w:i w:val="0"/>
          <w:iCs w:val="0"/>
          <w:color w:val="auto"/>
        </w:rPr>
      </w:pPr>
      <w:r w:rsidRPr="006862D4">
        <w:rPr>
          <w:rFonts w:cs="Times New Roman"/>
          <w:b/>
          <w:bCs/>
          <w:i w:val="0"/>
          <w:iCs w:val="0"/>
          <w:color w:val="auto"/>
        </w:rPr>
        <w:t xml:space="preserve">Table </w:t>
      </w:r>
      <w:r w:rsidRPr="006862D4">
        <w:rPr>
          <w:rFonts w:cs="Times New Roman"/>
          <w:b/>
          <w:bCs/>
          <w:i w:val="0"/>
          <w:iCs w:val="0"/>
          <w:color w:val="auto"/>
        </w:rPr>
        <w:fldChar w:fldCharType="begin"/>
      </w:r>
      <w:r w:rsidRPr="006862D4">
        <w:rPr>
          <w:rFonts w:cs="Times New Roman"/>
          <w:b/>
          <w:bCs/>
          <w:i w:val="0"/>
          <w:iCs w:val="0"/>
          <w:color w:val="auto"/>
        </w:rPr>
        <w:instrText xml:space="preserve"> SEQ Table \* ARABIC </w:instrText>
      </w:r>
      <w:r w:rsidRPr="006862D4">
        <w:rPr>
          <w:rFonts w:cs="Times New Roman"/>
          <w:b/>
          <w:bCs/>
          <w:i w:val="0"/>
          <w:iCs w:val="0"/>
          <w:color w:val="auto"/>
        </w:rPr>
        <w:fldChar w:fldCharType="separate"/>
      </w:r>
      <w:r w:rsidRPr="006862D4">
        <w:rPr>
          <w:rFonts w:cs="Times New Roman"/>
          <w:b/>
          <w:bCs/>
          <w:i w:val="0"/>
          <w:iCs w:val="0"/>
          <w:noProof/>
          <w:color w:val="auto"/>
        </w:rPr>
        <w:t>5</w:t>
      </w:r>
      <w:r w:rsidRPr="006862D4">
        <w:rPr>
          <w:rFonts w:cs="Times New Roman"/>
          <w:b/>
          <w:bCs/>
          <w:i w:val="0"/>
          <w:iCs w:val="0"/>
          <w:color w:val="auto"/>
        </w:rPr>
        <w:fldChar w:fldCharType="end"/>
      </w:r>
      <w:r w:rsidRPr="006862D4">
        <w:rPr>
          <w:rFonts w:cs="Times New Roman"/>
          <w:b/>
          <w:bCs/>
          <w:i w:val="0"/>
          <w:iCs w:val="0"/>
          <w:color w:val="auto"/>
        </w:rPr>
        <w:t xml:space="preserve"> Image analysis summary</w:t>
      </w:r>
    </w:p>
    <w:tbl>
      <w:tblPr>
        <w:tblStyle w:val="TableGrid"/>
        <w:tblW w:w="0" w:type="auto"/>
        <w:tblLook w:val="04A0" w:firstRow="1" w:lastRow="0" w:firstColumn="1" w:lastColumn="0" w:noHBand="0" w:noVBand="1"/>
      </w:tblPr>
      <w:tblGrid>
        <w:gridCol w:w="4320"/>
        <w:gridCol w:w="4320"/>
      </w:tblGrid>
      <w:tr w:rsidR="00E32EFA" w:rsidRPr="006862D4" w14:paraId="577C3B88" w14:textId="77777777">
        <w:tc>
          <w:tcPr>
            <w:tcW w:w="4320" w:type="dxa"/>
          </w:tcPr>
          <w:p w14:paraId="3044B17E"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Metric</w:t>
            </w:r>
          </w:p>
        </w:tc>
        <w:tc>
          <w:tcPr>
            <w:tcW w:w="4320" w:type="dxa"/>
          </w:tcPr>
          <w:p w14:paraId="565A0B9C"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Value</w:t>
            </w:r>
          </w:p>
        </w:tc>
      </w:tr>
      <w:tr w:rsidR="00E32EFA" w:rsidRPr="006862D4" w14:paraId="7C8E28A1" w14:textId="77777777">
        <w:tc>
          <w:tcPr>
            <w:tcW w:w="4320" w:type="dxa"/>
          </w:tcPr>
          <w:p w14:paraId="5404C4C5"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2D Porosity (%)</w:t>
            </w:r>
          </w:p>
        </w:tc>
        <w:tc>
          <w:tcPr>
            <w:tcW w:w="4320" w:type="dxa"/>
          </w:tcPr>
          <w:p w14:paraId="55FD96C7"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28.63</w:t>
            </w:r>
          </w:p>
        </w:tc>
      </w:tr>
      <w:tr w:rsidR="00E32EFA" w:rsidRPr="006862D4" w14:paraId="65F41A06" w14:textId="77777777">
        <w:tc>
          <w:tcPr>
            <w:tcW w:w="4320" w:type="dxa"/>
          </w:tcPr>
          <w:p w14:paraId="74B9AE9B"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Number of pores</w:t>
            </w:r>
          </w:p>
        </w:tc>
        <w:tc>
          <w:tcPr>
            <w:tcW w:w="4320" w:type="dxa"/>
          </w:tcPr>
          <w:p w14:paraId="126C75E9"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57</w:t>
            </w:r>
          </w:p>
        </w:tc>
      </w:tr>
      <w:tr w:rsidR="00E32EFA" w:rsidRPr="006862D4" w14:paraId="4689C16B" w14:textId="77777777">
        <w:tc>
          <w:tcPr>
            <w:tcW w:w="4320" w:type="dxa"/>
          </w:tcPr>
          <w:p w14:paraId="609742BA"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Mean pore area (</w:t>
            </w:r>
            <w:proofErr w:type="spellStart"/>
            <w:r w:rsidRPr="006862D4">
              <w:rPr>
                <w:rFonts w:eastAsia="MS Mincho" w:cs="Times New Roman"/>
                <w:color w:val="auto"/>
                <w:szCs w:val="24"/>
              </w:rPr>
              <w:t>px</w:t>
            </w:r>
            <w:proofErr w:type="spellEnd"/>
            <w:r w:rsidRPr="006862D4">
              <w:rPr>
                <w:rFonts w:eastAsia="MS Mincho" w:cs="Times New Roman"/>
                <w:color w:val="auto"/>
                <w:szCs w:val="24"/>
              </w:rPr>
              <w:t>)</w:t>
            </w:r>
          </w:p>
        </w:tc>
        <w:tc>
          <w:tcPr>
            <w:tcW w:w="4320" w:type="dxa"/>
          </w:tcPr>
          <w:p w14:paraId="25E7BEA7"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1255.12</w:t>
            </w:r>
          </w:p>
        </w:tc>
      </w:tr>
      <w:tr w:rsidR="00E32EFA" w:rsidRPr="006862D4" w14:paraId="278B37C6" w14:textId="77777777">
        <w:tc>
          <w:tcPr>
            <w:tcW w:w="4320" w:type="dxa"/>
          </w:tcPr>
          <w:p w14:paraId="2DCDFAEB"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Median pore area (</w:t>
            </w:r>
            <w:proofErr w:type="spellStart"/>
            <w:r w:rsidRPr="006862D4">
              <w:rPr>
                <w:rFonts w:eastAsia="MS Mincho" w:cs="Times New Roman"/>
                <w:color w:val="auto"/>
                <w:szCs w:val="24"/>
              </w:rPr>
              <w:t>px</w:t>
            </w:r>
            <w:proofErr w:type="spellEnd"/>
            <w:r w:rsidRPr="006862D4">
              <w:rPr>
                <w:rFonts w:eastAsia="MS Mincho" w:cs="Times New Roman"/>
                <w:color w:val="auto"/>
                <w:szCs w:val="24"/>
              </w:rPr>
              <w:t>)</w:t>
            </w:r>
          </w:p>
        </w:tc>
        <w:tc>
          <w:tcPr>
            <w:tcW w:w="4320" w:type="dxa"/>
          </w:tcPr>
          <w:p w14:paraId="521FC311"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766</w:t>
            </w:r>
          </w:p>
        </w:tc>
      </w:tr>
      <w:tr w:rsidR="00E32EFA" w:rsidRPr="006862D4" w14:paraId="76FE9E7B" w14:textId="77777777">
        <w:tc>
          <w:tcPr>
            <w:tcW w:w="4320" w:type="dxa"/>
          </w:tcPr>
          <w:p w14:paraId="22E75D2E"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Relative permeability</w:t>
            </w:r>
          </w:p>
        </w:tc>
        <w:tc>
          <w:tcPr>
            <w:tcW w:w="4320" w:type="dxa"/>
          </w:tcPr>
          <w:p w14:paraId="20EE74AC" w14:textId="77777777" w:rsidR="00E32EFA" w:rsidRPr="006862D4" w:rsidRDefault="00E32EFA" w:rsidP="006862D4">
            <w:pPr>
              <w:spacing w:after="0" w:line="240" w:lineRule="auto"/>
              <w:rPr>
                <w:rFonts w:eastAsia="MS Mincho" w:cs="Times New Roman"/>
                <w:color w:val="auto"/>
                <w:szCs w:val="24"/>
              </w:rPr>
            </w:pPr>
            <w:r w:rsidRPr="006862D4">
              <w:rPr>
                <w:rFonts w:eastAsia="MS Mincho" w:cs="Times New Roman"/>
                <w:color w:val="auto"/>
                <w:szCs w:val="24"/>
              </w:rPr>
              <w:t>0.41</w:t>
            </w:r>
          </w:p>
        </w:tc>
      </w:tr>
    </w:tbl>
    <w:p w14:paraId="2112D723" w14:textId="77777777" w:rsidR="00E32EFA" w:rsidRPr="006862D4" w:rsidRDefault="00E32EFA" w:rsidP="006862D4">
      <w:pPr>
        <w:spacing w:after="0"/>
        <w:rPr>
          <w:rFonts w:cs="Times New Roman"/>
          <w:color w:val="auto"/>
        </w:rPr>
      </w:pPr>
    </w:p>
    <w:p w14:paraId="6AD41654" w14:textId="77777777" w:rsidR="00E32EFA" w:rsidRPr="006862D4" w:rsidRDefault="00E32EFA" w:rsidP="006862D4">
      <w:pPr>
        <w:spacing w:before="100" w:beforeAutospacing="1" w:after="0" w:line="240" w:lineRule="auto"/>
        <w:ind w:left="360"/>
        <w:jc w:val="center"/>
        <w:rPr>
          <w:rFonts w:eastAsia="Times New Roman" w:cs="Times New Roman"/>
          <w:color w:val="auto"/>
          <w:szCs w:val="24"/>
        </w:rPr>
      </w:pPr>
      <w:r w:rsidRPr="006862D4">
        <w:rPr>
          <w:rFonts w:eastAsia="Times New Roman" w:cs="Times New Roman"/>
          <w:noProof/>
          <w:color w:val="auto"/>
          <w:szCs w:val="24"/>
          <w14:ligatures w14:val="standardContextual"/>
        </w:rPr>
        <w:drawing>
          <wp:inline distT="0" distB="0" distL="0" distR="0" wp14:anchorId="1F000E58" wp14:editId="3460A3CA">
            <wp:extent cx="3385247" cy="3533042"/>
            <wp:effectExtent l="19050" t="19050" r="24765" b="10795"/>
            <wp:docPr id="1503331081" name="Picture 24"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31081" name="Picture 24" descr="A map of different colo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396293" cy="3544571"/>
                    </a:xfrm>
                    <a:prstGeom prst="rect">
                      <a:avLst/>
                    </a:prstGeom>
                    <a:ln>
                      <a:solidFill>
                        <a:schemeClr val="tx1"/>
                      </a:solidFill>
                    </a:ln>
                  </pic:spPr>
                </pic:pic>
              </a:graphicData>
            </a:graphic>
          </wp:inline>
        </w:drawing>
      </w:r>
    </w:p>
    <w:p w14:paraId="656992B1" w14:textId="77777777" w:rsidR="00E32EFA" w:rsidRPr="006862D4" w:rsidRDefault="00E32EFA" w:rsidP="006862D4">
      <w:pPr>
        <w:pStyle w:val="Caption"/>
        <w:spacing w:after="0"/>
        <w:ind w:left="360"/>
        <w:jc w:val="center"/>
        <w:rPr>
          <w:rFonts w:cs="Times New Roman"/>
          <w:b/>
          <w:bCs/>
          <w:i w:val="0"/>
          <w:iCs w:val="0"/>
          <w:color w:val="auto"/>
        </w:rPr>
      </w:pPr>
      <w:r w:rsidRPr="006862D4">
        <w:rPr>
          <w:rFonts w:cs="Times New Roman"/>
          <w:b/>
          <w:bCs/>
          <w:i w:val="0"/>
          <w:iCs w:val="0"/>
          <w:color w:val="auto"/>
        </w:rPr>
        <w:t xml:space="preserve">Figure </w:t>
      </w:r>
      <w:r w:rsidRPr="006862D4">
        <w:rPr>
          <w:rFonts w:cs="Times New Roman"/>
          <w:b/>
          <w:bCs/>
          <w:i w:val="0"/>
          <w:iCs w:val="0"/>
          <w:color w:val="auto"/>
        </w:rPr>
        <w:fldChar w:fldCharType="begin"/>
      </w:r>
      <w:r w:rsidRPr="006862D4">
        <w:rPr>
          <w:rFonts w:cs="Times New Roman"/>
          <w:b/>
          <w:bCs/>
          <w:i w:val="0"/>
          <w:iCs w:val="0"/>
          <w:color w:val="auto"/>
        </w:rPr>
        <w:instrText xml:space="preserve"> SEQ Figure \* ARABIC </w:instrText>
      </w:r>
      <w:r w:rsidRPr="006862D4">
        <w:rPr>
          <w:rFonts w:cs="Times New Roman"/>
          <w:b/>
          <w:bCs/>
          <w:i w:val="0"/>
          <w:iCs w:val="0"/>
          <w:color w:val="auto"/>
        </w:rPr>
        <w:fldChar w:fldCharType="separate"/>
      </w:r>
      <w:r w:rsidRPr="006862D4">
        <w:rPr>
          <w:rFonts w:cs="Times New Roman"/>
          <w:b/>
          <w:bCs/>
          <w:i w:val="0"/>
          <w:iCs w:val="0"/>
          <w:noProof/>
          <w:color w:val="auto"/>
        </w:rPr>
        <w:t>20</w:t>
      </w:r>
      <w:r w:rsidRPr="006862D4">
        <w:rPr>
          <w:rFonts w:cs="Times New Roman"/>
          <w:b/>
          <w:bCs/>
          <w:i w:val="0"/>
          <w:iCs w:val="0"/>
          <w:color w:val="auto"/>
        </w:rPr>
        <w:fldChar w:fldCharType="end"/>
      </w:r>
      <w:r w:rsidRPr="006862D4">
        <w:rPr>
          <w:rFonts w:cs="Times New Roman"/>
          <w:b/>
          <w:bCs/>
          <w:i w:val="0"/>
          <w:iCs w:val="0"/>
          <w:color w:val="auto"/>
        </w:rPr>
        <w:t xml:space="preserve"> Pore map overlay</w:t>
      </w:r>
    </w:p>
    <w:p w14:paraId="7D989C57" w14:textId="77777777" w:rsidR="006E0754" w:rsidRPr="006862D4" w:rsidRDefault="006E0754" w:rsidP="006862D4">
      <w:pPr>
        <w:spacing w:after="0"/>
        <w:rPr>
          <w:rFonts w:cs="Times New Roman"/>
        </w:rPr>
      </w:pPr>
      <w:r w:rsidRPr="006862D4">
        <w:rPr>
          <w:rFonts w:cs="Times New Roman"/>
        </w:rPr>
        <w:lastRenderedPageBreak/>
        <w:t xml:space="preserve">The pore-scale analysis of the image gives a microscopic view of the reservoir rock which is complementary to both the core </w:t>
      </w:r>
      <w:proofErr w:type="spellStart"/>
      <w:r w:rsidRPr="006862D4">
        <w:rPr>
          <w:rFonts w:cs="Times New Roman"/>
        </w:rPr>
        <w:t>poro</w:t>
      </w:r>
      <w:proofErr w:type="spellEnd"/>
      <w:r w:rsidRPr="006862D4">
        <w:rPr>
          <w:rFonts w:cs="Times New Roman"/>
        </w:rPr>
        <w:t>-perm data and well log interpretation. The Berea sandstone sample (</w:t>
      </w:r>
      <w:r w:rsidRPr="006862D4">
        <w:rPr>
          <w:rFonts w:cs="Times New Roman"/>
          <w:b/>
          <w:bCs/>
        </w:rPr>
        <w:t>Figure 17</w:t>
      </w:r>
      <w:r w:rsidRPr="006862D4">
        <w:rPr>
          <w:rFonts w:cs="Times New Roman"/>
        </w:rPr>
        <w:t xml:space="preserve">) is a well-sorted, quartz-rich sandstone, which is normally used as a model to clean reservoir units. The </w:t>
      </w:r>
      <w:proofErr w:type="spellStart"/>
      <w:r w:rsidRPr="006862D4">
        <w:rPr>
          <w:rFonts w:cs="Times New Roman"/>
        </w:rPr>
        <w:t>tif</w:t>
      </w:r>
      <w:proofErr w:type="spellEnd"/>
      <w:r w:rsidRPr="006862D4">
        <w:rPr>
          <w:rFonts w:cs="Times New Roman"/>
        </w:rPr>
        <w:t xml:space="preserve"> image format has high spatial resolution that can be used in pore segmentation and quantitative pore analysis.</w:t>
      </w:r>
    </w:p>
    <w:p w14:paraId="62B29FED" w14:textId="58B6A6C2" w:rsidR="006E0754" w:rsidRPr="006862D4" w:rsidRDefault="006E0754" w:rsidP="006862D4">
      <w:pPr>
        <w:spacing w:after="0"/>
        <w:rPr>
          <w:rFonts w:cs="Times New Roman"/>
        </w:rPr>
      </w:pPr>
      <w:r w:rsidRPr="006862D4">
        <w:rPr>
          <w:rFonts w:cs="Times New Roman"/>
        </w:rPr>
        <w:t>The original and denoised images (</w:t>
      </w:r>
      <w:r w:rsidRPr="006862D4">
        <w:rPr>
          <w:rFonts w:cs="Times New Roman"/>
          <w:b/>
          <w:bCs/>
        </w:rPr>
        <w:t>Figure 17</w:t>
      </w:r>
      <w:r w:rsidRPr="006862D4">
        <w:rPr>
          <w:rFonts w:cs="Times New Roman"/>
        </w:rPr>
        <w:t>) reveal the efficacy of the non-local means filtering in eliminating the grain-boundary noises and still retaining the pore geometries. It leads to the enhancement of contrast, which makes the later segmentation more trustworthy. The binary segmentation (</w:t>
      </w:r>
      <w:r w:rsidRPr="006862D4">
        <w:rPr>
          <w:rFonts w:cs="Times New Roman"/>
          <w:b/>
          <w:bCs/>
        </w:rPr>
        <w:t>Figure 18</w:t>
      </w:r>
      <w:r w:rsidRPr="006862D4">
        <w:rPr>
          <w:rFonts w:cs="Times New Roman"/>
        </w:rPr>
        <w:t>) manages to segregate pore space in black and provides a basis of quantitative measures</w:t>
      </w:r>
      <w:r w:rsidR="001B60C3" w:rsidRPr="006862D4">
        <w:rPr>
          <w:rFonts w:cs="Times New Roman"/>
        </w:rPr>
        <w:t xml:space="preserve"> </w:t>
      </w:r>
      <w:r w:rsidR="001B60C3" w:rsidRPr="006862D4">
        <w:rPr>
          <w:rFonts w:cs="Times New Roman"/>
        </w:rPr>
        <w:fldChar w:fldCharType="begin"/>
      </w:r>
      <w:r w:rsidR="001B60C3" w:rsidRPr="006862D4">
        <w:rPr>
          <w:rFonts w:cs="Times New Roman"/>
        </w:rPr>
        <w:instrText xml:space="preserve"> ADDIN EN.CITE &lt;EndNote&gt;&lt;Cite&gt;&lt;Author&gt;Blunt&lt;/Author&gt;&lt;Year&gt;2013&lt;/Year&gt;&lt;RecNum&gt;374&lt;/RecNum&gt;&lt;DisplayText&gt;(Blunt, Bijeljic et al. 2013)&lt;/DisplayText&gt;&lt;record&gt;&lt;rec-number&gt;374&lt;/rec-number&gt;&lt;foreign-keys&gt;&lt;key app="EN" db-id="0vfw2fpzoxwz04etwpuvvdxv5vdp5de5avv9" timestamp="1763443873"&gt;374&lt;/key&gt;&lt;/foreign-keys&gt;&lt;ref-type name="Journal Article"&gt;17&lt;/ref-type&gt;&lt;contributors&gt;&lt;authors&gt;&lt;author&gt;Blunt, Martin J&lt;/author&gt;&lt;author&gt;Bijeljic, Branko&lt;/author&gt;&lt;author&gt;Dong, Hu&lt;/author&gt;&lt;author&gt;Gharbi, Oussama&lt;/author&gt;&lt;author&gt;Iglauer, Stefan&lt;/author&gt;&lt;author&gt;Mostaghimi, Peyman&lt;/author&gt;&lt;author&gt;Paluszny, Adriana&lt;/author&gt;&lt;author&gt;Pentland, Christopher&lt;/author&gt;&lt;/authors&gt;&lt;/contributors&gt;&lt;titles&gt;&lt;title&gt;Pore-scale imaging and modelling&lt;/title&gt;&lt;secondary-title&gt;Advances in Water resources&lt;/secondary-title&gt;&lt;/titles&gt;&lt;periodical&gt;&lt;full-title&gt;Advances in Water Resources&lt;/full-title&gt;&lt;/periodical&gt;&lt;pages&gt;197-216&lt;/pages&gt;&lt;volume&gt;51&lt;/volume&gt;&lt;dates&gt;&lt;year&gt;2013&lt;/year&gt;&lt;/dates&gt;&lt;isbn&gt;0309-1708&lt;/isbn&gt;&lt;urls&gt;&lt;/urls&gt;&lt;/record&gt;&lt;/Cite&gt;&lt;/EndNote&gt;</w:instrText>
      </w:r>
      <w:r w:rsidR="001B60C3" w:rsidRPr="006862D4">
        <w:rPr>
          <w:rFonts w:cs="Times New Roman"/>
        </w:rPr>
        <w:fldChar w:fldCharType="separate"/>
      </w:r>
      <w:r w:rsidR="001B60C3" w:rsidRPr="006862D4">
        <w:rPr>
          <w:rFonts w:cs="Times New Roman"/>
          <w:noProof/>
        </w:rPr>
        <w:t>(Blunt, Bijeljic et al. 2013)</w:t>
      </w:r>
      <w:r w:rsidR="001B60C3" w:rsidRPr="006862D4">
        <w:rPr>
          <w:rFonts w:cs="Times New Roman"/>
        </w:rPr>
        <w:fldChar w:fldCharType="end"/>
      </w:r>
      <w:r w:rsidRPr="006862D4">
        <w:rPr>
          <w:rFonts w:cs="Times New Roman"/>
        </w:rPr>
        <w:t>.</w:t>
      </w:r>
    </w:p>
    <w:p w14:paraId="79AE3DB5" w14:textId="7663078A" w:rsidR="006E0754" w:rsidRPr="006862D4" w:rsidRDefault="006E0754" w:rsidP="006862D4">
      <w:pPr>
        <w:spacing w:after="0"/>
        <w:rPr>
          <w:rFonts w:cs="Times New Roman"/>
        </w:rPr>
      </w:pPr>
      <w:r w:rsidRPr="006862D4">
        <w:rPr>
          <w:rFonts w:cs="Times New Roman"/>
        </w:rPr>
        <w:t>The 2D porosity estimate of the image is 28.63 percent (</w:t>
      </w:r>
      <w:r w:rsidRPr="006862D4">
        <w:rPr>
          <w:rFonts w:cs="Times New Roman"/>
          <w:b/>
          <w:bCs/>
        </w:rPr>
        <w:t>Table 5</w:t>
      </w:r>
      <w:r w:rsidRPr="006862D4">
        <w:rPr>
          <w:rFonts w:cs="Times New Roman"/>
        </w:rPr>
        <w:t xml:space="preserve">), which is agreeable with high-quality sandstones in reservoirs and perfectly fits the upper end of the core-plug porosity data. </w:t>
      </w:r>
    </w:p>
    <w:p w14:paraId="4B1D4EAD" w14:textId="77777777" w:rsidR="00880770" w:rsidRPr="006862D4" w:rsidRDefault="006E0754" w:rsidP="006862D4">
      <w:pPr>
        <w:spacing w:after="0"/>
        <w:rPr>
          <w:rFonts w:cs="Times New Roman"/>
        </w:rPr>
      </w:pPr>
      <w:r w:rsidRPr="006862D4">
        <w:rPr>
          <w:rFonts w:cs="Times New Roman"/>
        </w:rPr>
        <w:t>The size distribution of the pores (</w:t>
      </w:r>
      <w:r w:rsidRPr="006862D4">
        <w:rPr>
          <w:rFonts w:cs="Times New Roman"/>
          <w:b/>
          <w:bCs/>
        </w:rPr>
        <w:t>Figure 19</w:t>
      </w:r>
      <w:r w:rsidRPr="006862D4">
        <w:rPr>
          <w:rFonts w:cs="Times New Roman"/>
        </w:rPr>
        <w:t xml:space="preserve">) shows the existence of a large variety of pore areas, the average of which is 1255 </w:t>
      </w:r>
      <w:proofErr w:type="spellStart"/>
      <w:r w:rsidRPr="006862D4">
        <w:rPr>
          <w:rFonts w:cs="Times New Roman"/>
        </w:rPr>
        <w:t>px</w:t>
      </w:r>
      <w:proofErr w:type="spellEnd"/>
      <w:r w:rsidRPr="006862D4">
        <w:rPr>
          <w:rFonts w:cs="Times New Roman"/>
        </w:rPr>
        <w:t xml:space="preserve">, and the median 766 </w:t>
      </w:r>
      <w:proofErr w:type="spellStart"/>
      <w:r w:rsidRPr="006862D4">
        <w:rPr>
          <w:rFonts w:cs="Times New Roman"/>
        </w:rPr>
        <w:t>px</w:t>
      </w:r>
      <w:proofErr w:type="spellEnd"/>
      <w:r w:rsidRPr="006862D4">
        <w:rPr>
          <w:rFonts w:cs="Times New Roman"/>
        </w:rPr>
        <w:t xml:space="preserve">. There is presence of large flow-dominant pores and large number of small micropores as shown by the long tail. </w:t>
      </w:r>
    </w:p>
    <w:p w14:paraId="1A8C6F7A" w14:textId="5C5C5E19" w:rsidR="006E0754" w:rsidRPr="006862D4" w:rsidRDefault="006E0754" w:rsidP="006862D4">
      <w:pPr>
        <w:spacing w:after="0"/>
        <w:rPr>
          <w:rFonts w:cs="Times New Roman"/>
        </w:rPr>
      </w:pPr>
      <w:r w:rsidRPr="006862D4">
        <w:rPr>
          <w:rFonts w:cs="Times New Roman"/>
        </w:rPr>
        <w:t>The simplified estimate of relative permeability (0.41) gives an approximate value of the flow capacity which is dependent on pore geometry and distribution of size. Although it cannot be directly compared with the permeability determined in the laboratory, it supports the fact that this rock can be considered a moderately good-quality flow unit</w:t>
      </w:r>
      <w:r w:rsidR="001B60C3" w:rsidRPr="006862D4">
        <w:rPr>
          <w:rFonts w:cs="Times New Roman"/>
        </w:rPr>
        <w:fldChar w:fldCharType="begin"/>
      </w:r>
      <w:r w:rsidR="001B60C3" w:rsidRPr="006862D4">
        <w:rPr>
          <w:rFonts w:cs="Times New Roman"/>
        </w:rPr>
        <w:instrText xml:space="preserve"> ADDIN EN.CITE &lt;EndNote&gt;&lt;Cite&gt;&lt;Author&gt;Buades&lt;/Author&gt;&lt;Year&gt;2011&lt;/Year&gt;&lt;RecNum&gt;375&lt;/RecNum&gt;&lt;DisplayText&gt;(Buades, Coll et al. 2011)&lt;/DisplayText&gt;&lt;record&gt;&lt;rec-number&gt;375&lt;/rec-number&gt;&lt;foreign-keys&gt;&lt;key app="EN" db-id="0vfw2fpzoxwz04etwpuvvdxv5vdp5de5avv9" timestamp="1763443920"&gt;375&lt;/key&gt;&lt;/foreign-keys&gt;&lt;ref-type name="Journal Article"&gt;17&lt;/ref-type&gt;&lt;contributors&gt;&lt;authors&gt;&lt;author&gt;Buades, Antoni&lt;/author&gt;&lt;author&gt;Coll, Bartomeu&lt;/author&gt;&lt;author&gt;Morel, Jean-Michel&lt;/author&gt;&lt;/authors&gt;&lt;/contributors&gt;&lt;titles&gt;&lt;title&gt;Non-local means denoising&lt;/title&gt;&lt;secondary-title&gt;Image processing on line&lt;/secondary-title&gt;&lt;/titles&gt;&lt;periodical&gt;&lt;full-title&gt;Image processing on line&lt;/full-title&gt;&lt;/periodical&gt;&lt;pages&gt;208-212&lt;/pages&gt;&lt;volume&gt;1&lt;/volume&gt;&lt;dates&gt;&lt;year&gt;2011&lt;/year&gt;&lt;/dates&gt;&lt;isbn&gt;2105-1232&lt;/isbn&gt;&lt;urls&gt;&lt;/urls&gt;&lt;/record&gt;&lt;/Cite&gt;&lt;/EndNote&gt;</w:instrText>
      </w:r>
      <w:r w:rsidR="001B60C3" w:rsidRPr="006862D4">
        <w:rPr>
          <w:rFonts w:cs="Times New Roman"/>
        </w:rPr>
        <w:fldChar w:fldCharType="separate"/>
      </w:r>
      <w:r w:rsidR="001B60C3" w:rsidRPr="006862D4">
        <w:rPr>
          <w:rFonts w:cs="Times New Roman"/>
          <w:noProof/>
        </w:rPr>
        <w:t>(Buades, Coll et al. 2011)</w:t>
      </w:r>
      <w:r w:rsidR="001B60C3" w:rsidRPr="006862D4">
        <w:rPr>
          <w:rFonts w:cs="Times New Roman"/>
        </w:rPr>
        <w:fldChar w:fldCharType="end"/>
      </w:r>
      <w:r w:rsidRPr="006862D4">
        <w:rPr>
          <w:rFonts w:cs="Times New Roman"/>
        </w:rPr>
        <w:t>.</w:t>
      </w:r>
    </w:p>
    <w:p w14:paraId="189D6DE5" w14:textId="273721E1" w:rsidR="006E0754" w:rsidRPr="006862D4" w:rsidRDefault="006E0754" w:rsidP="006862D4">
      <w:pPr>
        <w:spacing w:after="0"/>
        <w:rPr>
          <w:rFonts w:cs="Times New Roman"/>
        </w:rPr>
      </w:pPr>
      <w:r w:rsidRPr="006862D4">
        <w:rPr>
          <w:rFonts w:cs="Times New Roman"/>
        </w:rPr>
        <w:t>Lastly, the pore map overlay (</w:t>
      </w:r>
      <w:r w:rsidRPr="006862D4">
        <w:rPr>
          <w:rFonts w:cs="Times New Roman"/>
          <w:b/>
          <w:bCs/>
        </w:rPr>
        <w:t>Figure 20</w:t>
      </w:r>
      <w:r w:rsidRPr="006862D4">
        <w:rPr>
          <w:rFonts w:cs="Times New Roman"/>
        </w:rPr>
        <w:t>)</w:t>
      </w:r>
      <w:r w:rsidR="00855482" w:rsidRPr="006862D4">
        <w:rPr>
          <w:rFonts w:cs="Times New Roman"/>
        </w:rPr>
        <w:t xml:space="preserve">. </w:t>
      </w:r>
      <w:r w:rsidRPr="006862D4">
        <w:rPr>
          <w:rFonts w:cs="Times New Roman"/>
        </w:rPr>
        <w:t xml:space="preserve">This gives assurance in the computed pore statistics and indicates that Python-based pore-scale analysis is useful in reservoir </w:t>
      </w:r>
      <w:proofErr w:type="spellStart"/>
      <w:r w:rsidRPr="006862D4">
        <w:rPr>
          <w:rFonts w:cs="Times New Roman"/>
        </w:rPr>
        <w:t>characterisation</w:t>
      </w:r>
      <w:proofErr w:type="spellEnd"/>
      <w:r w:rsidRPr="006862D4">
        <w:rPr>
          <w:rFonts w:cs="Times New Roman"/>
        </w:rPr>
        <w:t>.</w:t>
      </w:r>
    </w:p>
    <w:p w14:paraId="6A8DA41C" w14:textId="5D968CB4" w:rsidR="006E0754" w:rsidRPr="006862D4" w:rsidRDefault="006E0754" w:rsidP="006862D4">
      <w:pPr>
        <w:spacing w:after="0"/>
        <w:rPr>
          <w:rFonts w:cs="Times New Roman"/>
        </w:rPr>
      </w:pPr>
      <w:r w:rsidRPr="006862D4">
        <w:rPr>
          <w:rFonts w:cs="Times New Roman"/>
        </w:rPr>
        <w:t xml:space="preserve">In general, the pore-scale observations are in line with the core </w:t>
      </w:r>
      <w:proofErr w:type="spellStart"/>
      <w:r w:rsidRPr="006862D4">
        <w:rPr>
          <w:rFonts w:cs="Times New Roman"/>
        </w:rPr>
        <w:t>poro</w:t>
      </w:r>
      <w:proofErr w:type="spellEnd"/>
      <w:r w:rsidRPr="006862D4">
        <w:rPr>
          <w:rFonts w:cs="Times New Roman"/>
        </w:rPr>
        <w:t>-perm data and interpretation of the well logs: the sample has a high porosity, moderate-to-high pore connectivity and pore-size dispersion which is characteristic of productive sandstone reservoirs</w:t>
      </w:r>
      <w:r w:rsidR="005D153A" w:rsidRPr="006862D4">
        <w:rPr>
          <w:rFonts w:cs="Times New Roman"/>
        </w:rPr>
        <w:t xml:space="preserve"> </w:t>
      </w:r>
      <w:r w:rsidR="005D153A" w:rsidRPr="006862D4">
        <w:rPr>
          <w:rFonts w:cs="Times New Roman"/>
        </w:rPr>
        <w:fldChar w:fldCharType="begin"/>
      </w:r>
      <w:r w:rsidR="005D153A" w:rsidRPr="006862D4">
        <w:rPr>
          <w:rFonts w:cs="Times New Roman"/>
        </w:rPr>
        <w:instrText xml:space="preserve"> ADDIN EN.CITE &lt;EndNote&gt;&lt;Cite&gt;&lt;Author&gt;Carman&lt;/Author&gt;&lt;Year&gt;1997&lt;/Year&gt;&lt;RecNum&gt;376&lt;/RecNum&gt;&lt;DisplayText&gt;(Carman 1997)&lt;/DisplayText&gt;&lt;record&gt;&lt;rec-number&gt;376&lt;/rec-number&gt;&lt;foreign-keys&gt;&lt;key app="EN" db-id="0vfw2fpzoxwz04etwpuvvdxv5vdp5de5avv9" timestamp="1763444098"&gt;376&lt;/key&gt;&lt;/foreign-keys&gt;&lt;ref-type name="Journal Article"&gt;17&lt;/ref-type&gt;&lt;contributors&gt;&lt;authors&gt;&lt;author&gt;Carman, Phillip C&lt;/author&gt;&lt;/authors&gt;&lt;/contributors&gt;&lt;titles&gt;&lt;title&gt;Fluid flow through granular beds&lt;/title&gt;&lt;secondary-title&gt;Chemical engineering research and design&lt;/secondary-title&gt;&lt;/titles&gt;&lt;periodical&gt;&lt;full-title&gt;Chemical engineering research and design&lt;/full-title&gt;&lt;/periodical&gt;&lt;pages&gt;S32-S48&lt;/pages&gt;&lt;volume&gt;75&lt;/volume&gt;&lt;dates&gt;&lt;year&gt;1997&lt;/year&gt;&lt;/dates&gt;&lt;isbn&gt;0263-8762&lt;/isbn&gt;&lt;urls&gt;&lt;/urls&gt;&lt;/record&gt;&lt;/Cite&gt;&lt;/EndNote&gt;</w:instrText>
      </w:r>
      <w:r w:rsidR="005D153A" w:rsidRPr="006862D4">
        <w:rPr>
          <w:rFonts w:cs="Times New Roman"/>
        </w:rPr>
        <w:fldChar w:fldCharType="separate"/>
      </w:r>
      <w:r w:rsidR="005D153A" w:rsidRPr="006862D4">
        <w:rPr>
          <w:rFonts w:cs="Times New Roman"/>
          <w:noProof/>
        </w:rPr>
        <w:t>(Carman 1997)</w:t>
      </w:r>
      <w:r w:rsidR="005D153A" w:rsidRPr="006862D4">
        <w:rPr>
          <w:rFonts w:cs="Times New Roman"/>
        </w:rPr>
        <w:fldChar w:fldCharType="end"/>
      </w:r>
      <w:r w:rsidRPr="006862D4">
        <w:rPr>
          <w:rFonts w:cs="Times New Roman"/>
        </w:rPr>
        <w:t>.</w:t>
      </w:r>
    </w:p>
    <w:p w14:paraId="21B2D961" w14:textId="12C8BF19" w:rsidR="006E0754" w:rsidRPr="006862D4" w:rsidRDefault="006E0754" w:rsidP="006862D4">
      <w:pPr>
        <w:spacing w:after="0"/>
        <w:rPr>
          <w:rFonts w:cs="Times New Roman"/>
        </w:rPr>
      </w:pPr>
      <w:r w:rsidRPr="006862D4">
        <w:rPr>
          <w:rFonts w:cs="Times New Roman"/>
        </w:rPr>
        <w:t xml:space="preserve">The findings indicate a high level of consistency of reservoir quality trends across </w:t>
      </w:r>
      <w:proofErr w:type="gramStart"/>
      <w:r w:rsidRPr="006862D4">
        <w:rPr>
          <w:rFonts w:cs="Times New Roman"/>
        </w:rPr>
        <w:t>all the</w:t>
      </w:r>
      <w:proofErr w:type="gramEnd"/>
      <w:r w:rsidRPr="006862D4">
        <w:rPr>
          <w:rFonts w:cs="Times New Roman"/>
        </w:rPr>
        <w:t xml:space="preserve"> three datasets. The K-means clusters and core </w:t>
      </w:r>
      <w:proofErr w:type="spellStart"/>
      <w:r w:rsidRPr="006862D4">
        <w:rPr>
          <w:rFonts w:cs="Times New Roman"/>
        </w:rPr>
        <w:t>poro</w:t>
      </w:r>
      <w:proofErr w:type="spellEnd"/>
      <w:r w:rsidRPr="006862D4">
        <w:rPr>
          <w:rFonts w:cs="Times New Roman"/>
        </w:rPr>
        <w:t xml:space="preserve">-perm measurements determine three quality levels, which are the same as clean and high-resistivity depths on the well logs. </w:t>
      </w:r>
      <w:r w:rsidR="00855482" w:rsidRPr="006862D4">
        <w:rPr>
          <w:rFonts w:cs="Times New Roman"/>
        </w:rPr>
        <w:t xml:space="preserve">The observed pores are closely correlated with the apparent pore </w:t>
      </w:r>
      <w:proofErr w:type="gramStart"/>
      <w:r w:rsidR="00855482" w:rsidRPr="006862D4">
        <w:rPr>
          <w:rFonts w:cs="Times New Roman"/>
        </w:rPr>
        <w:t>arrangement</w:t>
      </w:r>
      <w:proofErr w:type="gramEnd"/>
      <w:r w:rsidR="00855482" w:rsidRPr="006862D4">
        <w:rPr>
          <w:rFonts w:cs="Times New Roman"/>
        </w:rPr>
        <w:t xml:space="preserve"> and few signs of false identifications, artificial artefacts and broken pore edges are observed. This provides an assurance that the computed pore-size distribution, porosity estimate and statistics are indeed reflective of the underlying rock fabric and not some noise that was added in the processi</w:t>
      </w:r>
      <w:r w:rsidR="005D153A" w:rsidRPr="006862D4">
        <w:rPr>
          <w:rFonts w:cs="Times New Roman"/>
        </w:rPr>
        <w:t xml:space="preserve">ng </w:t>
      </w:r>
      <w:r w:rsidR="005D153A" w:rsidRPr="006862D4">
        <w:rPr>
          <w:rFonts w:cs="Times New Roman"/>
        </w:rPr>
        <w:fldChar w:fldCharType="begin"/>
      </w:r>
      <w:r w:rsidR="005D153A" w:rsidRPr="006862D4">
        <w:rPr>
          <w:rFonts w:cs="Times New Roman"/>
        </w:rPr>
        <w:instrText xml:space="preserve"> ADDIN EN.CITE &lt;EndNote&gt;&lt;Cite&gt;&lt;Author&gt;Foroughi&lt;/Author&gt;&lt;Year&gt;2025&lt;/Year&gt;&lt;RecNum&gt;377&lt;/RecNum&gt;&lt;DisplayText&gt;(Foroughi, Shojaei et al. 2025)&lt;/DisplayText&gt;&lt;record&gt;&lt;rec-number&gt;377&lt;/rec-number&gt;&lt;foreign-keys&gt;&lt;key app="EN" db-id="0vfw2fpzoxwz04etwpuvvdxv5vdp5de5avv9" timestamp="1763444322"&gt;377&lt;/key&gt;&lt;/foreign-keys&gt;&lt;ref-type name="Journal Article"&gt;17&lt;/ref-type&gt;&lt;contributors&gt;&lt;authors&gt;&lt;author&gt;Foroughi, Sajjad&lt;/author&gt;&lt;author&gt;Shojaei, Mohammad Javad&lt;/author&gt;&lt;author&gt;Lane, Nathan&lt;/author&gt;&lt;author&gt;Rashid, Bilal&lt;/author&gt;&lt;author&gt;Lakshtanov, Dmitry&lt;/author&gt;&lt;author&gt;Ning, Yang&lt;/author&gt;&lt;author&gt;Zapata, Yuliana&lt;/author&gt;&lt;author&gt;Bijeljic, Branko&lt;/author&gt;&lt;author&gt;Blunt, Martin J&lt;/author&gt;&lt;/authors&gt;&lt;/contributors&gt;&lt;titles&gt;&lt;title&gt;A framework for multiphase pore-scale modeling based on micro-CT imaging&lt;/title&gt;&lt;secondary-title&gt;Transport in Porous Media&lt;/secondary-title&gt;&lt;/titles&gt;&lt;periodical&gt;&lt;full-title&gt;Transport in Porous Media&lt;/full-title&gt;&lt;/periodical&gt;&lt;pages&gt;18&lt;/pages&gt;&lt;volume&gt;152&lt;/volume&gt;&lt;number&gt;3&lt;/number&gt;&lt;dates&gt;&lt;year&gt;2025&lt;/year&gt;&lt;/dates&gt;&lt;isbn&gt;0169-3913&lt;/isbn&gt;&lt;urls&gt;&lt;/urls&gt;&lt;/record&gt;&lt;/Cite&gt;&lt;/EndNote&gt;</w:instrText>
      </w:r>
      <w:r w:rsidR="005D153A" w:rsidRPr="006862D4">
        <w:rPr>
          <w:rFonts w:cs="Times New Roman"/>
        </w:rPr>
        <w:fldChar w:fldCharType="separate"/>
      </w:r>
      <w:r w:rsidR="005D153A" w:rsidRPr="006862D4">
        <w:rPr>
          <w:rFonts w:cs="Times New Roman"/>
          <w:noProof/>
        </w:rPr>
        <w:t>(Foroughi, Shojaei et al. 2025)</w:t>
      </w:r>
      <w:r w:rsidR="005D153A" w:rsidRPr="006862D4">
        <w:rPr>
          <w:rFonts w:cs="Times New Roman"/>
        </w:rPr>
        <w:fldChar w:fldCharType="end"/>
      </w:r>
      <w:r w:rsidRPr="006862D4">
        <w:rPr>
          <w:rFonts w:cs="Times New Roman"/>
        </w:rPr>
        <w:t xml:space="preserve">. The reservoir intervals that are observed based on logs (low GR, low </w:t>
      </w:r>
      <w:proofErr w:type="spellStart"/>
      <w:r w:rsidRPr="006862D4">
        <w:rPr>
          <w:rFonts w:cs="Times New Roman"/>
        </w:rPr>
        <w:t>Vsh</w:t>
      </w:r>
      <w:proofErr w:type="spellEnd"/>
      <w:r w:rsidRPr="006862D4">
        <w:rPr>
          <w:rFonts w:cs="Times New Roman"/>
        </w:rPr>
        <w:t>, high RILD) are geologically consistent with the good facies found in the core data, and with pore connectivity evident in microscopy images. Although this agreement was reached, one can list such limitations as a comparatively small number of core samples, only one slice of the pore-scale image and the imbalance in the classes of the facies, which influenced the performance of ANN. The machine learning classifier did not perform well with underrepresented facies, with moderate accuracy, which points to the sensitivity to dataset size and distribution. However, the overlapping trends presented in all the three scales gives an assurance in the general interpretation of the reservoir</w:t>
      </w:r>
      <w:r w:rsidR="005D153A" w:rsidRPr="006862D4">
        <w:rPr>
          <w:rFonts w:cs="Times New Roman"/>
        </w:rPr>
        <w:t xml:space="preserve"> </w:t>
      </w:r>
      <w:r w:rsidR="005D153A" w:rsidRPr="006862D4">
        <w:rPr>
          <w:rFonts w:cs="Times New Roman"/>
        </w:rPr>
        <w:fldChar w:fldCharType="begin"/>
      </w:r>
      <w:r w:rsidR="005D153A" w:rsidRPr="006862D4">
        <w:rPr>
          <w:rFonts w:cs="Times New Roman"/>
        </w:rPr>
        <w:instrText xml:space="preserve"> ADDIN EN.CITE &lt;EndNote&gt;&lt;Cite&gt;&lt;Author&gt;Ma&lt;/Author&gt;&lt;Year&gt;2019&lt;/Year&gt;&lt;RecNum&gt;378&lt;/RecNum&gt;&lt;DisplayText&gt;(Ma and Zhang 2019)&lt;/DisplayText&gt;&lt;record&gt;&lt;rec-number&gt;378&lt;/rec-number&gt;&lt;foreign-keys&gt;&lt;key app="EN" db-id="0vfw2fpzoxwz04etwpuvvdxv5vdp5de5avv9" timestamp="1763444398"&gt;378&lt;/key&gt;&lt;/foreign-keys&gt;&lt;ref-type name="Book"&gt;6&lt;/ref-type&gt;&lt;contributors&gt;&lt;authors&gt;&lt;author&gt;Ma, Y Zee&lt;/author&gt;&lt;author&gt;Zhang, Xu&lt;/author&gt;&lt;/authors&gt;&lt;/contributors&gt;&lt;titles&gt;&lt;title&gt;Quantitative geosciences: Data analytics, geostatistics, reservoir characterization and modeling&lt;/title&gt;&lt;/titles&gt;&lt;dates&gt;&lt;year&gt;2019&lt;/year&gt;&lt;/dates&gt;&lt;publisher&gt;Springer&lt;/publisher&gt;&lt;isbn&gt;3030178609&lt;/isbn&gt;&lt;urls&gt;&lt;/urls&gt;&lt;/record&gt;&lt;/Cite&gt;&lt;/EndNote&gt;</w:instrText>
      </w:r>
      <w:r w:rsidR="005D153A" w:rsidRPr="006862D4">
        <w:rPr>
          <w:rFonts w:cs="Times New Roman"/>
        </w:rPr>
        <w:fldChar w:fldCharType="separate"/>
      </w:r>
      <w:r w:rsidR="005D153A" w:rsidRPr="006862D4">
        <w:rPr>
          <w:rFonts w:cs="Times New Roman"/>
          <w:noProof/>
        </w:rPr>
        <w:t>(Ma and Zhang 2019)</w:t>
      </w:r>
      <w:r w:rsidR="005D153A" w:rsidRPr="006862D4">
        <w:rPr>
          <w:rFonts w:cs="Times New Roman"/>
        </w:rPr>
        <w:fldChar w:fldCharType="end"/>
      </w:r>
      <w:r w:rsidRPr="006862D4">
        <w:rPr>
          <w:rFonts w:cs="Times New Roman"/>
        </w:rPr>
        <w:t>.</w:t>
      </w:r>
    </w:p>
    <w:p w14:paraId="5A44967A" w14:textId="77777777" w:rsidR="005D153A" w:rsidRPr="006862D4" w:rsidRDefault="005D153A" w:rsidP="006862D4">
      <w:pPr>
        <w:pStyle w:val="Heading1"/>
        <w:spacing w:after="0"/>
        <w:rPr>
          <w:rFonts w:cs="Times New Roman"/>
          <w:color w:val="auto"/>
          <w:szCs w:val="48"/>
        </w:rPr>
      </w:pPr>
      <w:r w:rsidRPr="006862D4">
        <w:rPr>
          <w:rStyle w:val="Strong"/>
          <w:rFonts w:eastAsiaTheme="majorEastAsia" w:cs="Times New Roman"/>
          <w:b/>
          <w:bCs w:val="0"/>
        </w:rPr>
        <w:lastRenderedPageBreak/>
        <w:t>5. Limitations</w:t>
      </w:r>
    </w:p>
    <w:p w14:paraId="5E76059D" w14:textId="375EEA34" w:rsidR="005D153A" w:rsidRPr="006862D4" w:rsidRDefault="005D153A" w:rsidP="006862D4">
      <w:pPr>
        <w:pStyle w:val="NormalWeb"/>
        <w:spacing w:after="0" w:afterAutospacing="0"/>
      </w:pPr>
      <w:r w:rsidRPr="006862D4">
        <w:t xml:space="preserve">The small number of core samples that </w:t>
      </w:r>
      <w:proofErr w:type="gramStart"/>
      <w:r w:rsidRPr="006862D4">
        <w:t>takes</w:t>
      </w:r>
      <w:proofErr w:type="gramEnd"/>
      <w:r w:rsidRPr="006862D4">
        <w:t xml:space="preserve"> place in this study is a limitation of this study because it decreases the exhaustiveness of the </w:t>
      </w:r>
      <w:proofErr w:type="spellStart"/>
      <w:r w:rsidRPr="006862D4">
        <w:t>poro</w:t>
      </w:r>
      <w:proofErr w:type="spellEnd"/>
      <w:r w:rsidRPr="006862D4">
        <w:t>-perm trends. The 2D pore-scale image slice was only a single slice, which could not be used to assess the pore connectivity fully 3D. There are slight noise and measurement errors in the well logs which can impact the identification of reservoir intervals. The ANN facies classification was affected by the unbalanced data especially the under-representation of overbank facies. Although limited, the results of the multiscale have good internal consistency and corroborate the overall interpretation of the reservoirs.</w:t>
      </w:r>
    </w:p>
    <w:p w14:paraId="2963D74E" w14:textId="43C05166" w:rsidR="006E1CDA" w:rsidRPr="006862D4" w:rsidRDefault="00F32036" w:rsidP="006862D4">
      <w:pPr>
        <w:pStyle w:val="Heading1"/>
        <w:spacing w:after="0"/>
        <w:rPr>
          <w:rFonts w:cs="Times New Roman"/>
        </w:rPr>
      </w:pPr>
      <w:r w:rsidRPr="006862D4">
        <w:rPr>
          <w:rFonts w:cs="Times New Roman"/>
        </w:rPr>
        <w:t>4</w:t>
      </w:r>
      <w:r w:rsidR="006E1CDA" w:rsidRPr="006862D4">
        <w:rPr>
          <w:rFonts w:cs="Times New Roman"/>
        </w:rPr>
        <w:t>. Conclusions</w:t>
      </w:r>
    </w:p>
    <w:p w14:paraId="0F9736D6" w14:textId="77777777" w:rsidR="006E0754" w:rsidRPr="006862D4" w:rsidRDefault="006E0754" w:rsidP="006862D4">
      <w:pPr>
        <w:pStyle w:val="ListParagraph"/>
        <w:numPr>
          <w:ilvl w:val="0"/>
          <w:numId w:val="39"/>
        </w:numPr>
        <w:spacing w:after="0"/>
        <w:rPr>
          <w:rStyle w:val="Strong"/>
          <w:rFonts w:eastAsiaTheme="majorEastAsia" w:cs="Times New Roman"/>
          <w:b w:val="0"/>
          <w:bCs w:val="0"/>
          <w:color w:val="auto"/>
          <w:szCs w:val="24"/>
        </w:rPr>
      </w:pPr>
      <w:r w:rsidRPr="006862D4">
        <w:rPr>
          <w:rStyle w:val="Strong"/>
          <w:rFonts w:eastAsiaTheme="majorEastAsia" w:cs="Times New Roman"/>
          <w:b w:val="0"/>
          <w:bCs w:val="0"/>
          <w:color w:val="auto"/>
          <w:szCs w:val="24"/>
        </w:rPr>
        <w:t xml:space="preserve">The core </w:t>
      </w:r>
      <w:proofErr w:type="spellStart"/>
      <w:r w:rsidRPr="006862D4">
        <w:rPr>
          <w:rStyle w:val="Strong"/>
          <w:rFonts w:eastAsiaTheme="majorEastAsia" w:cs="Times New Roman"/>
          <w:b w:val="0"/>
          <w:bCs w:val="0"/>
          <w:color w:val="auto"/>
          <w:szCs w:val="24"/>
        </w:rPr>
        <w:t>poro</w:t>
      </w:r>
      <w:proofErr w:type="spellEnd"/>
      <w:r w:rsidRPr="006862D4">
        <w:rPr>
          <w:rStyle w:val="Strong"/>
          <w:rFonts w:eastAsiaTheme="majorEastAsia" w:cs="Times New Roman"/>
          <w:b w:val="0"/>
          <w:bCs w:val="0"/>
          <w:color w:val="auto"/>
          <w:szCs w:val="24"/>
        </w:rPr>
        <w:t xml:space="preserve">-perm analysis revealed that there was a positive relationship that was significant between porosity and permeability with three clusters of rock-quality identified using K-means. Channel facies had always the highest quality reservoir properties and overbank samples were a measure of low-quality intervals. ANN classifier performed moderately, </w:t>
      </w:r>
      <w:proofErr w:type="spellStart"/>
      <w:r w:rsidRPr="006862D4">
        <w:rPr>
          <w:rStyle w:val="Strong"/>
          <w:rFonts w:eastAsiaTheme="majorEastAsia" w:cs="Times New Roman"/>
          <w:b w:val="0"/>
          <w:bCs w:val="0"/>
          <w:color w:val="auto"/>
          <w:szCs w:val="24"/>
        </w:rPr>
        <w:t>recognising</w:t>
      </w:r>
      <w:proofErr w:type="spellEnd"/>
      <w:r w:rsidRPr="006862D4">
        <w:rPr>
          <w:rStyle w:val="Strong"/>
          <w:rFonts w:eastAsiaTheme="majorEastAsia" w:cs="Times New Roman"/>
          <w:b w:val="0"/>
          <w:bCs w:val="0"/>
          <w:color w:val="auto"/>
          <w:szCs w:val="24"/>
        </w:rPr>
        <w:t xml:space="preserve"> better quality </w:t>
      </w:r>
      <w:proofErr w:type="gramStart"/>
      <w:r w:rsidRPr="006862D4">
        <w:rPr>
          <w:rStyle w:val="Strong"/>
          <w:rFonts w:eastAsiaTheme="majorEastAsia" w:cs="Times New Roman"/>
          <w:b w:val="0"/>
          <w:bCs w:val="0"/>
          <w:color w:val="auto"/>
          <w:szCs w:val="24"/>
        </w:rPr>
        <w:t>facies</w:t>
      </w:r>
      <w:proofErr w:type="gramEnd"/>
      <w:r w:rsidRPr="006862D4">
        <w:rPr>
          <w:rStyle w:val="Strong"/>
          <w:rFonts w:eastAsiaTheme="majorEastAsia" w:cs="Times New Roman"/>
          <w:b w:val="0"/>
          <w:bCs w:val="0"/>
          <w:color w:val="auto"/>
          <w:szCs w:val="24"/>
        </w:rPr>
        <w:t xml:space="preserve"> effectively but under-represented classes.</w:t>
      </w:r>
    </w:p>
    <w:p w14:paraId="371F6B03" w14:textId="77777777" w:rsidR="006E0754" w:rsidRPr="006862D4" w:rsidRDefault="006E0754" w:rsidP="006862D4">
      <w:pPr>
        <w:pStyle w:val="ListParagraph"/>
        <w:numPr>
          <w:ilvl w:val="0"/>
          <w:numId w:val="39"/>
        </w:numPr>
        <w:spacing w:after="0"/>
        <w:rPr>
          <w:rStyle w:val="Strong"/>
          <w:rFonts w:eastAsiaTheme="majorEastAsia" w:cs="Times New Roman"/>
          <w:b w:val="0"/>
          <w:bCs w:val="0"/>
          <w:color w:val="auto"/>
          <w:szCs w:val="24"/>
        </w:rPr>
      </w:pPr>
      <w:r w:rsidRPr="006862D4">
        <w:rPr>
          <w:rStyle w:val="Strong"/>
          <w:rFonts w:eastAsiaTheme="majorEastAsia" w:cs="Times New Roman"/>
          <w:b w:val="0"/>
          <w:bCs w:val="0"/>
          <w:color w:val="auto"/>
          <w:szCs w:val="24"/>
        </w:rPr>
        <w:t>These trends were established at the well level by interpreting the well logs. The low-gamma-ray and low-</w:t>
      </w:r>
      <w:proofErr w:type="spellStart"/>
      <w:r w:rsidRPr="006862D4">
        <w:rPr>
          <w:rStyle w:val="Strong"/>
          <w:rFonts w:eastAsiaTheme="majorEastAsia" w:cs="Times New Roman"/>
          <w:b w:val="0"/>
          <w:bCs w:val="0"/>
          <w:color w:val="auto"/>
          <w:szCs w:val="24"/>
        </w:rPr>
        <w:t>Vsh</w:t>
      </w:r>
      <w:proofErr w:type="spellEnd"/>
      <w:r w:rsidRPr="006862D4">
        <w:rPr>
          <w:rStyle w:val="Strong"/>
          <w:rFonts w:eastAsiaTheme="majorEastAsia" w:cs="Times New Roman"/>
          <w:b w:val="0"/>
          <w:bCs w:val="0"/>
          <w:color w:val="auto"/>
          <w:szCs w:val="24"/>
        </w:rPr>
        <w:t xml:space="preserve"> areas were associated with clean reservoir intervals and consistent with the high-resistivity response indicating the presence of hydrocarbons. Correlation matrix indicated some limited log-log interrelationships because of mixed lithology and </w:t>
      </w:r>
      <w:proofErr w:type="spellStart"/>
      <w:r w:rsidRPr="006862D4">
        <w:rPr>
          <w:rStyle w:val="Strong"/>
          <w:rFonts w:eastAsiaTheme="majorEastAsia" w:cs="Times New Roman"/>
          <w:b w:val="0"/>
          <w:bCs w:val="0"/>
          <w:color w:val="auto"/>
          <w:szCs w:val="24"/>
        </w:rPr>
        <w:t>Vsh</w:t>
      </w:r>
      <w:proofErr w:type="spellEnd"/>
      <w:r w:rsidRPr="006862D4">
        <w:rPr>
          <w:rStyle w:val="Strong"/>
          <w:rFonts w:eastAsiaTheme="majorEastAsia" w:cs="Times New Roman"/>
          <w:b w:val="0"/>
          <w:bCs w:val="0"/>
          <w:color w:val="auto"/>
          <w:szCs w:val="24"/>
        </w:rPr>
        <w:t xml:space="preserve"> and CNPOR exhibited anticipated </w:t>
      </w:r>
      <w:proofErr w:type="spellStart"/>
      <w:r w:rsidRPr="006862D4">
        <w:rPr>
          <w:rStyle w:val="Strong"/>
          <w:rFonts w:eastAsiaTheme="majorEastAsia" w:cs="Times New Roman"/>
          <w:b w:val="0"/>
          <w:bCs w:val="0"/>
          <w:color w:val="auto"/>
          <w:szCs w:val="24"/>
        </w:rPr>
        <w:t>behaviour</w:t>
      </w:r>
      <w:proofErr w:type="spellEnd"/>
      <w:r w:rsidRPr="006862D4">
        <w:rPr>
          <w:rStyle w:val="Strong"/>
          <w:rFonts w:eastAsiaTheme="majorEastAsia" w:cs="Times New Roman"/>
          <w:b w:val="0"/>
          <w:bCs w:val="0"/>
          <w:color w:val="auto"/>
          <w:szCs w:val="24"/>
        </w:rPr>
        <w:t xml:space="preserve"> of shale.</w:t>
      </w:r>
    </w:p>
    <w:p w14:paraId="4B591F91" w14:textId="77777777" w:rsidR="006E0754" w:rsidRPr="006862D4" w:rsidRDefault="006E0754" w:rsidP="006862D4">
      <w:pPr>
        <w:pStyle w:val="ListParagraph"/>
        <w:numPr>
          <w:ilvl w:val="0"/>
          <w:numId w:val="39"/>
        </w:numPr>
        <w:spacing w:after="0"/>
        <w:rPr>
          <w:rStyle w:val="Strong"/>
          <w:rFonts w:eastAsiaTheme="majorEastAsia" w:cs="Times New Roman"/>
          <w:b w:val="0"/>
          <w:bCs w:val="0"/>
          <w:color w:val="auto"/>
          <w:szCs w:val="24"/>
        </w:rPr>
      </w:pPr>
      <w:r w:rsidRPr="006862D4">
        <w:rPr>
          <w:rStyle w:val="Strong"/>
          <w:rFonts w:eastAsiaTheme="majorEastAsia" w:cs="Times New Roman"/>
          <w:b w:val="0"/>
          <w:bCs w:val="0"/>
          <w:color w:val="auto"/>
          <w:szCs w:val="24"/>
        </w:rPr>
        <w:t>Pore-scale image analysis showed that the porosity was 28.63 percent (2D), there were 57 pores and a widespread distribution of pore-size, which are characteristic of a moderately to well-connected sandstone. These microscopic observations were in line with the high-quality intervals determined during the core and logs.</w:t>
      </w:r>
    </w:p>
    <w:p w14:paraId="351CD079" w14:textId="77777777" w:rsidR="006E0754" w:rsidRPr="006862D4" w:rsidRDefault="006E0754" w:rsidP="006862D4">
      <w:pPr>
        <w:pStyle w:val="ListParagraph"/>
        <w:numPr>
          <w:ilvl w:val="0"/>
          <w:numId w:val="39"/>
        </w:numPr>
        <w:spacing w:after="0"/>
        <w:rPr>
          <w:rStyle w:val="Strong"/>
          <w:rFonts w:eastAsiaTheme="majorEastAsia" w:cs="Times New Roman"/>
          <w:b w:val="0"/>
          <w:bCs w:val="0"/>
          <w:color w:val="auto"/>
          <w:szCs w:val="24"/>
        </w:rPr>
      </w:pPr>
      <w:r w:rsidRPr="006862D4">
        <w:rPr>
          <w:rStyle w:val="Strong"/>
          <w:rFonts w:eastAsiaTheme="majorEastAsia" w:cs="Times New Roman"/>
          <w:b w:val="0"/>
          <w:bCs w:val="0"/>
          <w:color w:val="auto"/>
          <w:szCs w:val="24"/>
        </w:rPr>
        <w:t>The interpretation of integrated reservoir has shown that the formation has numerous clean and well-sorted sandstone units that have good porosity and moderate flow capacity. The core and pore-image results are both consistent with the resistivity-based hydrocarbon zones that are indicated in the logs.</w:t>
      </w:r>
    </w:p>
    <w:p w14:paraId="03E31E1F" w14:textId="3282813A" w:rsidR="006E0754" w:rsidRPr="006862D4" w:rsidRDefault="006E0754" w:rsidP="006862D4">
      <w:pPr>
        <w:pStyle w:val="ListParagraph"/>
        <w:numPr>
          <w:ilvl w:val="0"/>
          <w:numId w:val="39"/>
        </w:numPr>
        <w:spacing w:after="0"/>
        <w:rPr>
          <w:rStyle w:val="Strong"/>
          <w:rFonts w:eastAsiaTheme="majorEastAsia" w:cs="Times New Roman"/>
          <w:b w:val="0"/>
          <w:bCs w:val="0"/>
          <w:color w:val="auto"/>
          <w:szCs w:val="24"/>
        </w:rPr>
      </w:pPr>
      <w:r w:rsidRPr="006862D4">
        <w:rPr>
          <w:rStyle w:val="Strong"/>
          <w:rFonts w:eastAsiaTheme="majorEastAsia" w:cs="Times New Roman"/>
          <w:b w:val="0"/>
          <w:bCs w:val="0"/>
          <w:color w:val="auto"/>
          <w:szCs w:val="24"/>
        </w:rPr>
        <w:t xml:space="preserve">Although both datasets are limited, their combination creates a more reliable and consistent reservoir </w:t>
      </w:r>
      <w:proofErr w:type="spellStart"/>
      <w:r w:rsidRPr="006862D4">
        <w:rPr>
          <w:rStyle w:val="Strong"/>
          <w:rFonts w:eastAsiaTheme="majorEastAsia" w:cs="Times New Roman"/>
          <w:b w:val="0"/>
          <w:bCs w:val="0"/>
          <w:color w:val="auto"/>
          <w:szCs w:val="24"/>
        </w:rPr>
        <w:t>characterisation</w:t>
      </w:r>
      <w:proofErr w:type="spellEnd"/>
      <w:r w:rsidRPr="006862D4">
        <w:rPr>
          <w:rStyle w:val="Strong"/>
          <w:rFonts w:eastAsiaTheme="majorEastAsia" w:cs="Times New Roman"/>
          <w:b w:val="0"/>
          <w:bCs w:val="0"/>
          <w:color w:val="auto"/>
          <w:szCs w:val="24"/>
        </w:rPr>
        <w:t xml:space="preserve"> than any of the datasets.</w:t>
      </w:r>
    </w:p>
    <w:p w14:paraId="0FA2911B" w14:textId="363755CB" w:rsidR="006E1CDA" w:rsidRPr="006862D4" w:rsidRDefault="00F32036" w:rsidP="006862D4">
      <w:pPr>
        <w:pStyle w:val="Heading1"/>
        <w:spacing w:after="0"/>
        <w:rPr>
          <w:rFonts w:cs="Times New Roman"/>
        </w:rPr>
      </w:pPr>
      <w:r w:rsidRPr="006862D4">
        <w:rPr>
          <w:rFonts w:cs="Times New Roman"/>
        </w:rPr>
        <w:t>5</w:t>
      </w:r>
      <w:r w:rsidR="006E1CDA" w:rsidRPr="006862D4">
        <w:rPr>
          <w:rFonts w:cs="Times New Roman"/>
        </w:rPr>
        <w:t>. References</w:t>
      </w:r>
    </w:p>
    <w:p w14:paraId="4B3B8ACC" w14:textId="77777777" w:rsidR="005D153A" w:rsidRPr="006862D4" w:rsidRDefault="00855482" w:rsidP="006862D4">
      <w:pPr>
        <w:pStyle w:val="EndNoteBibliography"/>
        <w:numPr>
          <w:ilvl w:val="0"/>
          <w:numId w:val="41"/>
        </w:numPr>
        <w:spacing w:after="0"/>
      </w:pPr>
      <w:r w:rsidRPr="006862D4">
        <w:rPr>
          <w:color w:val="auto"/>
        </w:rPr>
        <w:fldChar w:fldCharType="begin"/>
      </w:r>
      <w:r w:rsidRPr="006862D4">
        <w:rPr>
          <w:color w:val="auto"/>
        </w:rPr>
        <w:instrText xml:space="preserve"> ADDIN EN.REFLIST </w:instrText>
      </w:r>
      <w:r w:rsidRPr="006862D4">
        <w:rPr>
          <w:color w:val="auto"/>
        </w:rPr>
        <w:fldChar w:fldCharType="separate"/>
      </w:r>
      <w:r w:rsidR="005D153A" w:rsidRPr="006862D4">
        <w:t xml:space="preserve">Asquith, G. B., D. Krygowski and C. R. Gibson (2004). </w:t>
      </w:r>
      <w:r w:rsidR="005D153A" w:rsidRPr="006862D4">
        <w:rPr>
          <w:u w:val="single"/>
        </w:rPr>
        <w:t>Basic well log analysis</w:t>
      </w:r>
      <w:r w:rsidR="005D153A" w:rsidRPr="006862D4">
        <w:t>, American Association of Petroleum Geologists Tulsa.</w:t>
      </w:r>
    </w:p>
    <w:p w14:paraId="67554223" w14:textId="77777777" w:rsidR="005D153A" w:rsidRPr="006862D4" w:rsidRDefault="005D153A" w:rsidP="006862D4">
      <w:pPr>
        <w:pStyle w:val="EndNoteBibliography"/>
        <w:numPr>
          <w:ilvl w:val="0"/>
          <w:numId w:val="41"/>
        </w:numPr>
        <w:spacing w:after="0"/>
      </w:pPr>
      <w:r w:rsidRPr="006862D4">
        <w:t xml:space="preserve">Bishop, C. M. and N. M. Nasrabadi (2006). </w:t>
      </w:r>
      <w:r w:rsidRPr="006862D4">
        <w:rPr>
          <w:u w:val="single"/>
        </w:rPr>
        <w:t>Pattern recognition and machine learning</w:t>
      </w:r>
      <w:r w:rsidRPr="006862D4">
        <w:t>, Springer.</w:t>
      </w:r>
    </w:p>
    <w:p w14:paraId="0E772773" w14:textId="77777777" w:rsidR="005D153A" w:rsidRPr="006862D4" w:rsidRDefault="005D153A" w:rsidP="006862D4">
      <w:pPr>
        <w:pStyle w:val="EndNoteBibliography"/>
        <w:numPr>
          <w:ilvl w:val="0"/>
          <w:numId w:val="41"/>
        </w:numPr>
        <w:spacing w:after="0"/>
      </w:pPr>
      <w:r w:rsidRPr="006862D4">
        <w:lastRenderedPageBreak/>
        <w:t xml:space="preserve">Blunt, M. J., B. Bijeljic, H. Dong, O. Gharbi, S. Iglauer, P. Mostaghimi, A. Paluszny and C. Pentland (2013). "Pore-scale imaging and modelling." </w:t>
      </w:r>
      <w:r w:rsidRPr="006862D4">
        <w:rPr>
          <w:u w:val="single"/>
        </w:rPr>
        <w:t>Advances in Water resources</w:t>
      </w:r>
      <w:r w:rsidRPr="006862D4">
        <w:t xml:space="preserve"> </w:t>
      </w:r>
      <w:r w:rsidRPr="006862D4">
        <w:rPr>
          <w:b/>
        </w:rPr>
        <w:t>51</w:t>
      </w:r>
      <w:r w:rsidRPr="006862D4">
        <w:t>: 197-216.</w:t>
      </w:r>
    </w:p>
    <w:p w14:paraId="6C395312" w14:textId="77777777" w:rsidR="005D153A" w:rsidRPr="006862D4" w:rsidRDefault="005D153A" w:rsidP="006862D4">
      <w:pPr>
        <w:pStyle w:val="EndNoteBibliography"/>
        <w:numPr>
          <w:ilvl w:val="0"/>
          <w:numId w:val="41"/>
        </w:numPr>
        <w:spacing w:after="0"/>
      </w:pPr>
      <w:r w:rsidRPr="006862D4">
        <w:t xml:space="preserve">Buades, A., B. Coll and J.-M. Morel (2011). "Non-local means denoising." </w:t>
      </w:r>
      <w:r w:rsidRPr="006862D4">
        <w:rPr>
          <w:u w:val="single"/>
        </w:rPr>
        <w:t>Image processing on line</w:t>
      </w:r>
      <w:r w:rsidRPr="006862D4">
        <w:t xml:space="preserve"> </w:t>
      </w:r>
      <w:r w:rsidRPr="006862D4">
        <w:rPr>
          <w:b/>
        </w:rPr>
        <w:t>1</w:t>
      </w:r>
      <w:r w:rsidRPr="006862D4">
        <w:t>: 208-212.</w:t>
      </w:r>
    </w:p>
    <w:p w14:paraId="7B924B5A" w14:textId="77777777" w:rsidR="005D153A" w:rsidRPr="006862D4" w:rsidRDefault="005D153A" w:rsidP="006862D4">
      <w:pPr>
        <w:pStyle w:val="EndNoteBibliography"/>
        <w:numPr>
          <w:ilvl w:val="0"/>
          <w:numId w:val="41"/>
        </w:numPr>
        <w:spacing w:after="0"/>
      </w:pPr>
      <w:r w:rsidRPr="006862D4">
        <w:t xml:space="preserve">Carman, P. C. (1997). "Fluid flow through granular beds." </w:t>
      </w:r>
      <w:r w:rsidRPr="006862D4">
        <w:rPr>
          <w:u w:val="single"/>
        </w:rPr>
        <w:t>Chemical engineering research and design</w:t>
      </w:r>
      <w:r w:rsidRPr="006862D4">
        <w:t xml:space="preserve"> </w:t>
      </w:r>
      <w:r w:rsidRPr="006862D4">
        <w:rPr>
          <w:b/>
        </w:rPr>
        <w:t>75</w:t>
      </w:r>
      <w:r w:rsidRPr="006862D4">
        <w:t>: S32-S48.</w:t>
      </w:r>
    </w:p>
    <w:p w14:paraId="6ACC8F24" w14:textId="77777777" w:rsidR="005D153A" w:rsidRPr="006862D4" w:rsidRDefault="005D153A" w:rsidP="006862D4">
      <w:pPr>
        <w:pStyle w:val="EndNoteBibliography"/>
        <w:numPr>
          <w:ilvl w:val="0"/>
          <w:numId w:val="41"/>
        </w:numPr>
        <w:spacing w:after="0"/>
      </w:pPr>
      <w:r w:rsidRPr="006862D4">
        <w:t xml:space="preserve">Cnudde, V. and M. N. Boone (2013). "High-resolution X-ray computed tomography in geosciences: A review of the current technology and applications." </w:t>
      </w:r>
      <w:r w:rsidRPr="006862D4">
        <w:rPr>
          <w:u w:val="single"/>
        </w:rPr>
        <w:t>Earth-Science Reviews</w:t>
      </w:r>
      <w:r w:rsidRPr="006862D4">
        <w:t xml:space="preserve"> </w:t>
      </w:r>
      <w:r w:rsidRPr="006862D4">
        <w:rPr>
          <w:b/>
        </w:rPr>
        <w:t>123</w:t>
      </w:r>
      <w:r w:rsidRPr="006862D4">
        <w:t>: 1-17.</w:t>
      </w:r>
    </w:p>
    <w:p w14:paraId="2D38084B" w14:textId="77777777" w:rsidR="005D153A" w:rsidRPr="006862D4" w:rsidRDefault="005D153A" w:rsidP="006862D4">
      <w:pPr>
        <w:pStyle w:val="EndNoteBibliography"/>
        <w:numPr>
          <w:ilvl w:val="0"/>
          <w:numId w:val="41"/>
        </w:numPr>
        <w:spacing w:after="0"/>
      </w:pPr>
      <w:r w:rsidRPr="006862D4">
        <w:t xml:space="preserve">Dahiru, D. M., D. M. Habiba, S. Abdullahi, A. I. Abdullahi and K. A. Murana (2023). </w:t>
      </w:r>
      <w:r w:rsidRPr="006862D4">
        <w:rPr>
          <w:u w:val="single"/>
        </w:rPr>
        <w:t>Petrophysical Analysis of Well Logs Data for Sandstone Reservoir Hydrocarbon Evaluation In Niger Delta Sedimentary Basin</w:t>
      </w:r>
      <w:r w:rsidRPr="006862D4">
        <w:t>. Journal of Pure and Applied Sciences (Science Forum).</w:t>
      </w:r>
    </w:p>
    <w:p w14:paraId="599FE903" w14:textId="77777777" w:rsidR="005D153A" w:rsidRPr="006862D4" w:rsidRDefault="005D153A" w:rsidP="006862D4">
      <w:pPr>
        <w:pStyle w:val="EndNoteBibliography"/>
        <w:numPr>
          <w:ilvl w:val="0"/>
          <w:numId w:val="41"/>
        </w:numPr>
        <w:spacing w:after="0"/>
      </w:pPr>
      <w:r w:rsidRPr="006862D4">
        <w:t xml:space="preserve">Doll, H. t. (1949). "The SP log: Theoretical analysis and principles of interpretation." </w:t>
      </w:r>
      <w:r w:rsidRPr="006862D4">
        <w:rPr>
          <w:u w:val="single"/>
        </w:rPr>
        <w:t>Transactions of the AIME</w:t>
      </w:r>
      <w:r w:rsidRPr="006862D4">
        <w:t xml:space="preserve"> </w:t>
      </w:r>
      <w:r w:rsidRPr="006862D4">
        <w:rPr>
          <w:b/>
        </w:rPr>
        <w:t>179</w:t>
      </w:r>
      <w:r w:rsidRPr="006862D4">
        <w:t>(01): 146-185.</w:t>
      </w:r>
    </w:p>
    <w:p w14:paraId="4CC1EE88" w14:textId="77777777" w:rsidR="005D153A" w:rsidRPr="006862D4" w:rsidRDefault="005D153A" w:rsidP="006862D4">
      <w:pPr>
        <w:pStyle w:val="EndNoteBibliography"/>
        <w:numPr>
          <w:ilvl w:val="0"/>
          <w:numId w:val="41"/>
        </w:numPr>
        <w:spacing w:after="0"/>
      </w:pPr>
      <w:r w:rsidRPr="006862D4">
        <w:t xml:space="preserve">Foroughi, S., M. J. Shojaei, N. Lane, B. Rashid, D. Lakshtanov, Y. Ning, Y. Zapata, B. Bijeljic and M. J. Blunt (2025). "A framework for multiphase pore-scale modeling based on micro-CT imaging." </w:t>
      </w:r>
      <w:r w:rsidRPr="006862D4">
        <w:rPr>
          <w:u w:val="single"/>
        </w:rPr>
        <w:t>Transport in Porous Media</w:t>
      </w:r>
      <w:r w:rsidRPr="006862D4">
        <w:t xml:space="preserve"> </w:t>
      </w:r>
      <w:r w:rsidRPr="006862D4">
        <w:rPr>
          <w:b/>
        </w:rPr>
        <w:t>152</w:t>
      </w:r>
      <w:r w:rsidRPr="006862D4">
        <w:t>(3): 18.</w:t>
      </w:r>
    </w:p>
    <w:p w14:paraId="16EC2435" w14:textId="77777777" w:rsidR="005D153A" w:rsidRPr="006862D4" w:rsidRDefault="005D153A" w:rsidP="006862D4">
      <w:pPr>
        <w:pStyle w:val="EndNoteBibliography"/>
        <w:numPr>
          <w:ilvl w:val="0"/>
          <w:numId w:val="41"/>
        </w:numPr>
        <w:spacing w:after="0"/>
      </w:pPr>
      <w:r w:rsidRPr="006862D4">
        <w:t xml:space="preserve">Katz, A. and A. Thompson (1986). "Quantitative prediction of permeability in porous rock." </w:t>
      </w:r>
      <w:r w:rsidRPr="006862D4">
        <w:rPr>
          <w:u w:val="single"/>
        </w:rPr>
        <w:t>Physical review B</w:t>
      </w:r>
      <w:r w:rsidRPr="006862D4">
        <w:t xml:space="preserve"> </w:t>
      </w:r>
      <w:r w:rsidRPr="006862D4">
        <w:rPr>
          <w:b/>
        </w:rPr>
        <w:t>34</w:t>
      </w:r>
      <w:r w:rsidRPr="006862D4">
        <w:t>(11): 8179.</w:t>
      </w:r>
    </w:p>
    <w:p w14:paraId="32BABE17" w14:textId="77777777" w:rsidR="005D153A" w:rsidRPr="006862D4" w:rsidRDefault="005D153A" w:rsidP="006862D4">
      <w:pPr>
        <w:pStyle w:val="EndNoteBibliography"/>
        <w:numPr>
          <w:ilvl w:val="0"/>
          <w:numId w:val="41"/>
        </w:numPr>
        <w:spacing w:after="0"/>
      </w:pPr>
      <w:r w:rsidRPr="006862D4">
        <w:t xml:space="preserve">Ma, S. and N. R. Morrow (1996). </w:t>
      </w:r>
      <w:r w:rsidRPr="006862D4">
        <w:rPr>
          <w:u w:val="single"/>
        </w:rPr>
        <w:t>Relationships between porosity and permeability for porous rocks</w:t>
      </w:r>
      <w:r w:rsidRPr="006862D4">
        <w:t>. International symposium of the Society of Core Analysts, Montpelier France.</w:t>
      </w:r>
    </w:p>
    <w:p w14:paraId="1891F6D3" w14:textId="77777777" w:rsidR="005D153A" w:rsidRPr="006862D4" w:rsidRDefault="005D153A" w:rsidP="006862D4">
      <w:pPr>
        <w:pStyle w:val="EndNoteBibliography"/>
        <w:numPr>
          <w:ilvl w:val="0"/>
          <w:numId w:val="41"/>
        </w:numPr>
        <w:spacing w:after="0"/>
      </w:pPr>
      <w:r w:rsidRPr="006862D4">
        <w:t xml:space="preserve">Ma, Y. Z. and X. Zhang (2019). </w:t>
      </w:r>
      <w:r w:rsidRPr="006862D4">
        <w:rPr>
          <w:u w:val="single"/>
        </w:rPr>
        <w:t>Quantitative geosciences: Data analytics, geostatistics, reservoir characterization and modeling</w:t>
      </w:r>
      <w:r w:rsidRPr="006862D4">
        <w:t>, Springer.</w:t>
      </w:r>
    </w:p>
    <w:p w14:paraId="247E9FF3" w14:textId="77777777" w:rsidR="005D153A" w:rsidRPr="006862D4" w:rsidRDefault="005D153A" w:rsidP="006862D4">
      <w:pPr>
        <w:pStyle w:val="EndNoteBibliography"/>
        <w:numPr>
          <w:ilvl w:val="0"/>
          <w:numId w:val="41"/>
        </w:numPr>
        <w:spacing w:after="0"/>
      </w:pPr>
      <w:r w:rsidRPr="006862D4">
        <w:t xml:space="preserve">Parimontonsakul, M. (2021). </w:t>
      </w:r>
      <w:r w:rsidRPr="006862D4">
        <w:rPr>
          <w:u w:val="single"/>
        </w:rPr>
        <w:t>An Analytical Approach to Automate Stratigraphic Correlation using Well Logging Information</w:t>
      </w:r>
      <w:r w:rsidRPr="006862D4">
        <w:t>, Massachusetts Institute of Technology.</w:t>
      </w:r>
    </w:p>
    <w:p w14:paraId="3F477496" w14:textId="77777777" w:rsidR="005D153A" w:rsidRPr="006862D4" w:rsidRDefault="005D153A" w:rsidP="006862D4">
      <w:pPr>
        <w:pStyle w:val="EndNoteBibliography"/>
        <w:numPr>
          <w:ilvl w:val="0"/>
          <w:numId w:val="41"/>
        </w:numPr>
        <w:spacing w:after="0"/>
      </w:pPr>
      <w:r w:rsidRPr="006862D4">
        <w:t xml:space="preserve">Singh, A., A. Rabbani, K. Regenauer-Lieb, R. T. Armstrong and P. Mostaghimi (2021). "Computer vision and unsupervised machine learning for pore-scale structural analysis of fractured porous media." </w:t>
      </w:r>
      <w:r w:rsidRPr="006862D4">
        <w:rPr>
          <w:u w:val="single"/>
        </w:rPr>
        <w:t>Advances in Water Resources</w:t>
      </w:r>
      <w:r w:rsidRPr="006862D4">
        <w:t xml:space="preserve"> </w:t>
      </w:r>
      <w:r w:rsidRPr="006862D4">
        <w:rPr>
          <w:b/>
        </w:rPr>
        <w:t>147</w:t>
      </w:r>
      <w:r w:rsidRPr="006862D4">
        <w:t>: 103801.</w:t>
      </w:r>
    </w:p>
    <w:p w14:paraId="61F5A36B" w14:textId="77777777" w:rsidR="005D153A" w:rsidRPr="006862D4" w:rsidRDefault="005D153A" w:rsidP="006862D4">
      <w:pPr>
        <w:pStyle w:val="EndNoteBibliography"/>
        <w:numPr>
          <w:ilvl w:val="0"/>
          <w:numId w:val="41"/>
        </w:numPr>
        <w:spacing w:after="0"/>
      </w:pPr>
      <w:r w:rsidRPr="006862D4">
        <w:t xml:space="preserve">Terry, R. E., J. B. Rogers and B. C. Craft (2015). </w:t>
      </w:r>
      <w:r w:rsidRPr="006862D4">
        <w:rPr>
          <w:u w:val="single"/>
        </w:rPr>
        <w:t>Applied petroleum reservoir engineering</w:t>
      </w:r>
      <w:r w:rsidRPr="006862D4">
        <w:t>, Pearson Education.</w:t>
      </w:r>
    </w:p>
    <w:p w14:paraId="1E800BA1" w14:textId="77777777" w:rsidR="005D153A" w:rsidRPr="006862D4" w:rsidRDefault="005D153A" w:rsidP="006862D4">
      <w:pPr>
        <w:pStyle w:val="EndNoteBibliography"/>
        <w:numPr>
          <w:ilvl w:val="0"/>
          <w:numId w:val="41"/>
        </w:numPr>
        <w:spacing w:after="0"/>
      </w:pPr>
      <w:r w:rsidRPr="006862D4">
        <w:t xml:space="preserve">Tiab, D. and E. C. Donaldson (2024). </w:t>
      </w:r>
      <w:r w:rsidRPr="006862D4">
        <w:rPr>
          <w:u w:val="single"/>
        </w:rPr>
        <w:t>Petrophysics: theory and practice of measuring reservoir rock and fluid transport properties</w:t>
      </w:r>
      <w:r w:rsidRPr="006862D4">
        <w:t>, Elsevier.</w:t>
      </w:r>
    </w:p>
    <w:p w14:paraId="60F1EDB8" w14:textId="278B1A63" w:rsidR="00CD4D8E" w:rsidRPr="006862D4" w:rsidRDefault="00855482" w:rsidP="006862D4">
      <w:pPr>
        <w:spacing w:after="0"/>
        <w:rPr>
          <w:rFonts w:cs="Times New Roman"/>
          <w:color w:val="auto"/>
        </w:rPr>
      </w:pPr>
      <w:r w:rsidRPr="006862D4">
        <w:rPr>
          <w:rFonts w:cs="Times New Roman"/>
          <w:color w:val="auto"/>
        </w:rPr>
        <w:fldChar w:fldCharType="end"/>
      </w:r>
    </w:p>
    <w:p w14:paraId="3236B5D7" w14:textId="77777777" w:rsidR="005D153A" w:rsidRPr="006862D4" w:rsidRDefault="005D153A" w:rsidP="006862D4">
      <w:pPr>
        <w:spacing w:before="100" w:beforeAutospacing="1" w:after="0" w:line="240" w:lineRule="auto"/>
        <w:outlineLvl w:val="0"/>
        <w:rPr>
          <w:rFonts w:eastAsia="Times New Roman" w:cs="Times New Roman"/>
          <w:b/>
          <w:bCs/>
          <w:color w:val="auto"/>
          <w:kern w:val="36"/>
          <w:sz w:val="48"/>
          <w:szCs w:val="48"/>
        </w:rPr>
      </w:pPr>
      <w:r w:rsidRPr="006862D4">
        <w:rPr>
          <w:rStyle w:val="Heading1Char"/>
          <w:rFonts w:cs="Times New Roman"/>
        </w:rPr>
        <w:t>6.</w:t>
      </w:r>
      <w:r w:rsidRPr="006862D4">
        <w:rPr>
          <w:rFonts w:eastAsia="Times New Roman" w:cs="Times New Roman"/>
          <w:b/>
          <w:bCs/>
          <w:color w:val="auto"/>
          <w:kern w:val="36"/>
          <w:sz w:val="48"/>
          <w:szCs w:val="48"/>
        </w:rPr>
        <w:t xml:space="preserve"> </w:t>
      </w:r>
      <w:r w:rsidRPr="006862D4">
        <w:rPr>
          <w:rStyle w:val="Heading1Char"/>
          <w:rFonts w:cs="Times New Roman"/>
        </w:rPr>
        <w:t>Appendix</w:t>
      </w:r>
    </w:p>
    <w:p w14:paraId="3137514D" w14:textId="74F7AA76" w:rsidR="005D153A" w:rsidRPr="006862D4" w:rsidRDefault="005D153A" w:rsidP="006862D4">
      <w:pPr>
        <w:numPr>
          <w:ilvl w:val="0"/>
          <w:numId w:val="17"/>
        </w:numPr>
        <w:spacing w:before="100" w:beforeAutospacing="1" w:after="0" w:line="240" w:lineRule="auto"/>
        <w:rPr>
          <w:rFonts w:eastAsia="Times New Roman" w:cs="Times New Roman"/>
          <w:color w:val="auto"/>
          <w:szCs w:val="24"/>
        </w:rPr>
      </w:pPr>
      <w:r w:rsidRPr="006862D4">
        <w:rPr>
          <w:rFonts w:eastAsia="Times New Roman" w:cs="Times New Roman"/>
          <w:color w:val="auto"/>
          <w:szCs w:val="24"/>
        </w:rPr>
        <w:t>Git log contribution evidence (for your group submission requirement)</w:t>
      </w:r>
    </w:p>
    <w:sectPr w:rsidR="005D153A" w:rsidRPr="006862D4" w:rsidSect="006862D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4CD9" w14:textId="77777777" w:rsidR="00E15507" w:rsidRDefault="00E15507" w:rsidP="00C11F0C">
      <w:pPr>
        <w:spacing w:after="0" w:line="240" w:lineRule="auto"/>
      </w:pPr>
      <w:r>
        <w:separator/>
      </w:r>
    </w:p>
  </w:endnote>
  <w:endnote w:type="continuationSeparator" w:id="0">
    <w:p w14:paraId="276D60D9" w14:textId="77777777" w:rsidR="00E15507" w:rsidRDefault="00E15507" w:rsidP="00C11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2D587" w14:textId="77777777" w:rsidR="00E15507" w:rsidRDefault="00E15507" w:rsidP="00C11F0C">
      <w:pPr>
        <w:spacing w:after="0" w:line="240" w:lineRule="auto"/>
      </w:pPr>
      <w:r>
        <w:separator/>
      </w:r>
    </w:p>
  </w:footnote>
  <w:footnote w:type="continuationSeparator" w:id="0">
    <w:p w14:paraId="2818B889" w14:textId="77777777" w:rsidR="00E15507" w:rsidRDefault="00E15507" w:rsidP="00C11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437"/>
    <w:multiLevelType w:val="multilevel"/>
    <w:tmpl w:val="5A1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7784B"/>
    <w:multiLevelType w:val="hybridMultilevel"/>
    <w:tmpl w:val="4008D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F6B9B"/>
    <w:multiLevelType w:val="multilevel"/>
    <w:tmpl w:val="B95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075E"/>
    <w:multiLevelType w:val="hybridMultilevel"/>
    <w:tmpl w:val="97646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37FE3"/>
    <w:multiLevelType w:val="hybridMultilevel"/>
    <w:tmpl w:val="E8661F72"/>
    <w:lvl w:ilvl="0" w:tplc="DB2CEB1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F0182"/>
    <w:multiLevelType w:val="multilevel"/>
    <w:tmpl w:val="084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604A0"/>
    <w:multiLevelType w:val="multilevel"/>
    <w:tmpl w:val="578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F5B"/>
    <w:multiLevelType w:val="multilevel"/>
    <w:tmpl w:val="39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47555"/>
    <w:multiLevelType w:val="multilevel"/>
    <w:tmpl w:val="FBD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12DA"/>
    <w:multiLevelType w:val="multilevel"/>
    <w:tmpl w:val="B416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57806"/>
    <w:multiLevelType w:val="multilevel"/>
    <w:tmpl w:val="B14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906B7"/>
    <w:multiLevelType w:val="multilevel"/>
    <w:tmpl w:val="71B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97646"/>
    <w:multiLevelType w:val="multilevel"/>
    <w:tmpl w:val="6A7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41AF7"/>
    <w:multiLevelType w:val="multilevel"/>
    <w:tmpl w:val="60C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35168"/>
    <w:multiLevelType w:val="multilevel"/>
    <w:tmpl w:val="74C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72025"/>
    <w:multiLevelType w:val="multilevel"/>
    <w:tmpl w:val="C24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66A01"/>
    <w:multiLevelType w:val="multilevel"/>
    <w:tmpl w:val="DAF4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C6B2A"/>
    <w:multiLevelType w:val="hybridMultilevel"/>
    <w:tmpl w:val="134C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007F99"/>
    <w:multiLevelType w:val="hybridMultilevel"/>
    <w:tmpl w:val="CD92D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B3FEE"/>
    <w:multiLevelType w:val="multilevel"/>
    <w:tmpl w:val="791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22F8C"/>
    <w:multiLevelType w:val="multilevel"/>
    <w:tmpl w:val="9F7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A1421"/>
    <w:multiLevelType w:val="multilevel"/>
    <w:tmpl w:val="D91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72E84"/>
    <w:multiLevelType w:val="multilevel"/>
    <w:tmpl w:val="4E0E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D1661"/>
    <w:multiLevelType w:val="multilevel"/>
    <w:tmpl w:val="595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577FC"/>
    <w:multiLevelType w:val="multilevel"/>
    <w:tmpl w:val="AF2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05AB4"/>
    <w:multiLevelType w:val="multilevel"/>
    <w:tmpl w:val="EC3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6590F"/>
    <w:multiLevelType w:val="multilevel"/>
    <w:tmpl w:val="A40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46044"/>
    <w:multiLevelType w:val="multilevel"/>
    <w:tmpl w:val="B75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10C81"/>
    <w:multiLevelType w:val="multilevel"/>
    <w:tmpl w:val="A16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50D7A"/>
    <w:multiLevelType w:val="hybridMultilevel"/>
    <w:tmpl w:val="53A6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AB79A0"/>
    <w:multiLevelType w:val="multilevel"/>
    <w:tmpl w:val="78A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77C8E"/>
    <w:multiLevelType w:val="hybridMultilevel"/>
    <w:tmpl w:val="97181310"/>
    <w:lvl w:ilvl="0" w:tplc="6EC622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097279"/>
    <w:multiLevelType w:val="hybridMultilevel"/>
    <w:tmpl w:val="A74CA27C"/>
    <w:lvl w:ilvl="0" w:tplc="DB2CEB1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BA0459"/>
    <w:multiLevelType w:val="hybridMultilevel"/>
    <w:tmpl w:val="D90E9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2E4DEE"/>
    <w:multiLevelType w:val="hybridMultilevel"/>
    <w:tmpl w:val="F01AC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611E1"/>
    <w:multiLevelType w:val="multilevel"/>
    <w:tmpl w:val="E78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81757"/>
    <w:multiLevelType w:val="multilevel"/>
    <w:tmpl w:val="532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10983"/>
    <w:multiLevelType w:val="hybridMultilevel"/>
    <w:tmpl w:val="4EE0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A2083"/>
    <w:multiLevelType w:val="hybridMultilevel"/>
    <w:tmpl w:val="DDC8E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D0449C"/>
    <w:multiLevelType w:val="hybridMultilevel"/>
    <w:tmpl w:val="BD9EF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110C6C"/>
    <w:multiLevelType w:val="hybridMultilevel"/>
    <w:tmpl w:val="5E0672D2"/>
    <w:lvl w:ilvl="0" w:tplc="4D9835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235318">
    <w:abstractNumId w:val="35"/>
  </w:num>
  <w:num w:numId="2" w16cid:durableId="1211958340">
    <w:abstractNumId w:val="6"/>
  </w:num>
  <w:num w:numId="3" w16cid:durableId="1666741194">
    <w:abstractNumId w:val="24"/>
  </w:num>
  <w:num w:numId="4" w16cid:durableId="778794822">
    <w:abstractNumId w:val="20"/>
  </w:num>
  <w:num w:numId="5" w16cid:durableId="1997224072">
    <w:abstractNumId w:val="2"/>
  </w:num>
  <w:num w:numId="6" w16cid:durableId="87122203">
    <w:abstractNumId w:val="36"/>
  </w:num>
  <w:num w:numId="7" w16cid:durableId="1336226502">
    <w:abstractNumId w:val="12"/>
  </w:num>
  <w:num w:numId="8" w16cid:durableId="2037344160">
    <w:abstractNumId w:val="5"/>
  </w:num>
  <w:num w:numId="9" w16cid:durableId="1066101979">
    <w:abstractNumId w:val="16"/>
  </w:num>
  <w:num w:numId="10" w16cid:durableId="1717581259">
    <w:abstractNumId w:val="19"/>
  </w:num>
  <w:num w:numId="11" w16cid:durableId="461315352">
    <w:abstractNumId w:val="30"/>
  </w:num>
  <w:num w:numId="12" w16cid:durableId="1622567197">
    <w:abstractNumId w:val="21"/>
  </w:num>
  <w:num w:numId="13" w16cid:durableId="991056732">
    <w:abstractNumId w:val="25"/>
  </w:num>
  <w:num w:numId="14" w16cid:durableId="1690989016">
    <w:abstractNumId w:val="13"/>
  </w:num>
  <w:num w:numId="15" w16cid:durableId="751584133">
    <w:abstractNumId w:val="14"/>
  </w:num>
  <w:num w:numId="16" w16cid:durableId="876047994">
    <w:abstractNumId w:val="8"/>
  </w:num>
  <w:num w:numId="17" w16cid:durableId="1272007383">
    <w:abstractNumId w:val="7"/>
  </w:num>
  <w:num w:numId="18" w16cid:durableId="1062681863">
    <w:abstractNumId w:val="1"/>
  </w:num>
  <w:num w:numId="19" w16cid:durableId="1627396154">
    <w:abstractNumId w:val="26"/>
  </w:num>
  <w:num w:numId="20" w16cid:durableId="1733623838">
    <w:abstractNumId w:val="15"/>
  </w:num>
  <w:num w:numId="21" w16cid:durableId="1481507480">
    <w:abstractNumId w:val="10"/>
  </w:num>
  <w:num w:numId="22" w16cid:durableId="353263247">
    <w:abstractNumId w:val="11"/>
  </w:num>
  <w:num w:numId="23" w16cid:durableId="1496528608">
    <w:abstractNumId w:val="23"/>
  </w:num>
  <w:num w:numId="24" w16cid:durableId="1826387037">
    <w:abstractNumId w:val="28"/>
  </w:num>
  <w:num w:numId="25" w16cid:durableId="2105875169">
    <w:abstractNumId w:val="22"/>
  </w:num>
  <w:num w:numId="26" w16cid:durableId="148980987">
    <w:abstractNumId w:val="27"/>
  </w:num>
  <w:num w:numId="27" w16cid:durableId="1738241201">
    <w:abstractNumId w:val="9"/>
  </w:num>
  <w:num w:numId="28" w16cid:durableId="794101717">
    <w:abstractNumId w:val="0"/>
  </w:num>
  <w:num w:numId="29" w16cid:durableId="1858736028">
    <w:abstractNumId w:val="34"/>
  </w:num>
  <w:num w:numId="30" w16cid:durableId="347756695">
    <w:abstractNumId w:val="32"/>
  </w:num>
  <w:num w:numId="31" w16cid:durableId="1079981919">
    <w:abstractNumId w:val="39"/>
  </w:num>
  <w:num w:numId="32" w16cid:durableId="107362668">
    <w:abstractNumId w:val="40"/>
  </w:num>
  <w:num w:numId="33" w16cid:durableId="1694188992">
    <w:abstractNumId w:val="4"/>
  </w:num>
  <w:num w:numId="34" w16cid:durableId="590771813">
    <w:abstractNumId w:val="29"/>
  </w:num>
  <w:num w:numId="35" w16cid:durableId="225072643">
    <w:abstractNumId w:val="38"/>
  </w:num>
  <w:num w:numId="36" w16cid:durableId="2132359618">
    <w:abstractNumId w:val="3"/>
  </w:num>
  <w:num w:numId="37" w16cid:durableId="1969815636">
    <w:abstractNumId w:val="31"/>
  </w:num>
  <w:num w:numId="38" w16cid:durableId="228539555">
    <w:abstractNumId w:val="37"/>
  </w:num>
  <w:num w:numId="39" w16cid:durableId="1127116772">
    <w:abstractNumId w:val="17"/>
  </w:num>
  <w:num w:numId="40" w16cid:durableId="2044212543">
    <w:abstractNumId w:val="33"/>
  </w:num>
  <w:num w:numId="41" w16cid:durableId="12587132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vfw2fpzoxwz04etwpuvvdxv5vdp5de5avv9&quot;&gt;My EndNote Library&lt;record-ids&gt;&lt;item&gt;359&lt;/item&gt;&lt;item&gt;360&lt;/item&gt;&lt;item&gt;362&lt;/item&gt;&lt;item&gt;363&lt;/item&gt;&lt;item&gt;364&lt;/item&gt;&lt;item&gt;366&lt;/item&gt;&lt;item&gt;367&lt;/item&gt;&lt;item&gt;368&lt;/item&gt;&lt;item&gt;369&lt;/item&gt;&lt;item&gt;370&lt;/item&gt;&lt;item&gt;371&lt;/item&gt;&lt;item&gt;372&lt;/item&gt;&lt;item&gt;374&lt;/item&gt;&lt;item&gt;375&lt;/item&gt;&lt;item&gt;376&lt;/item&gt;&lt;item&gt;377&lt;/item&gt;&lt;item&gt;378&lt;/item&gt;&lt;/record-ids&gt;&lt;/item&gt;&lt;/Libraries&gt;"/>
  </w:docVars>
  <w:rsids>
    <w:rsidRoot w:val="006E1CDA"/>
    <w:rsid w:val="000756DA"/>
    <w:rsid w:val="000A7A0A"/>
    <w:rsid w:val="000B2F39"/>
    <w:rsid w:val="000C7563"/>
    <w:rsid w:val="001B60C3"/>
    <w:rsid w:val="001F4D0B"/>
    <w:rsid w:val="00201AFC"/>
    <w:rsid w:val="002854AE"/>
    <w:rsid w:val="002864D5"/>
    <w:rsid w:val="003F644A"/>
    <w:rsid w:val="0048565B"/>
    <w:rsid w:val="00554814"/>
    <w:rsid w:val="00591978"/>
    <w:rsid w:val="005A6F74"/>
    <w:rsid w:val="005D153A"/>
    <w:rsid w:val="006862D4"/>
    <w:rsid w:val="006E0754"/>
    <w:rsid w:val="006E1CDA"/>
    <w:rsid w:val="007179FF"/>
    <w:rsid w:val="007754B7"/>
    <w:rsid w:val="00792135"/>
    <w:rsid w:val="00796E20"/>
    <w:rsid w:val="00855482"/>
    <w:rsid w:val="00880770"/>
    <w:rsid w:val="008E2359"/>
    <w:rsid w:val="009420B5"/>
    <w:rsid w:val="009D3B96"/>
    <w:rsid w:val="00A164FC"/>
    <w:rsid w:val="00A614FF"/>
    <w:rsid w:val="00B35B52"/>
    <w:rsid w:val="00BD6B64"/>
    <w:rsid w:val="00C11F0C"/>
    <w:rsid w:val="00C65942"/>
    <w:rsid w:val="00CD4D8E"/>
    <w:rsid w:val="00CD6179"/>
    <w:rsid w:val="00E15507"/>
    <w:rsid w:val="00E32EFA"/>
    <w:rsid w:val="00EB265E"/>
    <w:rsid w:val="00EC35A9"/>
    <w:rsid w:val="00F32036"/>
    <w:rsid w:val="00FA2F5B"/>
    <w:rsid w:val="00FB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5B20B"/>
  <w15:chartTrackingRefBased/>
  <w15:docId w15:val="{B3561BE0-FE23-4B03-9EF3-F7AEF9324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4AE"/>
    <w:pPr>
      <w:spacing w:after="200" w:line="276" w:lineRule="auto"/>
      <w:jc w:val="both"/>
    </w:pPr>
    <w:rPr>
      <w:rFonts w:ascii="Times New Roman" w:hAnsi="Times New Roman"/>
      <w:color w:val="000000" w:themeColor="text1"/>
      <w:kern w:val="0"/>
      <w:szCs w:val="22"/>
      <w14:ligatures w14:val="none"/>
    </w:rPr>
  </w:style>
  <w:style w:type="paragraph" w:styleId="Heading1">
    <w:name w:val="heading 1"/>
    <w:basedOn w:val="Normal"/>
    <w:next w:val="Normal"/>
    <w:link w:val="Heading1Char"/>
    <w:autoRedefine/>
    <w:uiPriority w:val="9"/>
    <w:qFormat/>
    <w:rsid w:val="002854AE"/>
    <w:pPr>
      <w:keepNext/>
      <w:keepLines/>
      <w:spacing w:before="480" w:after="240" w:line="360" w:lineRule="auto"/>
      <w:outlineLvl w:val="0"/>
    </w:pPr>
    <w:rPr>
      <w:rFonts w:eastAsia="Times New Roman" w:cstheme="majorBidi"/>
      <w:b/>
      <w:sz w:val="28"/>
      <w:szCs w:val="32"/>
    </w:rPr>
  </w:style>
  <w:style w:type="paragraph" w:styleId="Heading2">
    <w:name w:val="heading 2"/>
    <w:basedOn w:val="Normal"/>
    <w:next w:val="Normal"/>
    <w:link w:val="Heading2Char"/>
    <w:uiPriority w:val="9"/>
    <w:unhideWhenUsed/>
    <w:qFormat/>
    <w:rsid w:val="002854AE"/>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6E1CD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C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1C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1C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1C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1C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1C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AE"/>
    <w:rPr>
      <w:rFonts w:ascii="Times New Roman" w:eastAsia="Times New Roman" w:hAnsi="Times New Roman" w:cstheme="majorBidi"/>
      <w:b/>
      <w:color w:val="000000" w:themeColor="text1"/>
      <w:kern w:val="0"/>
      <w:sz w:val="28"/>
      <w:szCs w:val="32"/>
      <w14:ligatures w14:val="none"/>
    </w:rPr>
  </w:style>
  <w:style w:type="character" w:customStyle="1" w:styleId="Heading2Char">
    <w:name w:val="Heading 2 Char"/>
    <w:basedOn w:val="DefaultParagraphFont"/>
    <w:link w:val="Heading2"/>
    <w:uiPriority w:val="9"/>
    <w:rsid w:val="002854AE"/>
    <w:rPr>
      <w:rFonts w:ascii="Times New Roman" w:eastAsiaTheme="majorEastAsia" w:hAnsi="Times New Roman" w:cstheme="majorBidi"/>
      <w:color w:val="000000" w:themeColor="text1"/>
      <w:kern w:val="0"/>
      <w:szCs w:val="32"/>
      <w14:ligatures w14:val="none"/>
    </w:rPr>
  </w:style>
  <w:style w:type="character" w:customStyle="1" w:styleId="Heading3Char">
    <w:name w:val="Heading 3 Char"/>
    <w:basedOn w:val="DefaultParagraphFont"/>
    <w:link w:val="Heading3"/>
    <w:uiPriority w:val="9"/>
    <w:rsid w:val="006E1CD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E1CDA"/>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6E1CDA"/>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6E1CDA"/>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6E1CDA"/>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6E1CDA"/>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6E1CDA"/>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6E1CD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E1CD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E1C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CD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E1C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CDA"/>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6E1CDA"/>
    <w:pPr>
      <w:ind w:left="720"/>
      <w:contextualSpacing/>
    </w:pPr>
  </w:style>
  <w:style w:type="character" w:styleId="IntenseEmphasis">
    <w:name w:val="Intense Emphasis"/>
    <w:basedOn w:val="DefaultParagraphFont"/>
    <w:uiPriority w:val="21"/>
    <w:qFormat/>
    <w:rsid w:val="006E1CDA"/>
    <w:rPr>
      <w:i/>
      <w:iCs/>
      <w:color w:val="0F4761" w:themeColor="accent1" w:themeShade="BF"/>
    </w:rPr>
  </w:style>
  <w:style w:type="paragraph" w:styleId="IntenseQuote">
    <w:name w:val="Intense Quote"/>
    <w:basedOn w:val="Normal"/>
    <w:next w:val="Normal"/>
    <w:link w:val="IntenseQuoteChar"/>
    <w:uiPriority w:val="30"/>
    <w:qFormat/>
    <w:rsid w:val="006E1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CDA"/>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6E1CDA"/>
    <w:rPr>
      <w:b/>
      <w:bCs/>
      <w:smallCaps/>
      <w:color w:val="0F4761" w:themeColor="accent1" w:themeShade="BF"/>
      <w:spacing w:val="5"/>
    </w:rPr>
  </w:style>
  <w:style w:type="character" w:styleId="Strong">
    <w:name w:val="Strong"/>
    <w:basedOn w:val="DefaultParagraphFont"/>
    <w:uiPriority w:val="22"/>
    <w:qFormat/>
    <w:rsid w:val="006E1CDA"/>
    <w:rPr>
      <w:b/>
      <w:bCs/>
    </w:rPr>
  </w:style>
  <w:style w:type="paragraph" w:styleId="NormalWeb">
    <w:name w:val="Normal (Web)"/>
    <w:basedOn w:val="Normal"/>
    <w:uiPriority w:val="99"/>
    <w:unhideWhenUsed/>
    <w:rsid w:val="006E1CDA"/>
    <w:pPr>
      <w:spacing w:before="100" w:beforeAutospacing="1" w:after="100" w:afterAutospacing="1" w:line="240" w:lineRule="auto"/>
    </w:pPr>
    <w:rPr>
      <w:rFonts w:eastAsia="Times New Roman" w:cs="Times New Roman"/>
      <w:color w:val="auto"/>
      <w:szCs w:val="24"/>
    </w:rPr>
  </w:style>
  <w:style w:type="character" w:styleId="HTMLCode">
    <w:name w:val="HTML Code"/>
    <w:basedOn w:val="DefaultParagraphFont"/>
    <w:uiPriority w:val="99"/>
    <w:semiHidden/>
    <w:unhideWhenUsed/>
    <w:rsid w:val="006E1CDA"/>
    <w:rPr>
      <w:rFonts w:ascii="Courier New" w:eastAsia="Times New Roman" w:hAnsi="Courier New" w:cs="Courier New"/>
      <w:sz w:val="20"/>
      <w:szCs w:val="20"/>
    </w:rPr>
  </w:style>
  <w:style w:type="paragraph" w:styleId="Caption">
    <w:name w:val="caption"/>
    <w:basedOn w:val="Normal"/>
    <w:next w:val="Normal"/>
    <w:uiPriority w:val="35"/>
    <w:unhideWhenUsed/>
    <w:qFormat/>
    <w:rsid w:val="00C11F0C"/>
    <w:pPr>
      <w:spacing w:line="240" w:lineRule="auto"/>
    </w:pPr>
    <w:rPr>
      <w:i/>
      <w:iCs/>
      <w:color w:val="0E2841" w:themeColor="text2"/>
      <w:sz w:val="18"/>
      <w:szCs w:val="18"/>
    </w:rPr>
  </w:style>
  <w:style w:type="paragraph" w:styleId="Header">
    <w:name w:val="header"/>
    <w:basedOn w:val="Normal"/>
    <w:link w:val="HeaderChar"/>
    <w:uiPriority w:val="99"/>
    <w:unhideWhenUsed/>
    <w:rsid w:val="00C11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F0C"/>
    <w:rPr>
      <w:rFonts w:ascii="Times New Roman" w:hAnsi="Times New Roman"/>
      <w:color w:val="000000" w:themeColor="text1"/>
      <w:kern w:val="0"/>
      <w:szCs w:val="22"/>
      <w14:ligatures w14:val="none"/>
    </w:rPr>
  </w:style>
  <w:style w:type="paragraph" w:styleId="Footer">
    <w:name w:val="footer"/>
    <w:basedOn w:val="Normal"/>
    <w:link w:val="FooterChar"/>
    <w:uiPriority w:val="99"/>
    <w:unhideWhenUsed/>
    <w:rsid w:val="00C11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F0C"/>
    <w:rPr>
      <w:rFonts w:ascii="Times New Roman" w:hAnsi="Times New Roman"/>
      <w:color w:val="000000" w:themeColor="text1"/>
      <w:kern w:val="0"/>
      <w:szCs w:val="22"/>
      <w14:ligatures w14:val="none"/>
    </w:rPr>
  </w:style>
  <w:style w:type="table" w:styleId="TableGrid">
    <w:name w:val="Table Grid"/>
    <w:basedOn w:val="TableNormal"/>
    <w:uiPriority w:val="39"/>
    <w:rsid w:val="000B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855482"/>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855482"/>
    <w:rPr>
      <w:rFonts w:ascii="Times New Roman" w:hAnsi="Times New Roman" w:cs="Times New Roman"/>
      <w:noProof/>
      <w:color w:val="000000" w:themeColor="text1"/>
      <w:kern w:val="0"/>
      <w:szCs w:val="22"/>
      <w14:ligatures w14:val="none"/>
    </w:rPr>
  </w:style>
  <w:style w:type="paragraph" w:customStyle="1" w:styleId="EndNoteBibliography">
    <w:name w:val="EndNote Bibliography"/>
    <w:basedOn w:val="Normal"/>
    <w:link w:val="EndNoteBibliographyChar"/>
    <w:rsid w:val="00855482"/>
    <w:pPr>
      <w:spacing w:line="240" w:lineRule="auto"/>
    </w:pPr>
    <w:rPr>
      <w:rFonts w:cs="Times New Roman"/>
      <w:noProof/>
    </w:rPr>
  </w:style>
  <w:style w:type="character" w:customStyle="1" w:styleId="EndNoteBibliographyChar">
    <w:name w:val="EndNote Bibliography Char"/>
    <w:basedOn w:val="DefaultParagraphFont"/>
    <w:link w:val="EndNoteBibliography"/>
    <w:rsid w:val="00855482"/>
    <w:rPr>
      <w:rFonts w:ascii="Times New Roman" w:hAnsi="Times New Roman" w:cs="Times New Roman"/>
      <w:noProof/>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5498</Words>
  <Characters>34586</Characters>
  <Application>Microsoft Office Word</Application>
  <DocSecurity>0</DocSecurity>
  <Lines>843</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RAMZA AKRAM</dc:creator>
  <cp:keywords/>
  <dc:description/>
  <cp:lastModifiedBy>RAMZA AKRAM</cp:lastModifiedBy>
  <cp:revision>2</cp:revision>
  <dcterms:created xsi:type="dcterms:W3CDTF">2025-11-18T05:57:00Z</dcterms:created>
  <dcterms:modified xsi:type="dcterms:W3CDTF">2025-11-18T05:57:00Z</dcterms:modified>
</cp:coreProperties>
</file>