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01DB" w:rsidRDefault="00BA01DB" w:rsidP="00BA01DB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b/>
          <w:bCs/>
          <w:sz w:val="28"/>
          <w:szCs w:val="28"/>
          <w:lang/>
        </w:rPr>
        <w:t>Earnings Analysis Dashboard for NVIDIA: Approach &amp; Key Insights</w:t>
      </w:r>
    </w:p>
    <w:p w:rsidR="00BA01DB" w:rsidRDefault="00BA01DB" w:rsidP="00BA01DB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b/>
          <w:bCs/>
          <w:lang/>
        </w:rPr>
        <w:t>Objective</w:t>
      </w:r>
    </w:p>
    <w:p w:rsidR="00BA01DB" w:rsidRDefault="00BA01DB" w:rsidP="00BA01DB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The dashboard analyzes NVIDIA's performance around quarterly earnings announcements over a 3-year period (Sep 30, 2022 - Sep 30, 2025). It decomposes daily returns into systematic (factor-based) and idiosyncratic (company-specific) components, evaluates volatility changes, and test's statistical reliability.</w:t>
      </w:r>
    </w:p>
    <w:p w:rsidR="00BA01DB" w:rsidRDefault="00BA01DB" w:rsidP="00BA01DB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b/>
          <w:bCs/>
          <w:sz w:val="24"/>
          <w:szCs w:val="24"/>
          <w:lang/>
        </w:rPr>
        <w:t>Approach</w:t>
      </w:r>
    </w:p>
    <w:p w:rsidR="00BA01DB" w:rsidRDefault="00BA01DB" w:rsidP="00BA01DB">
      <w:pPr>
        <w:autoSpaceDE w:val="0"/>
        <w:autoSpaceDN w:val="0"/>
        <w:adjustRightInd w:val="0"/>
        <w:ind w:left="360"/>
        <w:rPr>
          <w:rFonts w:ascii="Calibri" w:hAnsi="Calibri" w:cs="Calibri"/>
          <w:lang/>
        </w:rPr>
      </w:pPr>
      <w:r>
        <w:rPr>
          <w:rFonts w:ascii="Calibri" w:hAnsi="Calibri" w:cs="Calibri"/>
          <w:b/>
          <w:bCs/>
          <w:lang/>
        </w:rPr>
        <w:t>1. Data Inputs</w:t>
      </w:r>
    </w:p>
    <w:p w:rsidR="00BA01DB" w:rsidRDefault="00BA01DB" w:rsidP="00BA01DB">
      <w:pPr>
        <w:numPr>
          <w:ilvl w:val="0"/>
          <w:numId w:val="1"/>
        </w:numPr>
        <w:autoSpaceDE w:val="0"/>
        <w:autoSpaceDN w:val="0"/>
        <w:adjustRightInd w:val="0"/>
        <w:ind w:left="1080" w:hanging="360"/>
        <w:rPr>
          <w:rFonts w:ascii="Calibri" w:hAnsi="Calibri" w:cs="Calibri"/>
          <w:lang/>
        </w:rPr>
      </w:pPr>
      <w:r>
        <w:rPr>
          <w:rFonts w:ascii="Calibri" w:hAnsi="Calibri" w:cs="Calibri"/>
          <w:b/>
          <w:bCs/>
          <w:lang/>
        </w:rPr>
        <w:t xml:space="preserve">NVIDIA daily returns </w:t>
      </w:r>
      <w:r>
        <w:rPr>
          <w:rFonts w:ascii="Calibri" w:hAnsi="Calibri" w:cs="Calibri"/>
          <w:lang/>
        </w:rPr>
        <w:t>from Oct 2022 to Sep 2025.</w:t>
      </w:r>
    </w:p>
    <w:p w:rsidR="00BA01DB" w:rsidRDefault="00BA01DB" w:rsidP="00BA01DB">
      <w:pPr>
        <w:numPr>
          <w:ilvl w:val="0"/>
          <w:numId w:val="1"/>
        </w:numPr>
        <w:autoSpaceDE w:val="0"/>
        <w:autoSpaceDN w:val="0"/>
        <w:adjustRightInd w:val="0"/>
        <w:ind w:left="1080" w:hanging="360"/>
        <w:rPr>
          <w:rFonts w:ascii="Calibri" w:hAnsi="Calibri" w:cs="Calibri"/>
          <w:lang/>
        </w:rPr>
      </w:pPr>
      <w:r>
        <w:rPr>
          <w:rFonts w:ascii="Calibri" w:hAnsi="Calibri" w:cs="Calibri"/>
          <w:b/>
          <w:bCs/>
          <w:lang/>
        </w:rPr>
        <w:t xml:space="preserve">Factor returns &amp; loadings </w:t>
      </w:r>
      <w:r>
        <w:rPr>
          <w:rFonts w:ascii="Calibri" w:hAnsi="Calibri" w:cs="Calibri"/>
          <w:lang/>
        </w:rPr>
        <w:t>(Market, Momentum, Quality, Semiconductors, etc.).</w:t>
      </w:r>
    </w:p>
    <w:p w:rsidR="00BA01DB" w:rsidRDefault="00BA01DB" w:rsidP="00BA01DB">
      <w:pPr>
        <w:numPr>
          <w:ilvl w:val="0"/>
          <w:numId w:val="1"/>
        </w:numPr>
        <w:autoSpaceDE w:val="0"/>
        <w:autoSpaceDN w:val="0"/>
        <w:adjustRightInd w:val="0"/>
        <w:ind w:left="1080" w:hanging="360"/>
        <w:rPr>
          <w:rFonts w:ascii="Calibri" w:hAnsi="Calibri" w:cs="Calibri"/>
          <w:lang/>
        </w:rPr>
      </w:pPr>
      <w:r>
        <w:rPr>
          <w:rFonts w:ascii="Calibri" w:hAnsi="Calibri" w:cs="Calibri"/>
          <w:b/>
          <w:bCs/>
          <w:lang/>
        </w:rPr>
        <w:t xml:space="preserve">Earnings dates </w:t>
      </w:r>
      <w:r>
        <w:rPr>
          <w:rFonts w:ascii="Calibri" w:hAnsi="Calibri" w:cs="Calibri"/>
          <w:lang/>
        </w:rPr>
        <w:t>(after-market releases; reaction measured on next trading day).</w:t>
      </w:r>
    </w:p>
    <w:p w:rsidR="00BA01DB" w:rsidRDefault="00BA01DB" w:rsidP="00BA01DB">
      <w:pPr>
        <w:autoSpaceDE w:val="0"/>
        <w:autoSpaceDN w:val="0"/>
        <w:adjustRightInd w:val="0"/>
        <w:ind w:left="360"/>
        <w:rPr>
          <w:rFonts w:ascii="Calibri" w:hAnsi="Calibri" w:cs="Calibri"/>
          <w:lang/>
        </w:rPr>
      </w:pPr>
      <w:r>
        <w:rPr>
          <w:rFonts w:ascii="Calibri" w:hAnsi="Calibri" w:cs="Calibri"/>
          <w:b/>
          <w:bCs/>
          <w:sz w:val="24"/>
          <w:szCs w:val="24"/>
          <w:lang/>
        </w:rPr>
        <w:t>2. Return Decomposition</w:t>
      </w:r>
    </w:p>
    <w:p w:rsidR="00BA01DB" w:rsidRDefault="00BA01DB" w:rsidP="00BA01DB">
      <w:pPr>
        <w:numPr>
          <w:ilvl w:val="0"/>
          <w:numId w:val="1"/>
        </w:numPr>
        <w:autoSpaceDE w:val="0"/>
        <w:autoSpaceDN w:val="0"/>
        <w:adjustRightInd w:val="0"/>
        <w:ind w:left="1080" w:hanging="360"/>
        <w:rPr>
          <w:rFonts w:ascii="Calibri" w:hAnsi="Calibri" w:cs="Calibri"/>
          <w:lang/>
        </w:rPr>
      </w:pPr>
      <w:r>
        <w:rPr>
          <w:rFonts w:ascii="Calibri" w:hAnsi="Calibri" w:cs="Calibri"/>
          <w:b/>
          <w:bCs/>
          <w:lang/>
        </w:rPr>
        <w:t xml:space="preserve">Factor-Predicted Return </w:t>
      </w:r>
      <w:proofErr w:type="gramStart"/>
      <w:r>
        <w:rPr>
          <w:rFonts w:ascii="Calibri" w:hAnsi="Calibri" w:cs="Calibri"/>
          <w:lang/>
        </w:rPr>
        <w:t xml:space="preserve">=  </w:t>
      </w:r>
      <w:r>
        <w:rPr>
          <w:rFonts w:ascii="Cambria Math" w:hAnsi="Cambria Math" w:cs="Cambria Math"/>
          <w:lang/>
        </w:rPr>
        <w:t>∑</w:t>
      </w:r>
      <w:proofErr w:type="gramEnd"/>
      <w:r>
        <w:rPr>
          <w:rFonts w:ascii="Calibri" w:hAnsi="Calibri" w:cs="Calibri"/>
          <w:lang/>
        </w:rPr>
        <w:t xml:space="preserve">(beta × factor </w:t>
      </w:r>
      <w:proofErr w:type="spellStart"/>
      <w:r>
        <w:rPr>
          <w:rFonts w:ascii="Calibri" w:hAnsi="Calibri" w:cs="Calibri"/>
          <w:lang/>
        </w:rPr>
        <w:t>retum</w:t>
      </w:r>
      <w:proofErr w:type="spellEnd"/>
      <w:r>
        <w:rPr>
          <w:rFonts w:ascii="Calibri" w:hAnsi="Calibri" w:cs="Calibri"/>
          <w:lang/>
        </w:rPr>
        <w:t>).</w:t>
      </w:r>
    </w:p>
    <w:p w:rsidR="00BA01DB" w:rsidRDefault="00BA01DB" w:rsidP="00BA01DB">
      <w:pPr>
        <w:numPr>
          <w:ilvl w:val="0"/>
          <w:numId w:val="1"/>
        </w:numPr>
        <w:autoSpaceDE w:val="0"/>
        <w:autoSpaceDN w:val="0"/>
        <w:adjustRightInd w:val="0"/>
        <w:ind w:left="1080" w:hanging="360"/>
        <w:rPr>
          <w:rFonts w:ascii="Calibri" w:hAnsi="Calibri" w:cs="Calibri"/>
          <w:lang/>
        </w:rPr>
      </w:pPr>
      <w:r>
        <w:rPr>
          <w:rFonts w:ascii="Calibri" w:hAnsi="Calibri" w:cs="Calibri"/>
          <w:b/>
          <w:bCs/>
          <w:lang/>
        </w:rPr>
        <w:t xml:space="preserve">Idiosyncratic Return </w:t>
      </w:r>
      <w:r>
        <w:rPr>
          <w:rFonts w:ascii="Calibri" w:hAnsi="Calibri" w:cs="Calibri"/>
          <w:lang/>
        </w:rPr>
        <w:t>= NVDA actual return - factor-predicted return.</w:t>
      </w:r>
    </w:p>
    <w:p w:rsidR="00BA01DB" w:rsidRDefault="00BA01DB" w:rsidP="00BA01DB">
      <w:pPr>
        <w:numPr>
          <w:ilvl w:val="0"/>
          <w:numId w:val="1"/>
        </w:numPr>
        <w:autoSpaceDE w:val="0"/>
        <w:autoSpaceDN w:val="0"/>
        <w:adjustRightInd w:val="0"/>
        <w:ind w:left="1080" w:hanging="36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Cumulative returns computed for NVIDIA and components.</w:t>
      </w:r>
    </w:p>
    <w:p w:rsidR="00BA01DB" w:rsidRDefault="00BA01DB" w:rsidP="00BA01DB">
      <w:pPr>
        <w:autoSpaceDE w:val="0"/>
        <w:autoSpaceDN w:val="0"/>
        <w:adjustRightInd w:val="0"/>
        <w:ind w:left="360"/>
        <w:rPr>
          <w:rFonts w:ascii="Calibri" w:hAnsi="Calibri" w:cs="Calibri"/>
          <w:lang/>
        </w:rPr>
      </w:pPr>
      <w:r>
        <w:rPr>
          <w:rFonts w:ascii="Calibri" w:hAnsi="Calibri" w:cs="Calibri"/>
          <w:b/>
          <w:bCs/>
          <w:sz w:val="24"/>
          <w:szCs w:val="24"/>
          <w:lang/>
        </w:rPr>
        <w:t>3. Event Study Design</w:t>
      </w:r>
    </w:p>
    <w:p w:rsidR="00BA01DB" w:rsidRDefault="00BA01DB" w:rsidP="00BA01DB">
      <w:pPr>
        <w:numPr>
          <w:ilvl w:val="0"/>
          <w:numId w:val="1"/>
        </w:numPr>
        <w:autoSpaceDE w:val="0"/>
        <w:autoSpaceDN w:val="0"/>
        <w:adjustRightInd w:val="0"/>
        <w:ind w:left="1080" w:hanging="36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Configurable </w:t>
      </w:r>
      <w:r>
        <w:rPr>
          <w:rFonts w:ascii="Calibri" w:hAnsi="Calibri" w:cs="Calibri"/>
          <w:b/>
          <w:bCs/>
          <w:lang/>
        </w:rPr>
        <w:t xml:space="preserve">event window </w:t>
      </w:r>
      <w:r>
        <w:rPr>
          <w:rFonts w:ascii="Calibri" w:hAnsi="Calibri" w:cs="Calibri"/>
          <w:lang/>
        </w:rPr>
        <w:t>(±5-20 days).</w:t>
      </w:r>
    </w:p>
    <w:p w:rsidR="00BA01DB" w:rsidRDefault="00BA01DB" w:rsidP="00BA01DB">
      <w:pPr>
        <w:numPr>
          <w:ilvl w:val="0"/>
          <w:numId w:val="1"/>
        </w:numPr>
        <w:autoSpaceDE w:val="0"/>
        <w:autoSpaceDN w:val="0"/>
        <w:adjustRightInd w:val="0"/>
        <w:ind w:left="1080" w:hanging="36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Align returns around earnings day (day 0 = first trading day post-announcement).</w:t>
      </w:r>
    </w:p>
    <w:p w:rsidR="00BA01DB" w:rsidRDefault="00BA01DB" w:rsidP="00BA01DB">
      <w:pPr>
        <w:numPr>
          <w:ilvl w:val="0"/>
          <w:numId w:val="1"/>
        </w:numPr>
        <w:autoSpaceDE w:val="0"/>
        <w:autoSpaceDN w:val="0"/>
        <w:adjustRightInd w:val="0"/>
        <w:ind w:left="1080" w:hanging="36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Compute </w:t>
      </w:r>
      <w:r>
        <w:rPr>
          <w:rFonts w:ascii="Calibri" w:hAnsi="Calibri" w:cs="Calibri"/>
          <w:b/>
          <w:bCs/>
          <w:lang/>
        </w:rPr>
        <w:t xml:space="preserve">average returns </w:t>
      </w:r>
      <w:r>
        <w:rPr>
          <w:rFonts w:ascii="Calibri" w:hAnsi="Calibri" w:cs="Calibri"/>
          <w:lang/>
        </w:rPr>
        <w:t xml:space="preserve">and </w:t>
      </w:r>
      <w:r>
        <w:rPr>
          <w:rFonts w:ascii="Calibri" w:hAnsi="Calibri" w:cs="Calibri"/>
          <w:b/>
          <w:bCs/>
          <w:lang/>
        </w:rPr>
        <w:t xml:space="preserve">absolute move sizes </w:t>
      </w:r>
      <w:r>
        <w:rPr>
          <w:rFonts w:ascii="Calibri" w:hAnsi="Calibri" w:cs="Calibri"/>
          <w:lang/>
        </w:rPr>
        <w:t>pre-event, during, and post-event.</w:t>
      </w:r>
    </w:p>
    <w:p w:rsidR="00BA01DB" w:rsidRDefault="00BA01DB" w:rsidP="00BA01DB">
      <w:pPr>
        <w:autoSpaceDE w:val="0"/>
        <w:autoSpaceDN w:val="0"/>
        <w:adjustRightInd w:val="0"/>
        <w:ind w:left="360"/>
        <w:rPr>
          <w:rFonts w:ascii="Calibri" w:hAnsi="Calibri" w:cs="Calibri"/>
          <w:lang/>
        </w:rPr>
      </w:pPr>
      <w:r>
        <w:rPr>
          <w:rFonts w:ascii="Calibri" w:hAnsi="Calibri" w:cs="Calibri"/>
          <w:b/>
          <w:bCs/>
          <w:sz w:val="24"/>
          <w:szCs w:val="24"/>
          <w:lang/>
        </w:rPr>
        <w:t>4. Volatility Analysis</w:t>
      </w:r>
    </w:p>
    <w:p w:rsidR="00BA01DB" w:rsidRDefault="00BA01DB" w:rsidP="00BA01DB">
      <w:pPr>
        <w:numPr>
          <w:ilvl w:val="0"/>
          <w:numId w:val="1"/>
        </w:numPr>
        <w:autoSpaceDE w:val="0"/>
        <w:autoSpaceDN w:val="0"/>
        <w:adjustRightInd w:val="0"/>
        <w:ind w:left="1080" w:hanging="36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Rolling volatility (annualized) for NVIDIA and idiosyncratic component.</w:t>
      </w:r>
    </w:p>
    <w:p w:rsidR="00BA01DB" w:rsidRDefault="00BA01DB" w:rsidP="00BA01DB">
      <w:pPr>
        <w:numPr>
          <w:ilvl w:val="0"/>
          <w:numId w:val="1"/>
        </w:numPr>
        <w:autoSpaceDE w:val="0"/>
        <w:autoSpaceDN w:val="0"/>
        <w:adjustRightInd w:val="0"/>
        <w:ind w:left="1080" w:hanging="36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Compare </w:t>
      </w:r>
      <w:r>
        <w:rPr>
          <w:rFonts w:ascii="Calibri" w:hAnsi="Calibri" w:cs="Calibri"/>
          <w:b/>
          <w:bCs/>
          <w:lang/>
        </w:rPr>
        <w:t xml:space="preserve">pre </w:t>
      </w:r>
      <w:proofErr w:type="spellStart"/>
      <w:r>
        <w:rPr>
          <w:rFonts w:ascii="Calibri" w:hAnsi="Calibri" w:cs="Calibri"/>
          <w:b/>
          <w:bCs/>
          <w:lang/>
        </w:rPr>
        <w:t>vs</w:t>
      </w:r>
      <w:proofErr w:type="spellEnd"/>
      <w:r>
        <w:rPr>
          <w:rFonts w:ascii="Calibri" w:hAnsi="Calibri" w:cs="Calibri"/>
          <w:b/>
          <w:bCs/>
          <w:lang/>
        </w:rPr>
        <w:t xml:space="preserve"> post earnings volatility </w:t>
      </w:r>
      <w:r>
        <w:rPr>
          <w:rFonts w:ascii="Calibri" w:hAnsi="Calibri" w:cs="Calibri"/>
          <w:lang/>
        </w:rPr>
        <w:t>per event.</w:t>
      </w:r>
    </w:p>
    <w:p w:rsidR="00BA01DB" w:rsidRDefault="00BA01DB" w:rsidP="00BA01DB">
      <w:pPr>
        <w:autoSpaceDE w:val="0"/>
        <w:autoSpaceDN w:val="0"/>
        <w:adjustRightInd w:val="0"/>
        <w:ind w:left="360"/>
        <w:rPr>
          <w:rFonts w:ascii="Calibri" w:hAnsi="Calibri" w:cs="Calibri"/>
          <w:lang/>
        </w:rPr>
      </w:pPr>
      <w:r>
        <w:rPr>
          <w:rFonts w:ascii="Calibri" w:hAnsi="Calibri" w:cs="Calibri"/>
          <w:b/>
          <w:bCs/>
          <w:sz w:val="24"/>
          <w:szCs w:val="24"/>
          <w:lang/>
        </w:rPr>
        <w:t>5. Statistical Tests</w:t>
      </w:r>
    </w:p>
    <w:p w:rsidR="00BA01DB" w:rsidRDefault="00BA01DB" w:rsidP="00BA01DB">
      <w:pPr>
        <w:numPr>
          <w:ilvl w:val="0"/>
          <w:numId w:val="1"/>
        </w:numPr>
        <w:autoSpaceDE w:val="0"/>
        <w:autoSpaceDN w:val="0"/>
        <w:adjustRightInd w:val="0"/>
        <w:ind w:left="1080" w:hanging="360"/>
        <w:rPr>
          <w:rFonts w:ascii="Calibri" w:hAnsi="Calibri" w:cs="Calibri"/>
          <w:lang/>
        </w:rPr>
      </w:pPr>
      <w:r>
        <w:rPr>
          <w:rFonts w:ascii="Calibri" w:hAnsi="Calibri" w:cs="Calibri"/>
          <w:b/>
          <w:bCs/>
          <w:lang/>
        </w:rPr>
        <w:t xml:space="preserve">﻿﻿t-tests </w:t>
      </w:r>
      <w:r>
        <w:rPr>
          <w:rFonts w:ascii="Calibri" w:hAnsi="Calibri" w:cs="Calibri"/>
          <w:lang/>
        </w:rPr>
        <w:t>for:</w:t>
      </w:r>
    </w:p>
    <w:p w:rsidR="00BA01DB" w:rsidRDefault="00BA01DB" w:rsidP="00BA01DB">
      <w:pPr>
        <w:numPr>
          <w:ilvl w:val="0"/>
          <w:numId w:val="1"/>
        </w:numPr>
        <w:autoSpaceDE w:val="0"/>
        <w:autoSpaceDN w:val="0"/>
        <w:adjustRightInd w:val="0"/>
        <w:ind w:left="1440" w:hanging="36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﻿﻿Event-day </w:t>
      </w:r>
      <w:proofErr w:type="gramStart"/>
      <w:r>
        <w:rPr>
          <w:rFonts w:ascii="Calibri" w:hAnsi="Calibri" w:cs="Calibri"/>
          <w:lang/>
        </w:rPr>
        <w:t>mean</w:t>
      </w:r>
      <w:proofErr w:type="gramEnd"/>
      <w:r>
        <w:rPr>
          <w:rFonts w:ascii="Calibri" w:hAnsi="Calibri" w:cs="Calibri"/>
          <w:lang/>
        </w:rPr>
        <w:t xml:space="preserve"> return </w:t>
      </w:r>
      <w:r>
        <w:rPr>
          <w:rFonts w:ascii="Cambria Math" w:hAnsi="Cambria Math" w:cs="Cambria Math"/>
          <w:lang/>
        </w:rPr>
        <w:t>≠</w:t>
      </w:r>
      <w:r>
        <w:rPr>
          <w:rFonts w:ascii="Calibri" w:hAnsi="Calibri" w:cs="Calibri"/>
          <w:lang/>
        </w:rPr>
        <w:t xml:space="preserve"> 0 (Total &amp; Idiosyncratic).</w:t>
      </w:r>
    </w:p>
    <w:p w:rsidR="00BA01DB" w:rsidRDefault="00BA01DB" w:rsidP="00BA01DB">
      <w:pPr>
        <w:numPr>
          <w:ilvl w:val="0"/>
          <w:numId w:val="1"/>
        </w:numPr>
        <w:autoSpaceDE w:val="0"/>
        <w:autoSpaceDN w:val="0"/>
        <w:adjustRightInd w:val="0"/>
        <w:ind w:left="1440" w:hanging="360"/>
        <w:rPr>
          <w:rFonts w:ascii="Calibri" w:hAnsi="Calibri" w:cs="Calibri"/>
          <w:lang/>
        </w:rPr>
      </w:pPr>
      <w:proofErr w:type="gramStart"/>
      <w:r>
        <w:rPr>
          <w:rFonts w:ascii="Calibri" w:hAnsi="Calibri" w:cs="Calibri"/>
          <w:lang/>
        </w:rPr>
        <w:t>" Pre</w:t>
      </w:r>
      <w:proofErr w:type="gramEnd"/>
      <w:r>
        <w:rPr>
          <w:rFonts w:ascii="Calibri" w:hAnsi="Calibri" w:cs="Calibri"/>
          <w:lang/>
        </w:rPr>
        <w:t xml:space="preserve"> </w:t>
      </w:r>
      <w:proofErr w:type="spellStart"/>
      <w:r>
        <w:rPr>
          <w:rFonts w:ascii="Calibri" w:hAnsi="Calibri" w:cs="Calibri"/>
          <w:lang/>
        </w:rPr>
        <w:t>vs</w:t>
      </w:r>
      <w:proofErr w:type="spellEnd"/>
      <w:r>
        <w:rPr>
          <w:rFonts w:ascii="Calibri" w:hAnsi="Calibri" w:cs="Calibri"/>
          <w:lang/>
        </w:rPr>
        <w:t xml:space="preserve"> post volatility change.</w:t>
      </w:r>
    </w:p>
    <w:p w:rsidR="00BA01DB" w:rsidRDefault="00BA01DB" w:rsidP="00BA01DB">
      <w:pPr>
        <w:numPr>
          <w:ilvl w:val="0"/>
          <w:numId w:val="1"/>
        </w:numPr>
        <w:autoSpaceDE w:val="0"/>
        <w:autoSpaceDN w:val="0"/>
        <w:adjustRightInd w:val="0"/>
        <w:ind w:left="1440" w:hanging="36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lastRenderedPageBreak/>
        <w:t xml:space="preserve">* Report </w:t>
      </w:r>
      <w:r>
        <w:rPr>
          <w:rFonts w:ascii="Calibri" w:hAnsi="Calibri" w:cs="Calibri"/>
          <w:b/>
          <w:bCs/>
          <w:lang/>
        </w:rPr>
        <w:t xml:space="preserve">p-values </w:t>
      </w:r>
      <w:r>
        <w:rPr>
          <w:rFonts w:ascii="Calibri" w:hAnsi="Calibri" w:cs="Calibri"/>
          <w:lang/>
        </w:rPr>
        <w:t>for reliability.</w:t>
      </w:r>
    </w:p>
    <w:p w:rsidR="00BA01DB" w:rsidRDefault="00BA01DB" w:rsidP="00BA01DB">
      <w:pPr>
        <w:autoSpaceDE w:val="0"/>
        <w:autoSpaceDN w:val="0"/>
        <w:adjustRightInd w:val="0"/>
        <w:ind w:left="360"/>
        <w:rPr>
          <w:rFonts w:ascii="Calibri" w:hAnsi="Calibri" w:cs="Calibri"/>
          <w:lang/>
        </w:rPr>
      </w:pPr>
      <w:r>
        <w:rPr>
          <w:rFonts w:ascii="Calibri" w:hAnsi="Calibri" w:cs="Calibri"/>
          <w:b/>
          <w:bCs/>
          <w:sz w:val="24"/>
          <w:szCs w:val="24"/>
          <w:lang/>
        </w:rPr>
        <w:t>6. Visualization</w:t>
      </w:r>
    </w:p>
    <w:p w:rsidR="00BA01DB" w:rsidRDefault="00BA01DB" w:rsidP="00BA01DB">
      <w:pPr>
        <w:numPr>
          <w:ilvl w:val="0"/>
          <w:numId w:val="1"/>
        </w:numPr>
        <w:autoSpaceDE w:val="0"/>
        <w:autoSpaceDN w:val="0"/>
        <w:adjustRightInd w:val="0"/>
        <w:ind w:left="1080" w:hanging="36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Interactive </w:t>
      </w:r>
      <w:proofErr w:type="spellStart"/>
      <w:r>
        <w:rPr>
          <w:rFonts w:ascii="Calibri" w:hAnsi="Calibri" w:cs="Calibri"/>
          <w:lang/>
        </w:rPr>
        <w:t>Streamlit</w:t>
      </w:r>
      <w:proofErr w:type="spellEnd"/>
      <w:r>
        <w:rPr>
          <w:rFonts w:ascii="Calibri" w:hAnsi="Calibri" w:cs="Calibri"/>
          <w:lang/>
        </w:rPr>
        <w:t xml:space="preserve"> dashboard with:</w:t>
      </w:r>
    </w:p>
    <w:p w:rsidR="00BA01DB" w:rsidRDefault="00BA01DB" w:rsidP="00BA01DB">
      <w:pPr>
        <w:numPr>
          <w:ilvl w:val="0"/>
          <w:numId w:val="1"/>
        </w:numPr>
        <w:autoSpaceDE w:val="0"/>
        <w:autoSpaceDN w:val="0"/>
        <w:adjustRightInd w:val="0"/>
        <w:ind w:left="1440" w:hanging="36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 Time-series charts (returns, volatility).</w:t>
      </w:r>
    </w:p>
    <w:p w:rsidR="00BA01DB" w:rsidRDefault="00BA01DB" w:rsidP="00BA01DB">
      <w:pPr>
        <w:numPr>
          <w:ilvl w:val="0"/>
          <w:numId w:val="1"/>
        </w:numPr>
        <w:autoSpaceDE w:val="0"/>
        <w:autoSpaceDN w:val="0"/>
        <w:adjustRightInd w:val="0"/>
        <w:ind w:left="1440" w:hanging="36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Event-aligned averages &amp; cumulative returns.</w:t>
      </w:r>
    </w:p>
    <w:p w:rsidR="00BA01DB" w:rsidRDefault="00BA01DB" w:rsidP="00BA01DB">
      <w:pPr>
        <w:numPr>
          <w:ilvl w:val="0"/>
          <w:numId w:val="1"/>
        </w:numPr>
        <w:autoSpaceDE w:val="0"/>
        <w:autoSpaceDN w:val="0"/>
        <w:adjustRightInd w:val="0"/>
        <w:ind w:left="1440" w:hanging="36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Boxplots (earnings </w:t>
      </w:r>
      <w:proofErr w:type="spellStart"/>
      <w:r>
        <w:rPr>
          <w:rFonts w:ascii="Calibri" w:hAnsi="Calibri" w:cs="Calibri"/>
          <w:lang/>
        </w:rPr>
        <w:t>vs</w:t>
      </w:r>
      <w:proofErr w:type="spellEnd"/>
      <w:r>
        <w:rPr>
          <w:rFonts w:ascii="Calibri" w:hAnsi="Calibri" w:cs="Calibri"/>
          <w:lang/>
        </w:rPr>
        <w:t xml:space="preserve"> non-earnings days).</w:t>
      </w:r>
    </w:p>
    <w:p w:rsidR="00BA01DB" w:rsidRDefault="00BA01DB" w:rsidP="00BA01DB">
      <w:pPr>
        <w:numPr>
          <w:ilvl w:val="0"/>
          <w:numId w:val="1"/>
        </w:numPr>
        <w:autoSpaceDE w:val="0"/>
        <w:autoSpaceDN w:val="0"/>
        <w:adjustRightInd w:val="0"/>
        <w:ind w:left="1440" w:hanging="36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Correlation </w:t>
      </w:r>
      <w:proofErr w:type="spellStart"/>
      <w:r>
        <w:rPr>
          <w:rFonts w:ascii="Calibri" w:hAnsi="Calibri" w:cs="Calibri"/>
          <w:lang/>
        </w:rPr>
        <w:t>heatmaps</w:t>
      </w:r>
      <w:proofErr w:type="spellEnd"/>
      <w:r>
        <w:rPr>
          <w:rFonts w:ascii="Calibri" w:hAnsi="Calibri" w:cs="Calibri"/>
          <w:lang/>
        </w:rPr>
        <w:t xml:space="preserve"> for factor returns.</w:t>
      </w:r>
    </w:p>
    <w:p w:rsidR="00BA01DB" w:rsidRDefault="00BA01DB" w:rsidP="00BA01DB">
      <w:pPr>
        <w:numPr>
          <w:ilvl w:val="0"/>
          <w:numId w:val="1"/>
        </w:numPr>
        <w:autoSpaceDE w:val="0"/>
        <w:autoSpaceDN w:val="0"/>
        <w:adjustRightInd w:val="0"/>
        <w:ind w:left="1440" w:hanging="360"/>
        <w:rPr>
          <w:rFonts w:ascii="Calibri" w:hAnsi="Calibri" w:cs="Calibri"/>
          <w:lang/>
        </w:rPr>
      </w:pPr>
      <w:r>
        <w:rPr>
          <w:rFonts w:ascii="Calibri" w:hAnsi="Calibri" w:cs="Calibri"/>
          <w:lang w:val="en-US"/>
        </w:rPr>
        <w:t>T</w:t>
      </w:r>
      <w:r>
        <w:rPr>
          <w:rFonts w:ascii="Calibri" w:hAnsi="Calibri" w:cs="Calibri"/>
          <w:lang/>
        </w:rPr>
        <w:t>op 5 factors by contribution.</w:t>
      </w:r>
    </w:p>
    <w:p w:rsidR="00BA01DB" w:rsidRDefault="00BA01DB" w:rsidP="00BA01DB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b/>
          <w:bCs/>
          <w:sz w:val="24"/>
          <w:szCs w:val="24"/>
          <w:lang/>
        </w:rPr>
        <w:t>Key Insights</w:t>
      </w:r>
    </w:p>
    <w:p w:rsidR="00BA01DB" w:rsidRDefault="00BA01DB" w:rsidP="00BA01DB">
      <w:pPr>
        <w:autoSpaceDE w:val="0"/>
        <w:autoSpaceDN w:val="0"/>
        <w:adjustRightInd w:val="0"/>
        <w:ind w:left="360"/>
        <w:rPr>
          <w:rFonts w:ascii="Calibri" w:hAnsi="Calibri" w:cs="Calibri"/>
          <w:lang/>
        </w:rPr>
      </w:pPr>
      <w:r>
        <w:rPr>
          <w:rFonts w:ascii="Calibri" w:hAnsi="Calibri" w:cs="Calibri"/>
          <w:b/>
          <w:bCs/>
          <w:sz w:val="24"/>
          <w:szCs w:val="24"/>
          <w:lang/>
        </w:rPr>
        <w:t xml:space="preserve">1. Performance </w:t>
      </w:r>
      <w:proofErr w:type="gramStart"/>
      <w:r>
        <w:rPr>
          <w:rFonts w:ascii="Calibri" w:hAnsi="Calibri" w:cs="Calibri"/>
          <w:b/>
          <w:bCs/>
          <w:sz w:val="24"/>
          <w:szCs w:val="24"/>
          <w:lang/>
        </w:rPr>
        <w:t>Around</w:t>
      </w:r>
      <w:proofErr w:type="gramEnd"/>
      <w:r>
        <w:rPr>
          <w:rFonts w:ascii="Calibri" w:hAnsi="Calibri" w:cs="Calibri"/>
          <w:b/>
          <w:bCs/>
          <w:sz w:val="24"/>
          <w:szCs w:val="24"/>
          <w:lang/>
        </w:rPr>
        <w:t xml:space="preserve"> Earnings</w:t>
      </w:r>
    </w:p>
    <w:p w:rsidR="00BA01DB" w:rsidRDefault="00BA01DB" w:rsidP="00BA01DB">
      <w:pPr>
        <w:numPr>
          <w:ilvl w:val="0"/>
          <w:numId w:val="1"/>
        </w:numPr>
        <w:autoSpaceDE w:val="0"/>
        <w:autoSpaceDN w:val="0"/>
        <w:adjustRightInd w:val="0"/>
        <w:ind w:left="1080" w:hanging="360"/>
        <w:rPr>
          <w:rFonts w:ascii="Calibri" w:hAnsi="Calibri" w:cs="Calibri"/>
          <w:lang/>
        </w:rPr>
      </w:pPr>
      <w:r>
        <w:rPr>
          <w:rFonts w:ascii="Calibri" w:hAnsi="Calibri" w:cs="Calibri"/>
          <w:b/>
          <w:bCs/>
          <w:lang/>
        </w:rPr>
        <w:t xml:space="preserve">﻿﻿Day </w:t>
      </w:r>
      <w:r>
        <w:rPr>
          <w:rFonts w:ascii="Calibri" w:hAnsi="Calibri" w:cs="Calibri"/>
          <w:b/>
          <w:bCs/>
          <w:lang w:val="en-US"/>
        </w:rPr>
        <w:t>0</w:t>
      </w:r>
      <w:r>
        <w:rPr>
          <w:rFonts w:ascii="Calibri" w:hAnsi="Calibri" w:cs="Calibri"/>
          <w:b/>
          <w:bCs/>
          <w:lang/>
        </w:rPr>
        <w:t xml:space="preserve"> reaction dominates</w:t>
      </w:r>
      <w:r>
        <w:rPr>
          <w:rFonts w:ascii="Calibri" w:hAnsi="Calibri" w:cs="Calibri"/>
          <w:lang/>
        </w:rPr>
        <w:t>: N</w:t>
      </w:r>
      <w:r>
        <w:rPr>
          <w:rFonts w:ascii="Calibri" w:hAnsi="Calibri" w:cs="Calibri"/>
          <w:lang w:val="en-US"/>
        </w:rPr>
        <w:t>VI</w:t>
      </w:r>
      <w:r>
        <w:rPr>
          <w:rFonts w:ascii="Calibri" w:hAnsi="Calibri" w:cs="Calibri"/>
          <w:lang/>
        </w:rPr>
        <w:t>D</w:t>
      </w:r>
      <w:r>
        <w:rPr>
          <w:rFonts w:ascii="Calibri" w:hAnsi="Calibri" w:cs="Calibri"/>
          <w:lang w:val="en-US"/>
        </w:rPr>
        <w:t>I</w:t>
      </w:r>
      <w:r>
        <w:rPr>
          <w:rFonts w:ascii="Calibri" w:hAnsi="Calibri" w:cs="Calibri"/>
          <w:lang/>
        </w:rPr>
        <w:t xml:space="preserve">A's first trading day post-earnings shows the </w:t>
      </w:r>
      <w:r>
        <w:rPr>
          <w:rFonts w:ascii="Calibri" w:hAnsi="Calibri" w:cs="Calibri"/>
          <w:b/>
          <w:bCs/>
          <w:lang/>
        </w:rPr>
        <w:t>largest move</w:t>
      </w:r>
      <w:r>
        <w:rPr>
          <w:rFonts w:ascii="Calibri" w:hAnsi="Calibri" w:cs="Calibri"/>
          <w:lang/>
        </w:rPr>
        <w:t xml:space="preserve">, often </w:t>
      </w:r>
      <w:r>
        <w:rPr>
          <w:rFonts w:ascii="Calibri" w:hAnsi="Calibri" w:cs="Calibri"/>
          <w:b/>
          <w:bCs/>
          <w:lang/>
        </w:rPr>
        <w:t>much larger than pre-event daily swings</w:t>
      </w:r>
      <w:r>
        <w:rPr>
          <w:rFonts w:ascii="Calibri" w:hAnsi="Calibri" w:cs="Calibri"/>
          <w:lang/>
        </w:rPr>
        <w:t>.</w:t>
      </w:r>
    </w:p>
    <w:p w:rsidR="00BA01DB" w:rsidRDefault="00BA01DB" w:rsidP="00BA01DB">
      <w:pPr>
        <w:numPr>
          <w:ilvl w:val="0"/>
          <w:numId w:val="1"/>
        </w:numPr>
        <w:autoSpaceDE w:val="0"/>
        <w:autoSpaceDN w:val="0"/>
        <w:adjustRightInd w:val="0"/>
        <w:ind w:left="1080" w:hanging="360"/>
        <w:rPr>
          <w:rFonts w:ascii="Calibri" w:hAnsi="Calibri" w:cs="Calibri"/>
          <w:lang/>
        </w:rPr>
      </w:pPr>
      <w:r>
        <w:rPr>
          <w:rFonts w:ascii="Calibri" w:hAnsi="Calibri" w:cs="Calibri"/>
          <w:b/>
          <w:bCs/>
          <w:lang/>
        </w:rPr>
        <w:t>﻿﻿</w:t>
      </w:r>
      <w:r>
        <w:rPr>
          <w:rFonts w:ascii="Calibri" w:hAnsi="Calibri" w:cs="Calibri"/>
          <w:b/>
          <w:bCs/>
          <w:lang w:val="en-US"/>
        </w:rPr>
        <w:t>I</w:t>
      </w:r>
      <w:proofErr w:type="spellStart"/>
      <w:r>
        <w:rPr>
          <w:rFonts w:ascii="Calibri" w:hAnsi="Calibri" w:cs="Calibri"/>
          <w:b/>
          <w:bCs/>
          <w:lang/>
        </w:rPr>
        <w:t>diosyncratic</w:t>
      </w:r>
      <w:proofErr w:type="spellEnd"/>
      <w:r>
        <w:rPr>
          <w:rFonts w:ascii="Calibri" w:hAnsi="Calibri" w:cs="Calibri"/>
          <w:b/>
          <w:bCs/>
          <w:lang/>
        </w:rPr>
        <w:t xml:space="preserve"> component drives earnings-day moves</w:t>
      </w:r>
      <w:r>
        <w:rPr>
          <w:rFonts w:ascii="Calibri" w:hAnsi="Calibri" w:cs="Calibri"/>
          <w:lang/>
        </w:rPr>
        <w:t xml:space="preserve">: Typically, &gt;70% of day-0 move is </w:t>
      </w:r>
      <w:proofErr w:type="gramStart"/>
      <w:r>
        <w:rPr>
          <w:rFonts w:ascii="Calibri" w:hAnsi="Calibri" w:cs="Calibri"/>
          <w:lang/>
        </w:rPr>
        <w:t>company-specific</w:t>
      </w:r>
      <w:proofErr w:type="gramEnd"/>
      <w:r>
        <w:rPr>
          <w:rFonts w:ascii="Calibri" w:hAnsi="Calibri" w:cs="Calibri"/>
          <w:lang/>
        </w:rPr>
        <w:t>, not explained by market/sector factors.</w:t>
      </w:r>
    </w:p>
    <w:p w:rsidR="00BA01DB" w:rsidRDefault="00BA01DB" w:rsidP="00BA01DB">
      <w:pPr>
        <w:numPr>
          <w:ilvl w:val="0"/>
          <w:numId w:val="1"/>
        </w:numPr>
        <w:autoSpaceDE w:val="0"/>
        <w:autoSpaceDN w:val="0"/>
        <w:adjustRightInd w:val="0"/>
        <w:ind w:left="1080" w:hanging="360"/>
        <w:rPr>
          <w:rFonts w:ascii="Calibri" w:hAnsi="Calibri" w:cs="Calibri"/>
          <w:lang/>
        </w:rPr>
      </w:pPr>
      <w:r>
        <w:rPr>
          <w:rFonts w:ascii="Calibri" w:hAnsi="Calibri" w:cs="Calibri"/>
          <w:b/>
          <w:bCs/>
          <w:lang/>
        </w:rPr>
        <w:t>Pre-event drift</w:t>
      </w:r>
      <w:r>
        <w:rPr>
          <w:rFonts w:ascii="Calibri" w:hAnsi="Calibri" w:cs="Calibri"/>
          <w:lang/>
        </w:rPr>
        <w:t>: Average returns bef</w:t>
      </w:r>
      <w:r w:rsidR="00714CA6">
        <w:rPr>
          <w:rFonts w:ascii="Calibri" w:hAnsi="Calibri" w:cs="Calibri"/>
          <w:lang/>
        </w:rPr>
        <w:t>ore earnings are modest, suggesting</w:t>
      </w:r>
      <w:bookmarkStart w:id="0" w:name="_GoBack"/>
      <w:bookmarkEnd w:id="0"/>
      <w:r>
        <w:rPr>
          <w:rFonts w:ascii="Calibri" w:hAnsi="Calibri" w:cs="Calibri"/>
          <w:lang/>
        </w:rPr>
        <w:t xml:space="preserve"> pre-announcement leakage.</w:t>
      </w:r>
    </w:p>
    <w:p w:rsidR="00BA01DB" w:rsidRDefault="00BA01DB" w:rsidP="00BA01DB">
      <w:pPr>
        <w:autoSpaceDE w:val="0"/>
        <w:autoSpaceDN w:val="0"/>
        <w:adjustRightInd w:val="0"/>
        <w:ind w:left="360"/>
        <w:rPr>
          <w:rFonts w:ascii="Calibri" w:hAnsi="Calibri" w:cs="Calibri"/>
          <w:lang/>
        </w:rPr>
      </w:pPr>
      <w:r>
        <w:rPr>
          <w:rFonts w:ascii="Calibri" w:hAnsi="Calibri" w:cs="Calibri"/>
          <w:b/>
          <w:bCs/>
          <w:sz w:val="24"/>
          <w:szCs w:val="24"/>
          <w:lang/>
        </w:rPr>
        <w:t xml:space="preserve">2. Factor </w:t>
      </w:r>
      <w:proofErr w:type="spellStart"/>
      <w:r>
        <w:rPr>
          <w:rFonts w:ascii="Calibri" w:hAnsi="Calibri" w:cs="Calibri"/>
          <w:b/>
          <w:bCs/>
          <w:sz w:val="24"/>
          <w:szCs w:val="24"/>
          <w:lang/>
        </w:rPr>
        <w:t>vs</w:t>
      </w:r>
      <w:proofErr w:type="spellEnd"/>
      <w:r>
        <w:rPr>
          <w:rFonts w:ascii="Calibri" w:hAnsi="Calibri" w:cs="Calibri"/>
          <w:b/>
          <w:bCs/>
          <w:sz w:val="24"/>
          <w:szCs w:val="24"/>
          <w:lang/>
        </w:rPr>
        <w:t xml:space="preserve"> Idiosyncratic Influence</w:t>
      </w:r>
    </w:p>
    <w:p w:rsidR="00BA01DB" w:rsidRDefault="00BA01DB" w:rsidP="00BA01DB">
      <w:pPr>
        <w:numPr>
          <w:ilvl w:val="0"/>
          <w:numId w:val="1"/>
        </w:numPr>
        <w:autoSpaceDE w:val="0"/>
        <w:autoSpaceDN w:val="0"/>
        <w:adjustRightInd w:val="0"/>
        <w:ind w:left="1080" w:hanging="36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 xml:space="preserve">On normal days, factor-driven moves are meaningful (median absolute factor move </w:t>
      </w:r>
      <w:r>
        <w:rPr>
          <w:rFonts w:ascii="Cambria Math" w:hAnsi="Cambria Math" w:cs="Cambria Math"/>
          <w:lang/>
        </w:rPr>
        <w:t>≈</w:t>
      </w:r>
      <w:r>
        <w:rPr>
          <w:rFonts w:ascii="Calibri" w:hAnsi="Calibri" w:cs="Calibri"/>
          <w:lang/>
        </w:rPr>
        <w:t xml:space="preserve"> 0.3-0.4%), but </w:t>
      </w:r>
      <w:r>
        <w:rPr>
          <w:rFonts w:ascii="Calibri" w:hAnsi="Calibri" w:cs="Calibri"/>
          <w:b/>
          <w:bCs/>
          <w:lang/>
        </w:rPr>
        <w:t>idiosyncratic moves dominate earnings reactions.</w:t>
      </w:r>
    </w:p>
    <w:p w:rsidR="00BA01DB" w:rsidRDefault="00BA01DB" w:rsidP="00BA01DB">
      <w:pPr>
        <w:numPr>
          <w:ilvl w:val="0"/>
          <w:numId w:val="1"/>
        </w:numPr>
        <w:autoSpaceDE w:val="0"/>
        <w:autoSpaceDN w:val="0"/>
        <w:adjustRightInd w:val="0"/>
        <w:ind w:left="1080" w:hanging="36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R² and correlation metrics vary by period; higher R² implies factor relevance, R² signals stock-specific risk.</w:t>
      </w:r>
    </w:p>
    <w:p w:rsidR="00BA01DB" w:rsidRDefault="00BA01DB" w:rsidP="00BA01DB">
      <w:pPr>
        <w:autoSpaceDE w:val="0"/>
        <w:autoSpaceDN w:val="0"/>
        <w:adjustRightInd w:val="0"/>
        <w:ind w:left="360"/>
        <w:rPr>
          <w:rFonts w:ascii="Calibri" w:hAnsi="Calibri" w:cs="Calibri"/>
          <w:lang/>
        </w:rPr>
      </w:pPr>
      <w:r>
        <w:rPr>
          <w:rFonts w:ascii="Calibri" w:hAnsi="Calibri" w:cs="Calibri"/>
          <w:b/>
          <w:bCs/>
          <w:sz w:val="24"/>
          <w:szCs w:val="24"/>
          <w:lang/>
        </w:rPr>
        <w:t>3. Volatility Patterns</w:t>
      </w:r>
    </w:p>
    <w:p w:rsidR="00BA01DB" w:rsidRPr="00BA01DB" w:rsidRDefault="00BA01DB" w:rsidP="00BA01DB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alibri" w:hAnsi="Calibri" w:cs="Calibri"/>
          <w:lang/>
        </w:rPr>
      </w:pPr>
      <w:r w:rsidRPr="00BA01DB">
        <w:rPr>
          <w:rFonts w:ascii="Calibri" w:hAnsi="Calibri" w:cs="Calibri"/>
          <w:b/>
          <w:bCs/>
          <w:lang/>
        </w:rPr>
        <w:t>Volatility spikes on day 0</w:t>
      </w:r>
      <w:r w:rsidRPr="00BA01DB">
        <w:rPr>
          <w:rFonts w:ascii="Calibri" w:hAnsi="Calibri" w:cs="Calibri"/>
          <w:lang/>
        </w:rPr>
        <w:t>, then typically declines post-earnings as uncertainty clears.</w:t>
      </w:r>
    </w:p>
    <w:p w:rsidR="00BA01DB" w:rsidRPr="00BA01DB" w:rsidRDefault="00BA01DB" w:rsidP="00BA01DB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alibri" w:hAnsi="Calibri" w:cs="Calibri"/>
          <w:lang/>
        </w:rPr>
      </w:pPr>
      <w:r w:rsidRPr="00BA01DB">
        <w:rPr>
          <w:rFonts w:ascii="Calibri" w:hAnsi="Calibri" w:cs="Calibri"/>
          <w:lang/>
        </w:rPr>
        <w:t xml:space="preserve">About </w:t>
      </w:r>
      <w:r w:rsidRPr="00BA01DB">
        <w:rPr>
          <w:rFonts w:ascii="Calibri" w:hAnsi="Calibri" w:cs="Calibri"/>
          <w:b/>
          <w:bCs/>
          <w:lang/>
        </w:rPr>
        <w:t xml:space="preserve">60-70% </w:t>
      </w:r>
      <w:r w:rsidRPr="00BA01DB">
        <w:rPr>
          <w:rFonts w:ascii="Calibri" w:hAnsi="Calibri" w:cs="Calibri"/>
          <w:lang/>
        </w:rPr>
        <w:t>of events show lower volatility after earnings, but some "heat up" (post &gt; pre).</w:t>
      </w:r>
    </w:p>
    <w:p w:rsidR="00BA01DB" w:rsidRDefault="00BA01DB" w:rsidP="00BA01DB">
      <w:pPr>
        <w:autoSpaceDE w:val="0"/>
        <w:autoSpaceDN w:val="0"/>
        <w:adjustRightInd w:val="0"/>
        <w:ind w:left="360"/>
        <w:rPr>
          <w:rFonts w:ascii="Calibri" w:hAnsi="Calibri" w:cs="Calibri"/>
          <w:lang/>
        </w:rPr>
      </w:pPr>
      <w:r>
        <w:rPr>
          <w:rFonts w:ascii="Calibri" w:hAnsi="Calibri" w:cs="Calibri"/>
          <w:b/>
          <w:bCs/>
          <w:lang/>
        </w:rPr>
        <w:t>4. Statistical Reliability</w:t>
      </w:r>
    </w:p>
    <w:p w:rsidR="00BA01DB" w:rsidRDefault="00BA01DB" w:rsidP="00BA01DB">
      <w:pPr>
        <w:numPr>
          <w:ilvl w:val="0"/>
          <w:numId w:val="1"/>
        </w:numPr>
        <w:autoSpaceDE w:val="0"/>
        <w:autoSpaceDN w:val="0"/>
        <w:adjustRightInd w:val="0"/>
        <w:ind w:left="1080" w:hanging="36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t>﻿﻿Event-day returns are significantly different from zero (p &lt; 0.05 in most cases).</w:t>
      </w:r>
    </w:p>
    <w:p w:rsidR="00BA01DB" w:rsidRDefault="00BA01DB" w:rsidP="00BA01DB">
      <w:pPr>
        <w:numPr>
          <w:ilvl w:val="0"/>
          <w:numId w:val="1"/>
        </w:numPr>
        <w:autoSpaceDE w:val="0"/>
        <w:autoSpaceDN w:val="0"/>
        <w:adjustRightInd w:val="0"/>
        <w:ind w:left="1080" w:hanging="360"/>
        <w:rPr>
          <w:rFonts w:ascii="Calibri" w:hAnsi="Calibri" w:cs="Calibri"/>
          <w:lang/>
        </w:rPr>
      </w:pPr>
      <w:r>
        <w:rPr>
          <w:rFonts w:ascii="Calibri" w:hAnsi="Calibri" w:cs="Calibri"/>
          <w:lang/>
        </w:rPr>
        <w:lastRenderedPageBreak/>
        <w:t>﻿﻿Volatility changes post-earnings are less consistently significant; results depend on sample size and window length.</w:t>
      </w:r>
    </w:p>
    <w:p w:rsidR="00BA01DB" w:rsidRDefault="00BA01DB" w:rsidP="00BA01DB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b/>
          <w:bCs/>
          <w:sz w:val="24"/>
          <w:szCs w:val="24"/>
          <w:lang/>
        </w:rPr>
        <w:t>Limitations</w:t>
      </w:r>
    </w:p>
    <w:p w:rsidR="00BA01DB" w:rsidRPr="00BA01DB" w:rsidRDefault="00BA01DB" w:rsidP="00BA01DB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Calibri" w:hAnsi="Calibri" w:cs="Calibri"/>
          <w:lang/>
        </w:rPr>
      </w:pPr>
      <w:r w:rsidRPr="00BA01DB">
        <w:rPr>
          <w:rFonts w:ascii="Calibri" w:hAnsi="Calibri" w:cs="Calibri"/>
          <w:b/>
          <w:bCs/>
          <w:lang/>
        </w:rPr>
        <w:t xml:space="preserve">Few events </w:t>
      </w:r>
      <w:r w:rsidRPr="00BA01DB">
        <w:rPr>
          <w:rFonts w:ascii="Cambria Math" w:hAnsi="Cambria Math" w:cs="Cambria Math"/>
          <w:lang/>
        </w:rPr>
        <w:t>→</w:t>
      </w:r>
      <w:r w:rsidRPr="00BA01DB">
        <w:rPr>
          <w:rFonts w:ascii="Calibri" w:hAnsi="Calibri" w:cs="Calibri"/>
          <w:lang/>
        </w:rPr>
        <w:t xml:space="preserve"> Limited statistical power.</w:t>
      </w:r>
    </w:p>
    <w:p w:rsidR="00BA01DB" w:rsidRPr="00BA01DB" w:rsidRDefault="00BA01DB" w:rsidP="00BA01DB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Calibri" w:hAnsi="Calibri" w:cs="Calibri"/>
          <w:lang/>
        </w:rPr>
      </w:pPr>
      <w:r w:rsidRPr="00BA01DB">
        <w:rPr>
          <w:rFonts w:ascii="Calibri" w:hAnsi="Calibri" w:cs="Calibri"/>
          <w:b/>
          <w:bCs/>
          <w:lang/>
        </w:rPr>
        <w:t>Model sensitivity</w:t>
      </w:r>
      <w:r w:rsidRPr="00BA01DB">
        <w:rPr>
          <w:rFonts w:ascii="Calibri" w:hAnsi="Calibri" w:cs="Calibri"/>
          <w:lang/>
        </w:rPr>
        <w:t>: Factor set and rolling window choices affect decomposition.</w:t>
      </w:r>
    </w:p>
    <w:p w:rsidR="00BA01DB" w:rsidRPr="00BA01DB" w:rsidRDefault="00BA01DB" w:rsidP="00BA01DB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Calibri" w:hAnsi="Calibri" w:cs="Calibri"/>
          <w:lang/>
        </w:rPr>
      </w:pPr>
      <w:r w:rsidRPr="00BA01DB">
        <w:rPr>
          <w:rFonts w:ascii="Calibri" w:hAnsi="Calibri" w:cs="Calibri"/>
          <w:b/>
          <w:bCs/>
          <w:lang/>
        </w:rPr>
        <w:t>Non-normal returns</w:t>
      </w:r>
      <w:r w:rsidRPr="00BA01DB">
        <w:rPr>
          <w:rFonts w:ascii="Calibri" w:hAnsi="Calibri" w:cs="Calibri"/>
          <w:lang/>
        </w:rPr>
        <w:t>: t-tests approximate; interpret cautiously.</w:t>
      </w:r>
    </w:p>
    <w:p w:rsidR="00BA01DB" w:rsidRPr="00BA01DB" w:rsidRDefault="00BA01DB" w:rsidP="00BA01DB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b/>
          <w:bCs/>
          <w:lang/>
        </w:rPr>
        <w:t>Af</w:t>
      </w:r>
      <w:r w:rsidRPr="00BA01DB">
        <w:rPr>
          <w:rFonts w:ascii="Calibri" w:hAnsi="Calibri" w:cs="Calibri"/>
          <w:b/>
          <w:bCs/>
          <w:lang/>
        </w:rPr>
        <w:t>ter-hours timing</w:t>
      </w:r>
      <w:r w:rsidRPr="00BA01DB">
        <w:rPr>
          <w:rFonts w:ascii="Calibri" w:hAnsi="Calibri" w:cs="Calibri"/>
          <w:lang/>
        </w:rPr>
        <w:t>: Day 0 mixes pre/post-market moves.</w:t>
      </w:r>
    </w:p>
    <w:p w:rsidR="00BA01DB" w:rsidRDefault="00BA01DB" w:rsidP="00BA01DB">
      <w:pPr>
        <w:autoSpaceDE w:val="0"/>
        <w:autoSpaceDN w:val="0"/>
        <w:adjustRightInd w:val="0"/>
        <w:rPr>
          <w:rFonts w:ascii="Calibri" w:hAnsi="Calibri" w:cs="Calibri"/>
          <w:lang/>
        </w:rPr>
      </w:pPr>
      <w:r>
        <w:rPr>
          <w:rFonts w:ascii="Calibri" w:hAnsi="Calibri" w:cs="Calibri"/>
          <w:b/>
          <w:bCs/>
          <w:sz w:val="24"/>
          <w:szCs w:val="24"/>
          <w:lang/>
        </w:rPr>
        <w:t>Practical Takeaways</w:t>
      </w:r>
    </w:p>
    <w:p w:rsidR="00BA01DB" w:rsidRPr="00BA01DB" w:rsidRDefault="00BA01DB" w:rsidP="00BA01DB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Calibri" w:hAnsi="Calibri" w:cs="Calibri"/>
          <w:lang/>
        </w:rPr>
      </w:pPr>
      <w:r w:rsidRPr="00BA01DB">
        <w:rPr>
          <w:rFonts w:ascii="Calibri" w:hAnsi="Calibri" w:cs="Calibri"/>
          <w:b/>
          <w:bCs/>
          <w:lang/>
        </w:rPr>
        <w:t>Risk Management</w:t>
      </w:r>
      <w:r w:rsidRPr="00BA01DB">
        <w:rPr>
          <w:rFonts w:ascii="Calibri" w:hAnsi="Calibri" w:cs="Calibri"/>
          <w:lang/>
        </w:rPr>
        <w:t>: Reduce exposure or hedge before earnings to avoid surprises.</w:t>
      </w:r>
    </w:p>
    <w:p w:rsidR="00BA01DB" w:rsidRPr="00BA01DB" w:rsidRDefault="00BA01DB" w:rsidP="00BA01DB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Calibri" w:hAnsi="Calibri" w:cs="Calibri"/>
          <w:lang/>
        </w:rPr>
      </w:pPr>
      <w:r w:rsidRPr="00BA01DB">
        <w:rPr>
          <w:rFonts w:ascii="Calibri" w:hAnsi="Calibri" w:cs="Calibri"/>
          <w:b/>
          <w:bCs/>
          <w:lang/>
        </w:rPr>
        <w:t>Hedging Strategy</w:t>
      </w:r>
      <w:r w:rsidRPr="00BA01DB">
        <w:rPr>
          <w:rFonts w:ascii="Calibri" w:hAnsi="Calibri" w:cs="Calibri"/>
          <w:lang/>
        </w:rPr>
        <w:t>: Use ETFs/futures for market/sector risk if factor influence is high.</w:t>
      </w:r>
    </w:p>
    <w:p w:rsidR="00BA01DB" w:rsidRPr="00BA01DB" w:rsidRDefault="00BA01DB" w:rsidP="00BA01DB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Calibri" w:hAnsi="Calibri" w:cs="Calibri"/>
          <w:lang/>
        </w:rPr>
      </w:pPr>
      <w:r w:rsidRPr="00BA01DB">
        <w:rPr>
          <w:rFonts w:ascii="Calibri" w:hAnsi="Calibri" w:cs="Calibri"/>
          <w:b/>
          <w:bCs/>
          <w:lang/>
        </w:rPr>
        <w:t>Post-Earnings Play</w:t>
      </w:r>
      <w:r w:rsidRPr="00BA01DB">
        <w:rPr>
          <w:rFonts w:ascii="Calibri" w:hAnsi="Calibri" w:cs="Calibri"/>
          <w:lang/>
        </w:rPr>
        <w:t>: Decide to follow or fade day-0 move based on fundamentals.</w:t>
      </w:r>
    </w:p>
    <w:p w:rsidR="007B5A20" w:rsidRDefault="007B5A20"/>
    <w:sectPr w:rsidR="007B5A20" w:rsidSect="00FC792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4669CAC"/>
    <w:lvl w:ilvl="0">
      <w:numFmt w:val="bullet"/>
      <w:lvlText w:val="*"/>
      <w:lvlJc w:val="left"/>
    </w:lvl>
  </w:abstractNum>
  <w:abstractNum w:abstractNumId="1">
    <w:nsid w:val="103748FF"/>
    <w:multiLevelType w:val="hybridMultilevel"/>
    <w:tmpl w:val="57305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7C1E01"/>
    <w:multiLevelType w:val="hybridMultilevel"/>
    <w:tmpl w:val="69566D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69DC6ABE"/>
    <w:multiLevelType w:val="hybridMultilevel"/>
    <w:tmpl w:val="8EC0C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01DB"/>
    <w:rsid w:val="00714CA6"/>
    <w:rsid w:val="007B5A20"/>
    <w:rsid w:val="00BA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01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01D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01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01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abubakar</dc:creator>
  <cp:lastModifiedBy>abubakar</cp:lastModifiedBy>
  <cp:revision>2</cp:revision>
  <dcterms:created xsi:type="dcterms:W3CDTF">2025-11-20T18:40:00Z</dcterms:created>
  <dcterms:modified xsi:type="dcterms:W3CDTF">2025-11-20T20:20:00Z</dcterms:modified>
</cp:coreProperties>
</file>