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99F" w:rsidRDefault="00C17B2C">
      <w:pPr>
        <w:rPr>
          <w:sz w:val="28"/>
          <w:szCs w:val="28"/>
          <w:u w:val="single"/>
        </w:rPr>
      </w:pPr>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Im Neubaubereich der Bustechnik ist es sinnvoll neben der Starkstromleitung auch eine Busleitung zu verlegen. -&gt; twisted-pair-Technik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Sensoren (Tastsensoren, Bewegungsmelder, Raumtemperaturregler, Brandmelder,…)</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-&gt; Diese Aufgabe übernehmen Schaltaktoren,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Schaltaktor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-B</w:t>
      </w:r>
      <w:r w:rsidR="009E1BE4">
        <w:rPr>
          <w:sz w:val="24"/>
          <w:szCs w:val="24"/>
        </w:rPr>
        <w:t>usankoppler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Der Taster wird auf den Busankoppler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Was noch bleibt ist die Verdrahtung der Netzspannungsseite. Netzteil und Schaltaktor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 xml:space="preserve">Das richtige Umgehen mit dieser Software erfordert eine separate Schulung. Danach erfolgt die Funktionskontrolle. Wird der Taster gedrückt, sendet er Signale über die Busleitung, die auch </w:t>
      </w:r>
      <w:r w:rsidR="00F61076">
        <w:rPr>
          <w:sz w:val="24"/>
          <w:szCs w:val="24"/>
        </w:rPr>
        <w:lastRenderedPageBreak/>
        <w:t xml:space="preserve">Telegramme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r>
        <w:rPr>
          <w:sz w:val="24"/>
          <w:szCs w:val="24"/>
        </w:rPr>
        <w:t>Schaltaktoren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Jalousiensteuerung</w:t>
      </w:r>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Die Drehrichtung der Antriebsmotoren der Jalousien erfolgt durch eine Umschaltung der Versorgungsspannung auf getrennte Motorwicklungsanschlüsse. Dazu benötigt der Aktor einen Wechslerkontakt.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Gruppenadressen fassen Teilnehmer in Gruppen zusammen. Das heißt ein Sensor kann beliebige Aktoren ansprechen, je nachdem wer seiner Gruppe zugeordnet ist. Dabei zählt ein Signal, egal was vorher war, schalte zum Anderen! (Toggle)</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BF279B" w:rsidRDefault="00BF279B" w:rsidP="00805962">
      <w:pPr>
        <w:spacing w:after="0"/>
        <w:rPr>
          <w:sz w:val="24"/>
          <w:szCs w:val="24"/>
        </w:rPr>
      </w:pPr>
      <w:r w:rsidRPr="00BF279B">
        <w:rPr>
          <w:sz w:val="24"/>
          <w:szCs w:val="24"/>
        </w:rPr>
        <w:t>OpenHAB</w:t>
      </w:r>
      <w:r>
        <w:rPr>
          <w:sz w:val="24"/>
          <w:szCs w:val="24"/>
        </w:rPr>
        <w:t xml:space="preserve"> </w:t>
      </w: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r w:rsidRPr="00BB5628">
        <w:rPr>
          <w:sz w:val="24"/>
          <w:szCs w:val="24"/>
        </w:rPr>
        <w:t>OpenHAB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BB5628" w:rsidP="00BB5628">
      <w:pPr>
        <w:pStyle w:val="Listenabsatz"/>
        <w:numPr>
          <w:ilvl w:val="2"/>
          <w:numId w:val="3"/>
        </w:numPr>
        <w:spacing w:after="0"/>
        <w:rPr>
          <w:sz w:val="24"/>
          <w:szCs w:val="24"/>
        </w:rPr>
      </w:pPr>
      <w:r w:rsidRPr="00BB5628">
        <w:rPr>
          <w:sz w:val="24"/>
          <w:szCs w:val="24"/>
        </w:rPr>
        <w:t>JVM?</w:t>
      </w:r>
    </w:p>
    <w:p w:rsidR="00BB5628" w:rsidRPr="00BB5628" w:rsidRDefault="00BB5628" w:rsidP="00BB5628">
      <w:pPr>
        <w:pStyle w:val="Listenabsatz"/>
        <w:numPr>
          <w:ilvl w:val="1"/>
          <w:numId w:val="3"/>
        </w:numPr>
        <w:spacing w:after="0"/>
        <w:rPr>
          <w:sz w:val="24"/>
          <w:szCs w:val="24"/>
        </w:rPr>
      </w:pPr>
      <w:r w:rsidRPr="00BB5628">
        <w:rPr>
          <w:sz w:val="24"/>
          <w:szCs w:val="24"/>
        </w:rPr>
        <w:t>Es vollständig „open-source“</w:t>
      </w:r>
    </w:p>
    <w:p w:rsidR="00BB5628" w:rsidRPr="00BB5628"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lang w:eastAsia="de-DE"/>
        </w:rPr>
      </w:pPr>
      <w:r w:rsidRPr="00BB5628">
        <w:rPr>
          <w:rFonts w:ascii="Times New Roman" w:eastAsia="Times New Roman" w:hAnsi="Times New Roman" w:cs="Times New Roman"/>
          <w:bCs/>
          <w:kern w:val="36"/>
          <w:sz w:val="24"/>
          <w:szCs w:val="24"/>
          <w:lang w:eastAsia="de-DE"/>
        </w:rPr>
        <w:t xml:space="preserve">Wife acceptance factor </w:t>
      </w:r>
      <w:r w:rsidRPr="00BB5628">
        <w:rPr>
          <w:rFonts w:eastAsia="Times New Roman" w:cs="Times New Roman"/>
          <w:bCs/>
          <w:kern w:val="36"/>
          <w:sz w:val="24"/>
          <w:szCs w:val="24"/>
          <w:lang w:eastAsia="de-DE"/>
        </w:rPr>
        <w:t>– Einmal installiert hat einen sehr hohen WAF</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„binding“</w:t>
      </w:r>
    </w:p>
    <w:p w:rsidR="00BB5628" w:rsidRDefault="00001D64" w:rsidP="00BB5628">
      <w:pPr>
        <w:pStyle w:val="Listenabsatz"/>
        <w:numPr>
          <w:ilvl w:val="0"/>
          <w:numId w:val="5"/>
        </w:numPr>
        <w:spacing w:after="0"/>
        <w:rPr>
          <w:sz w:val="24"/>
          <w:szCs w:val="24"/>
        </w:rPr>
      </w:pPr>
      <w:r>
        <w:rPr>
          <w:sz w:val="24"/>
          <w:szCs w:val="24"/>
        </w:rPr>
        <w:t>Eclipse SmartHome trennt strikt die physikalische und die funktionale Sicht</w:t>
      </w:r>
    </w:p>
    <w:p w:rsidR="00001D64" w:rsidRDefault="00001D64" w:rsidP="00001D64">
      <w:pPr>
        <w:pStyle w:val="Listenabsatz"/>
        <w:numPr>
          <w:ilvl w:val="1"/>
          <w:numId w:val="5"/>
        </w:numPr>
        <w:spacing w:after="0"/>
        <w:rPr>
          <w:sz w:val="24"/>
          <w:szCs w:val="24"/>
        </w:rPr>
      </w:pPr>
      <w:r>
        <w:rPr>
          <w:sz w:val="24"/>
          <w:szCs w:val="24"/>
        </w:rPr>
        <w:t xml:space="preserve">Physikalisch: Setup, Konfiguration und Fehlersuche, etc. </w:t>
      </w:r>
    </w:p>
    <w:p w:rsidR="00001D64" w:rsidRDefault="00001D64" w:rsidP="00001D64">
      <w:pPr>
        <w:pStyle w:val="Listenabsatz"/>
        <w:numPr>
          <w:ilvl w:val="1"/>
          <w:numId w:val="5"/>
        </w:numPr>
        <w:spacing w:after="0"/>
        <w:rPr>
          <w:sz w:val="24"/>
          <w:szCs w:val="24"/>
        </w:rPr>
      </w:pPr>
      <w:r>
        <w:rPr>
          <w:sz w:val="24"/>
          <w:szCs w:val="24"/>
        </w:rPr>
        <w:t>Funktional: relevante Informationen zur Anwendung, wie die Benutzeroberfläche und Automatisierungslogik</w:t>
      </w:r>
    </w:p>
    <w:p w:rsidR="00001D64" w:rsidRPr="00BB5628" w:rsidRDefault="00A47F2D" w:rsidP="00001D64">
      <w:pPr>
        <w:pStyle w:val="Listenabsatz"/>
        <w:numPr>
          <w:ilvl w:val="0"/>
          <w:numId w:val="5"/>
        </w:numPr>
        <w:spacing w:after="0"/>
        <w:rPr>
          <w:sz w:val="24"/>
          <w:szCs w:val="24"/>
        </w:rPr>
      </w:pPr>
      <w:r>
        <w:rPr>
          <w:i/>
          <w:sz w:val="24"/>
          <w:szCs w:val="24"/>
        </w:rPr>
        <w:t>Things, channels, items and Links</w:t>
      </w:r>
      <w:r>
        <w:rPr>
          <w:sz w:val="24"/>
          <w:szCs w:val="24"/>
        </w:rPr>
        <w:t xml:space="preserve"> </w:t>
      </w:r>
      <w:r>
        <w:rPr>
          <w:sz w:val="24"/>
          <w:szCs w:val="24"/>
        </w:rPr>
        <w:tab/>
      </w:r>
    </w:p>
    <w:p w:rsidR="00BB5628" w:rsidRDefault="00BB5628" w:rsidP="00BB5628">
      <w:pPr>
        <w:spacing w:after="0"/>
        <w:rPr>
          <w:sz w:val="24"/>
          <w:szCs w:val="24"/>
        </w:rPr>
      </w:pPr>
    </w:p>
    <w:p w:rsidR="00BB5628" w:rsidRDefault="005D1452" w:rsidP="00BB5628">
      <w:pPr>
        <w:spacing w:after="0"/>
        <w:rPr>
          <w:sz w:val="24"/>
          <w:szCs w:val="24"/>
        </w:rPr>
      </w:pPr>
      <w:r>
        <w:rPr>
          <w:sz w:val="24"/>
          <w:szCs w:val="24"/>
        </w:rPr>
        <w:t>HomeMatic</w:t>
      </w:r>
    </w:p>
    <w:p w:rsidR="00ED0481" w:rsidRDefault="00ED0481" w:rsidP="00ED0481">
      <w:pPr>
        <w:pStyle w:val="Listenabsatz"/>
        <w:numPr>
          <w:ilvl w:val="0"/>
          <w:numId w:val="7"/>
        </w:numPr>
        <w:spacing w:after="0"/>
        <w:rPr>
          <w:sz w:val="24"/>
          <w:szCs w:val="24"/>
        </w:rPr>
      </w:pPr>
      <w:r>
        <w:rPr>
          <w:sz w:val="24"/>
          <w:szCs w:val="24"/>
        </w:rPr>
        <w:t>Ist ein Hausautomationssystem der Firma eQ-3.</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(A;B)</w:t>
      </w:r>
    </w:p>
    <w:p w:rsidR="00BB52A0" w:rsidRDefault="00BB52A0" w:rsidP="005D1452">
      <w:pPr>
        <w:pStyle w:val="Listenabsatz"/>
        <w:numPr>
          <w:ilvl w:val="0"/>
          <w:numId w:val="6"/>
        </w:numPr>
        <w:spacing w:after="0"/>
        <w:rPr>
          <w:sz w:val="24"/>
          <w:szCs w:val="24"/>
        </w:rPr>
      </w:pPr>
      <w:r>
        <w:rPr>
          <w:sz w:val="24"/>
          <w:szCs w:val="24"/>
        </w:rPr>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lastRenderedPageBreak/>
        <w:t xml:space="preserve">Es lassen sich über beide Adapter Direktverknüpfungen zwischen </w:t>
      </w:r>
      <w:r w:rsidR="00A24D2C">
        <w:rPr>
          <w:sz w:val="24"/>
          <w:szCs w:val="24"/>
        </w:rPr>
        <w:t xml:space="preserve">Sensor und Akuator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gitternetz"/>
        <w:tblW w:w="0" w:type="auto"/>
        <w:jc w:val="center"/>
        <w:tblLook w:val="04A0"/>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4606" w:type="dxa"/>
          </w:tcPr>
          <w:p w:rsidR="003E1E59" w:rsidRDefault="003E1E59" w:rsidP="005042DB">
            <w:pPr>
              <w:rPr>
                <w:sz w:val="24"/>
                <w:szCs w:val="24"/>
              </w:rPr>
            </w:pPr>
            <w:r>
              <w:rPr>
                <w:sz w:val="24"/>
                <w:szCs w:val="24"/>
              </w:rPr>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0679F8" w:rsidP="005042DB">
            <w:pPr>
              <w:rPr>
                <w:sz w:val="24"/>
                <w:szCs w:val="24"/>
              </w:rPr>
            </w:pPr>
            <w:r>
              <w:rPr>
                <w:sz w:val="24"/>
                <w:szCs w:val="24"/>
              </w:rPr>
              <w:t>Bietet komplexe Automatinosaufgaben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5042DB">
            <w:pPr>
              <w:rPr>
                <w:sz w:val="24"/>
                <w:szCs w:val="24"/>
              </w:rPr>
            </w:pPr>
            <w:r>
              <w:rPr>
                <w:sz w:val="24"/>
                <w:szCs w:val="24"/>
              </w:rPr>
              <w:t>Komplexe Automationen sind mit Direkt-verbindungen nicht möglich. Einsatz beschränkt sich größtenteils auf simple Ein-/Ausschalt- und Dimmvorgänge</w:t>
            </w:r>
          </w:p>
        </w:tc>
      </w:tr>
      <w:tr w:rsidR="00771454" w:rsidTr="005042DB">
        <w:trPr>
          <w:jc w:val="center"/>
        </w:trPr>
        <w:tc>
          <w:tcPr>
            <w:tcW w:w="4606" w:type="dxa"/>
          </w:tcPr>
          <w:p w:rsidR="00771454" w:rsidRDefault="00771454" w:rsidP="005042DB">
            <w:pPr>
              <w:rPr>
                <w:sz w:val="24"/>
                <w:szCs w:val="24"/>
              </w:rPr>
            </w:pPr>
            <w:r>
              <w:rPr>
                <w:sz w:val="24"/>
                <w:szCs w:val="24"/>
              </w:rPr>
              <w:t>Die Ausführungsgeschwindigkeit bei Direktverknüpfungen ist gegenüber Programmen besser</w:t>
            </w: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4D6534" w:rsidRDefault="005042DB" w:rsidP="00BB5628">
      <w:pPr>
        <w:spacing w:after="0"/>
        <w:rPr>
          <w:sz w:val="24"/>
          <w:szCs w:val="24"/>
        </w:rPr>
      </w:pPr>
      <w:r>
        <w:rPr>
          <w:sz w:val="24"/>
          <w:szCs w:val="24"/>
        </w:rPr>
        <w:t>KNX:</w:t>
      </w:r>
    </w:p>
    <w:p w:rsidR="000C3165" w:rsidRDefault="008D4A44" w:rsidP="005042DB">
      <w:pPr>
        <w:pStyle w:val="Listenabsatz"/>
        <w:numPr>
          <w:ilvl w:val="0"/>
          <w:numId w:val="8"/>
        </w:numPr>
        <w:rPr>
          <w:sz w:val="24"/>
          <w:szCs w:val="24"/>
        </w:rPr>
      </w:pPr>
      <w:r>
        <w:rPr>
          <w:sz w:val="24"/>
          <w:szCs w:val="24"/>
        </w:rPr>
        <w:t xml:space="preserve">Ist ein Bussystem für Gebäudesteuerung, das alle Geräte über das gleiche 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r w:rsidRPr="005042DB">
        <w:rPr>
          <w:sz w:val="24"/>
          <w:szCs w:val="24"/>
        </w:rPr>
        <w:t>twisted-pair-Technik oder Zweidrahtleitung (die beiden Busleitu</w:t>
      </w:r>
      <w:r>
        <w:rPr>
          <w:sz w:val="24"/>
          <w:szCs w:val="24"/>
        </w:rPr>
        <w:t>ngen sind miteinander verdrillt).</w:t>
      </w: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Übertragung über Funk (Radio frequency)</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Nutzdaten -&gt; von wem kommen die Daten, an wen sind sie gerichtet. </w:t>
      </w:r>
    </w:p>
    <w:p w:rsidR="00D86374" w:rsidRDefault="00D86374" w:rsidP="00036D22">
      <w:pPr>
        <w:pStyle w:val="Listenabsatz"/>
        <w:numPr>
          <w:ilvl w:val="0"/>
          <w:numId w:val="8"/>
        </w:numPr>
        <w:rPr>
          <w:sz w:val="24"/>
          <w:szCs w:val="24"/>
        </w:rPr>
      </w:pPr>
      <w:r>
        <w:rPr>
          <w:sz w:val="24"/>
          <w:szCs w:val="24"/>
        </w:rPr>
        <w:lastRenderedPageBreak/>
        <w:t xml:space="preserve">Das KNX-Bussystem ist dezentral 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Die physikalischen 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t xml:space="preserve">Gruppenadressen fassen Teilnehmer in Gruppen zusammen. Das heißt </w:t>
      </w:r>
      <w:r w:rsidRPr="001E0A2C">
        <w:rPr>
          <w:b/>
          <w:sz w:val="24"/>
          <w:szCs w:val="24"/>
        </w:rPr>
        <w:t>ein</w:t>
      </w:r>
      <w:r w:rsidRPr="001E0A2C">
        <w:rPr>
          <w:sz w:val="24"/>
          <w:szCs w:val="24"/>
        </w:rPr>
        <w:t xml:space="preserve"> Sensor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 xml:space="preserve">reistufige und zweistufige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gitternetz"/>
        <w:tblW w:w="0" w:type="auto"/>
        <w:tblInd w:w="360" w:type="dxa"/>
        <w:tblLook w:val="04A0"/>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Fällt eine Einheit aus, können die anderen weiter arbeiten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FD3198" w:rsidP="00CA5D66">
      <w:pPr>
        <w:ind w:left="360"/>
        <w:rPr>
          <w:sz w:val="24"/>
          <w:szCs w:val="24"/>
        </w:rPr>
      </w:pPr>
      <w:r>
        <w:rPr>
          <w:noProof/>
          <w:sz w:val="24"/>
          <w:szCs w:val="24"/>
          <w:lang w:eastAsia="de-DE"/>
        </w:rPr>
        <w:drawing>
          <wp:anchor distT="0" distB="0" distL="114300" distR="114300" simplePos="0" relativeHeight="251658240" behindDoc="1" locked="0" layoutInCell="1" allowOverlap="1">
            <wp:simplePos x="0" y="0"/>
            <wp:positionH relativeFrom="column">
              <wp:posOffset>344805</wp:posOffset>
            </wp:positionH>
            <wp:positionV relativeFrom="paragraph">
              <wp:posOffset>-3810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5"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Pr="005042DB" w:rsidRDefault="005042DB" w:rsidP="005042DB">
      <w:pPr>
        <w:spacing w:after="0"/>
        <w:ind w:left="360"/>
        <w:rPr>
          <w:sz w:val="24"/>
          <w:szCs w:val="24"/>
        </w:rPr>
      </w:pPr>
    </w:p>
    <w:p w:rsidR="005042DB" w:rsidRDefault="005042DB" w:rsidP="00BB5628">
      <w:pPr>
        <w:spacing w:after="0"/>
        <w:rPr>
          <w:sz w:val="24"/>
          <w:szCs w:val="24"/>
        </w:rPr>
      </w:pP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FD3198" w:rsidP="00BB5628">
      <w:pPr>
        <w:spacing w:after="0"/>
        <w:rPr>
          <w:sz w:val="24"/>
          <w:szCs w:val="24"/>
        </w:rPr>
      </w:pPr>
      <w:r>
        <w:rPr>
          <w:noProof/>
          <w:sz w:val="24"/>
          <w:szCs w:val="24"/>
          <w:lang w:eastAsia="de-DE"/>
        </w:rPr>
        <w:lastRenderedPageBreak/>
        <w:drawing>
          <wp:anchor distT="0" distB="0" distL="114300" distR="114300" simplePos="0" relativeHeight="251659264" behindDoc="1" locked="0" layoutInCell="1" allowOverlap="1">
            <wp:simplePos x="0" y="0"/>
            <wp:positionH relativeFrom="column">
              <wp:posOffset>82550</wp:posOffset>
            </wp:positionH>
            <wp:positionV relativeFrom="paragraph">
              <wp:posOffset>-647065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6"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C5355F" w:rsidP="00BB5628">
      <w:pPr>
        <w:spacing w:after="0"/>
        <w:rPr>
          <w:sz w:val="24"/>
          <w:szCs w:val="24"/>
        </w:rPr>
      </w:pPr>
      <w:hyperlink r:id="rId7" w:history="1">
        <w:r w:rsidR="00A47F2D" w:rsidRPr="00A23BA5">
          <w:rPr>
            <w:rStyle w:val="Hyperlink"/>
            <w:sz w:val="24"/>
            <w:szCs w:val="24"/>
          </w:rPr>
          <w:t>https://www.openhab.org/</w:t>
        </w:r>
      </w:hyperlink>
    </w:p>
    <w:p w:rsidR="00A47F2D" w:rsidRDefault="00C5355F" w:rsidP="00BB5628">
      <w:pPr>
        <w:spacing w:after="0"/>
        <w:rPr>
          <w:sz w:val="24"/>
          <w:szCs w:val="24"/>
        </w:rPr>
      </w:pPr>
      <w:hyperlink r:id="rId8" w:history="1">
        <w:r w:rsidR="00A47F2D" w:rsidRPr="00A23BA5">
          <w:rPr>
            <w:rStyle w:val="Hyperlink"/>
            <w:sz w:val="24"/>
            <w:szCs w:val="24"/>
          </w:rPr>
          <w:t>http://www.homematic.com/</w:t>
        </w:r>
      </w:hyperlink>
    </w:p>
    <w:p w:rsidR="00A47F2D" w:rsidRDefault="00C5355F" w:rsidP="00BB5628">
      <w:pPr>
        <w:spacing w:after="0"/>
        <w:rPr>
          <w:sz w:val="24"/>
          <w:szCs w:val="24"/>
        </w:rPr>
      </w:pPr>
      <w:hyperlink r:id="rId9" w:history="1">
        <w:r w:rsidR="005D1452" w:rsidRPr="00A23BA5">
          <w:rPr>
            <w:rStyle w:val="Hyperlink"/>
            <w:sz w:val="24"/>
            <w:szCs w:val="24"/>
          </w:rPr>
          <w:t>http://www.eq-3.de/produkte/homematic.html</w:t>
        </w:r>
      </w:hyperlink>
    </w:p>
    <w:p w:rsidR="005D1452" w:rsidRDefault="00C5355F" w:rsidP="00BB5628">
      <w:pPr>
        <w:spacing w:after="0"/>
        <w:rPr>
          <w:sz w:val="24"/>
          <w:szCs w:val="24"/>
        </w:rPr>
      </w:pPr>
      <w:hyperlink r:id="rId10" w:history="1">
        <w:r w:rsidR="009A5C14" w:rsidRPr="00317E82">
          <w:rPr>
            <w:rStyle w:val="Hyperlink"/>
            <w:sz w:val="24"/>
            <w:szCs w:val="24"/>
          </w:rPr>
          <w:t>https://www.homematic-inside.de/tecbase/introduction/homematic/item/was-ist-eigentlich-homematic</w:t>
        </w:r>
      </w:hyperlink>
    </w:p>
    <w:p w:rsidR="009A5C14" w:rsidRDefault="00C5355F" w:rsidP="00BB5628">
      <w:pPr>
        <w:spacing w:after="0"/>
        <w:rPr>
          <w:sz w:val="24"/>
          <w:szCs w:val="24"/>
        </w:rPr>
      </w:pPr>
      <w:hyperlink r:id="rId11" w:history="1">
        <w:r w:rsidR="000679F8" w:rsidRPr="00317E82">
          <w:rPr>
            <w:rStyle w:val="Hyperlink"/>
            <w:sz w:val="24"/>
            <w:szCs w:val="24"/>
          </w:rPr>
          <w:t>https://www.homematic-inside.de</w:t>
        </w:r>
      </w:hyperlink>
    </w:p>
    <w:p w:rsidR="000C3165" w:rsidRDefault="00C5355F" w:rsidP="00BB5628">
      <w:pPr>
        <w:spacing w:after="0"/>
        <w:rPr>
          <w:sz w:val="24"/>
          <w:szCs w:val="24"/>
        </w:rPr>
      </w:pPr>
      <w:hyperlink r:id="rId12"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C5355F" w:rsidP="00BB5628">
      <w:pPr>
        <w:spacing w:after="0"/>
        <w:rPr>
          <w:sz w:val="24"/>
          <w:szCs w:val="24"/>
        </w:rPr>
      </w:pPr>
      <w:hyperlink r:id="rId13" w:history="1">
        <w:r w:rsidR="000C3165" w:rsidRPr="00317E82">
          <w:rPr>
            <w:rStyle w:val="Hyperlink"/>
            <w:sz w:val="24"/>
            <w:szCs w:val="24"/>
          </w:rPr>
          <w:t>http://www.e-volution.de/</w:t>
        </w:r>
      </w:hyperlink>
      <w:r w:rsidR="000C3165">
        <w:rPr>
          <w:sz w:val="24"/>
          <w:szCs w:val="24"/>
        </w:rPr>
        <w:t xml:space="preserve"> Online Seminar- Gebäudesteuerung mit KNX</w:t>
      </w: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p>
    <w:tbl>
      <w:tblPr>
        <w:tblStyle w:val="Tabellengitternetz"/>
        <w:tblW w:w="0" w:type="auto"/>
        <w:tblLook w:val="04A0"/>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Es gibt keine Zentraleinheit, Intelligenz ist auf alle Teilnehmer verteilt. Fällt eine Einheit aus, können die anderen weiter arbeiten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Bidirektionales Funkprotokoll</w:t>
            </w:r>
          </w:p>
        </w:tc>
        <w:tc>
          <w:tcPr>
            <w:tcW w:w="6237" w:type="dxa"/>
          </w:tcPr>
          <w:p w:rsidR="003B5409" w:rsidRDefault="003B5409" w:rsidP="009D52A0">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Über den Web-Browser ist es möglich, von weltweit auf das Eigenheim zuzugreifen</w:t>
            </w:r>
            <w:r>
              <w:rPr>
                <w:sz w:val="24"/>
                <w:szCs w:val="24"/>
              </w:rPr>
              <w:t>/ Auch lässt sich das System über (geeignete) Smartphones steuern</w:t>
            </w:r>
          </w:p>
        </w:tc>
        <w:tc>
          <w:tcPr>
            <w:tcW w:w="6237" w:type="dxa"/>
          </w:tcPr>
          <w:p w:rsidR="003B5409" w:rsidRDefault="003B5409" w:rsidP="009D52A0">
            <w:pPr>
              <w:rPr>
                <w:sz w:val="24"/>
                <w:szCs w:val="24"/>
              </w:rPr>
            </w:pPr>
            <w:r>
              <w:rPr>
                <w:sz w:val="24"/>
                <w:szCs w:val="24"/>
              </w:rPr>
              <w:t>Möchte man drahtgebundene Komponenten nutzen, ist die CCU notwendig. Ansonsten wäre sie nicht zwingend erforderlich</w:t>
            </w:r>
          </w:p>
        </w:tc>
      </w:tr>
      <w:tr w:rsidR="003B5409" w:rsidTr="006E70D7">
        <w:tc>
          <w:tcPr>
            <w:tcW w:w="1809" w:type="dxa"/>
            <w:vMerge/>
          </w:tcPr>
          <w:p w:rsidR="003B5409" w:rsidRPr="00AA5BAB" w:rsidRDefault="003B5409" w:rsidP="009D52A0">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Bietet komplexe Automatinosaufgaben und flexible Ablaufszenarien</w:t>
            </w:r>
          </w:p>
        </w:tc>
        <w:tc>
          <w:tcPr>
            <w:tcW w:w="6237" w:type="dxa"/>
          </w:tcPr>
          <w:p w:rsidR="003B5409" w:rsidRDefault="003B5409" w:rsidP="009D52A0">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9D52A0">
            <w:pPr>
              <w:rPr>
                <w:b/>
                <w:sz w:val="24"/>
                <w:szCs w:val="24"/>
              </w:rPr>
            </w:pPr>
          </w:p>
        </w:tc>
        <w:tc>
          <w:tcPr>
            <w:tcW w:w="6237" w:type="dxa"/>
          </w:tcPr>
          <w:p w:rsidR="003B5409" w:rsidRPr="00216F40" w:rsidRDefault="003B5409" w:rsidP="009D52A0">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9D52A0">
            <w:pPr>
              <w:rPr>
                <w:sz w:val="24"/>
                <w:szCs w:val="24"/>
              </w:rPr>
            </w:pPr>
            <w:r>
              <w:rPr>
                <w:sz w:val="24"/>
                <w:szCs w:val="24"/>
              </w:rPr>
              <w:t>Komplexe Automationen sind mit Direkt-verbindungen nicht möglich. Einsatz beschränkt sich größtenteils auf simple Ein-/Ausschalt- und Dimmvorgänge</w:t>
            </w:r>
          </w:p>
        </w:tc>
      </w:tr>
      <w:tr w:rsidR="003B5409" w:rsidTr="009652E5">
        <w:trPr>
          <w:trHeight w:val="992"/>
        </w:trPr>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Die Ausführungsgeschwindigkeit bei Direktverknüpfungen ist gegenüber Programmen besser</w:t>
            </w:r>
          </w:p>
        </w:tc>
        <w:tc>
          <w:tcPr>
            <w:tcW w:w="6237" w:type="dxa"/>
          </w:tcPr>
          <w:p w:rsidR="003B5409" w:rsidRDefault="003B5409" w:rsidP="009D52A0">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r w:rsidRPr="00AA5BAB">
              <w:rPr>
                <w:b/>
                <w:sz w:val="24"/>
                <w:szCs w:val="24"/>
              </w:rPr>
              <w:lastRenderedPageBreak/>
              <w:t>OpenHAB</w:t>
            </w:r>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p>
        </w:tc>
        <w:tc>
          <w:tcPr>
            <w:tcW w:w="6237" w:type="dxa"/>
          </w:tcPr>
          <w:p w:rsidR="009652E5" w:rsidRDefault="009652E5" w:rsidP="00BB5628">
            <w:pPr>
              <w:rPr>
                <w:sz w:val="24"/>
                <w:szCs w:val="24"/>
              </w:rPr>
            </w:pPr>
          </w:p>
        </w:tc>
      </w:tr>
      <w:tr w:rsidR="009652E5" w:rsidTr="009652E5">
        <w:trPr>
          <w:trHeight w:val="1099"/>
        </w:trPr>
        <w:tc>
          <w:tcPr>
            <w:tcW w:w="1809" w:type="dxa"/>
            <w:vMerge/>
          </w:tcPr>
          <w:p w:rsidR="009652E5" w:rsidRPr="00AA5BAB" w:rsidRDefault="009652E5" w:rsidP="009D52A0">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B5628">
            <w:pPr>
              <w:rPr>
                <w:sz w:val="24"/>
                <w:szCs w:val="24"/>
              </w:rPr>
            </w:pPr>
            <w:r w:rsidRPr="00BE412E">
              <w:rPr>
                <w:sz w:val="24"/>
                <w:szCs w:val="24"/>
              </w:rPr>
              <w:t>Es vollständig „open-source“</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FD3198" w:rsidRPr="00BB5628" w:rsidRDefault="00FD3198" w:rsidP="00BB5628">
      <w:pPr>
        <w:spacing w:after="0"/>
        <w:rPr>
          <w:sz w:val="24"/>
          <w:szCs w:val="24"/>
        </w:rPr>
      </w:pPr>
    </w:p>
    <w:sectPr w:rsidR="00FD3198" w:rsidRPr="00BB5628" w:rsidSect="00FD3198">
      <w:pgSz w:w="11906" w:h="16838"/>
      <w:pgMar w:top="1134"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drawingGridHorizontalSpacing w:val="110"/>
  <w:displayHorizontalDrawingGridEvery w:val="2"/>
  <w:characterSpacingControl w:val="doNotCompress"/>
  <w:compat/>
  <w:rsids>
    <w:rsidRoot w:val="00C17B2C"/>
    <w:rsid w:val="00001D64"/>
    <w:rsid w:val="00030694"/>
    <w:rsid w:val="00032581"/>
    <w:rsid w:val="00036D22"/>
    <w:rsid w:val="000579BF"/>
    <w:rsid w:val="0006333C"/>
    <w:rsid w:val="00065820"/>
    <w:rsid w:val="000679F8"/>
    <w:rsid w:val="00091614"/>
    <w:rsid w:val="000A36BD"/>
    <w:rsid w:val="000C3165"/>
    <w:rsid w:val="001051A6"/>
    <w:rsid w:val="0012770D"/>
    <w:rsid w:val="00194C2B"/>
    <w:rsid w:val="001C49C7"/>
    <w:rsid w:val="001E0A2C"/>
    <w:rsid w:val="001F0338"/>
    <w:rsid w:val="0020588C"/>
    <w:rsid w:val="002108F9"/>
    <w:rsid w:val="00216F40"/>
    <w:rsid w:val="00222EFE"/>
    <w:rsid w:val="0025699F"/>
    <w:rsid w:val="00262340"/>
    <w:rsid w:val="002900EE"/>
    <w:rsid w:val="002B67B4"/>
    <w:rsid w:val="00340015"/>
    <w:rsid w:val="00344872"/>
    <w:rsid w:val="003945F0"/>
    <w:rsid w:val="003B14A1"/>
    <w:rsid w:val="003B5409"/>
    <w:rsid w:val="003C0094"/>
    <w:rsid w:val="003C697E"/>
    <w:rsid w:val="003C7633"/>
    <w:rsid w:val="003E1E59"/>
    <w:rsid w:val="003E2347"/>
    <w:rsid w:val="0047248F"/>
    <w:rsid w:val="00480D55"/>
    <w:rsid w:val="00492AFD"/>
    <w:rsid w:val="004A21EB"/>
    <w:rsid w:val="004D6534"/>
    <w:rsid w:val="005042DB"/>
    <w:rsid w:val="00545B88"/>
    <w:rsid w:val="00560C16"/>
    <w:rsid w:val="005957CC"/>
    <w:rsid w:val="005D1452"/>
    <w:rsid w:val="00680BE7"/>
    <w:rsid w:val="006A68A3"/>
    <w:rsid w:val="006C25DB"/>
    <w:rsid w:val="00711548"/>
    <w:rsid w:val="00730253"/>
    <w:rsid w:val="0073054C"/>
    <w:rsid w:val="0075069B"/>
    <w:rsid w:val="00751327"/>
    <w:rsid w:val="00766EAB"/>
    <w:rsid w:val="00771454"/>
    <w:rsid w:val="00786DF4"/>
    <w:rsid w:val="007A7B39"/>
    <w:rsid w:val="007C57EA"/>
    <w:rsid w:val="007D14E8"/>
    <w:rsid w:val="007F1225"/>
    <w:rsid w:val="00805962"/>
    <w:rsid w:val="008403A7"/>
    <w:rsid w:val="008537F4"/>
    <w:rsid w:val="00884764"/>
    <w:rsid w:val="008D4A44"/>
    <w:rsid w:val="008F0EA9"/>
    <w:rsid w:val="00942DC5"/>
    <w:rsid w:val="00953EC6"/>
    <w:rsid w:val="009652E5"/>
    <w:rsid w:val="009A5C14"/>
    <w:rsid w:val="009B2753"/>
    <w:rsid w:val="009B4146"/>
    <w:rsid w:val="009E1BE4"/>
    <w:rsid w:val="009E297E"/>
    <w:rsid w:val="00A24D2C"/>
    <w:rsid w:val="00A47F2D"/>
    <w:rsid w:val="00AA5BAB"/>
    <w:rsid w:val="00B04BF1"/>
    <w:rsid w:val="00B97038"/>
    <w:rsid w:val="00BB52A0"/>
    <w:rsid w:val="00BB5628"/>
    <w:rsid w:val="00BD0D85"/>
    <w:rsid w:val="00BD2A3B"/>
    <w:rsid w:val="00BE412E"/>
    <w:rsid w:val="00BF279B"/>
    <w:rsid w:val="00C17B2C"/>
    <w:rsid w:val="00C43952"/>
    <w:rsid w:val="00C5355F"/>
    <w:rsid w:val="00C652B1"/>
    <w:rsid w:val="00C8289E"/>
    <w:rsid w:val="00CA5D66"/>
    <w:rsid w:val="00CB7968"/>
    <w:rsid w:val="00D0081F"/>
    <w:rsid w:val="00D43149"/>
    <w:rsid w:val="00D50CD0"/>
    <w:rsid w:val="00D62FE4"/>
    <w:rsid w:val="00D64707"/>
    <w:rsid w:val="00D86374"/>
    <w:rsid w:val="00D969DB"/>
    <w:rsid w:val="00DA4C44"/>
    <w:rsid w:val="00DB0FC0"/>
    <w:rsid w:val="00DF344D"/>
    <w:rsid w:val="00E17F7A"/>
    <w:rsid w:val="00E5190A"/>
    <w:rsid w:val="00E70421"/>
    <w:rsid w:val="00EC2533"/>
    <w:rsid w:val="00ED0481"/>
    <w:rsid w:val="00ED1377"/>
    <w:rsid w:val="00EF5203"/>
    <w:rsid w:val="00F61076"/>
    <w:rsid w:val="00F816CE"/>
    <w:rsid w:val="00FD319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gitternetz">
    <w:name w:val="Table Grid"/>
    <w:basedOn w:val="NormaleTabelle"/>
    <w:uiPriority w:val="59"/>
    <w:rsid w:val="003E1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mematic.com/" TargetMode="External"/><Relationship Id="rId13" Type="http://schemas.openxmlformats.org/officeDocument/2006/relationships/hyperlink" Target="http://www.e-volution.de/" TargetMode="External"/><Relationship Id="rId3" Type="http://schemas.openxmlformats.org/officeDocument/2006/relationships/settings" Target="settings.xml"/><Relationship Id="rId7" Type="http://schemas.openxmlformats.org/officeDocument/2006/relationships/hyperlink" Target="https://www.openhab.org/" TargetMode="External"/><Relationship Id="rId12" Type="http://schemas.openxmlformats.org/officeDocument/2006/relationships/hyperlink" Target="http://www.knx.org/fileadmin/downloads/08%20-%20KNX%20Flyers/Grundlagenwissen%20zum%20KNX%20Standard/Grundlagenwissen_zum_KNX_Standard_Germa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omematic-inside.d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homematic-inside.de/tecbase/introduction/homematic/item/was-ist-eigentlich-homematic" TargetMode="External"/><Relationship Id="rId4" Type="http://schemas.openxmlformats.org/officeDocument/2006/relationships/webSettings" Target="webSettings.xml"/><Relationship Id="rId9" Type="http://schemas.openxmlformats.org/officeDocument/2006/relationships/hyperlink" Target="http://www.eq-3.de/produkte/homematic.html"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2053</Words>
  <Characters>12938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105</cp:revision>
  <dcterms:created xsi:type="dcterms:W3CDTF">2017-05-10T14:09:00Z</dcterms:created>
  <dcterms:modified xsi:type="dcterms:W3CDTF">2017-05-25T10:02:00Z</dcterms:modified>
</cp:coreProperties>
</file>