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8C4A15"/>
          <w:sz w:val="20"/>
          <w:szCs w:val="20"/>
        </w:rPr>
        <w:t xml:space="preserve">Task 2</w:t>
      </w:r>
    </w:p>
    <w:p>
      <w:pPr>
        <w:spacing w:after="200"/>
      </w:pPr>
      <w:r>
        <w:rPr>
          <w:rFonts w:ascii="Cambria" w:cs="Cambria" w:eastAsia="Cambria" w:hAnsi="Cambria"/>
          <w:b/>
          <w:bCs/>
          <w:color w:val="1F3864"/>
          <w:sz w:val="40"/>
          <w:szCs w:val="40"/>
        </w:rPr>
        <w:t xml:space="preserve">Data Collection Report</w:t>
      </w:r>
    </w:p>
    <w:p>
      <w:pPr>
        <w:spacing w:after="40"/>
      </w:pPr>
      <w:r>
        <w:rPr>
          <w:rFonts w:ascii="Cambria" w:cs="Cambria" w:eastAsia="Cambria" w:hAnsi="Cambria"/>
          <w:b/>
          <w:bCs/>
          <w:sz w:val="22"/>
          <w:szCs w:val="22"/>
        </w:rPr>
        <w:t xml:space="preserve">Project: </w:t>
      </w:r>
      <w:r>
        <w:rPr>
          <w:rFonts w:ascii="Cambria" w:cs="Cambria" w:eastAsia="Cambria" w:hAnsi="Cambria"/>
          <w:sz w:val="22"/>
          <w:szCs w:val="22"/>
        </w:rPr>
        <w:t xml:space="preserve">Competitor Demand Prediction Using Job Postings — CadetX Virtual Work Experience</w:t>
      </w:r>
    </w:p>
    <w:p>
      <w:pPr>
        <w:spacing w:after="40"/>
      </w:pPr>
      <w:r>
        <w:rPr>
          <w:rFonts w:ascii="Cambria" w:cs="Cambria" w:eastAsia="Cambria" w:hAnsi="Cambria"/>
          <w:b/>
          <w:bCs/>
          <w:sz w:val="22"/>
          <w:szCs w:val="22"/>
        </w:rPr>
        <w:t xml:space="preserve">Company Specialist: </w:t>
      </w:r>
      <w:r>
        <w:rPr>
          <w:rFonts w:ascii="Cambria" w:cs="Cambria" w:eastAsia="Cambria" w:hAnsi="Cambria"/>
          <w:sz w:val="22"/>
          <w:szCs w:val="22"/>
        </w:rPr>
        <w:t xml:space="preserve">Microsoft</w:t>
      </w:r>
    </w:p>
    <w:p>
      <w:pPr>
        <w:spacing w:after="40"/>
      </w:pPr>
      <w:r>
        <w:rPr>
          <w:rFonts w:ascii="Cambria" w:cs="Cambria" w:eastAsia="Cambria" w:hAnsi="Cambria"/>
          <w:b/>
          <w:bCs/>
          <w:sz w:val="22"/>
          <w:szCs w:val="22"/>
        </w:rPr>
        <w:t xml:space="preserve">Prepared by: </w:t>
      </w:r>
      <w:r>
        <w:rPr>
          <w:rFonts w:ascii="Cambria" w:cs="Cambria" w:eastAsia="Cambria" w:hAnsi="Cambria"/>
          <w:sz w:val="22"/>
          <w:szCs w:val="22"/>
        </w:rPr>
        <w:t xml:space="preserve">Azal</w:t>
      </w:r>
    </w:p>
    <w:p>
      <w:pPr>
        <w:spacing w:after="240"/>
      </w:pPr>
      <w:r>
        <w:rPr>
          <w:rFonts w:ascii="Cambria" w:cs="Cambria" w:eastAsia="Cambria" w:hAnsi="Cambria"/>
          <w:b/>
          <w:bCs/>
          <w:sz w:val="22"/>
          <w:szCs w:val="22"/>
        </w:rPr>
        <w:t xml:space="preserve">Dataset: </w:t>
      </w:r>
      <w:r>
        <w:rPr>
          <w:rFonts w:ascii="Cambria" w:cs="Cambria" w:eastAsia="Cambria" w:hAnsi="Cambria"/>
          <w:sz w:val="22"/>
          <w:szCs w:val="22"/>
        </w:rPr>
        <w:t xml:space="preserve">microsoft_jobs_dataset.csv — 182 rows, 26 columns</w:t>
      </w:r>
    </w:p>
    <w:p>
      <w:pPr>
        <w:pBdr>
          <w:bottom w:val="single" w:color="1F3864" w:sz="6"/>
        </w:pBdr>
        <w:spacing w:after="240"/>
      </w:pPr>
    </w:p>
    <w:p>
      <w:pPr>
        <w:pStyle w:val="Heading1"/>
        <w:spacing w:after="160" w:before="320"/>
      </w:pPr>
      <w:r>
        <w:rPr>
          <w:rFonts w:ascii="Cambria" w:cs="Cambria" w:eastAsia="Cambria" w:hAnsi="Cambria"/>
          <w:b/>
          <w:bCs/>
          <w:color w:val="1F3864"/>
          <w:sz w:val="32"/>
          <w:szCs w:val="32"/>
        </w:rPr>
        <w:t xml:space="preserve">1.  Source</w:t>
      </w:r>
    </w:p>
    <w:p>
      <w:pPr>
        <w:pStyle w:val="ListParagraph"/>
        <w:numPr>
          <w:ilvl w:val="0"/>
          <w:numId w:val="1"/>
        </w:numPr>
        <w:spacing w:after="100"/>
      </w:pPr>
      <w:r>
        <w:rPr>
          <w:rFonts w:ascii="Cambria" w:cs="Cambria" w:eastAsia="Cambria" w:hAnsi="Cambria"/>
          <w:b/>
          <w:bCs/>
          <w:sz w:val="22"/>
          <w:szCs w:val="22"/>
        </w:rPr>
        <w:t xml:space="preserve">Repository: </w:t>
      </w:r>
      <w:r>
        <w:rPr>
          <w:rFonts w:ascii="Cambria" w:cs="Cambria" w:eastAsia="Cambria" w:hAnsi="Cambria"/>
          <w:sz w:val="22"/>
          <w:szCs w:val="22"/>
        </w:rPr>
        <w:t xml:space="preserve">github.com/microsoft/SkillsExtractorCognitiveSearch</w:t>
      </w:r>
    </w:p>
    <w:p>
      <w:pPr>
        <w:pStyle w:val="ListParagraph"/>
        <w:numPr>
          <w:ilvl w:val="0"/>
          <w:numId w:val="1"/>
        </w:numPr>
        <w:spacing w:after="100"/>
      </w:pPr>
      <w:r>
        <w:rPr>
          <w:rFonts w:ascii="Cambria" w:cs="Cambria" w:eastAsia="Cambria" w:hAnsi="Cambria"/>
          <w:b/>
          <w:bCs/>
          <w:sz w:val="22"/>
          <w:szCs w:val="22"/>
        </w:rPr>
        <w:t xml:space="preserve">File: </w:t>
      </w:r>
      <w:r>
        <w:rPr>
          <w:rFonts w:ascii="Cambria" w:cs="Cambria" w:eastAsia="Cambria" w:hAnsi="Cambria"/>
          <w:sz w:val="22"/>
          <w:szCs w:val="22"/>
        </w:rPr>
        <w:t xml:space="preserve">deployment/microsoft_careers_sample.json</w:t>
      </w:r>
    </w:p>
    <w:p>
      <w:pPr>
        <w:pStyle w:val="ListParagraph"/>
        <w:numPr>
          <w:ilvl w:val="0"/>
          <w:numId w:val="1"/>
        </w:numPr>
        <w:spacing w:after="100"/>
      </w:pPr>
      <w:r>
        <w:rPr>
          <w:rFonts w:ascii="Cambria" w:cs="Cambria" w:eastAsia="Cambria" w:hAnsi="Cambria"/>
          <w:b/>
          <w:bCs/>
          <w:sz w:val="22"/>
          <w:szCs w:val="22"/>
        </w:rPr>
        <w:t xml:space="preserve">Publisher: </w:t>
      </w:r>
      <w:r>
        <w:rPr>
          <w:rFonts w:ascii="Cambria" w:cs="Cambria" w:eastAsia="Cambria" w:hAnsi="Cambria"/>
          <w:sz w:val="22"/>
          <w:szCs w:val="22"/>
        </w:rPr>
        <w:t xml:space="preserve">Microsoft Corporation (its own official GitHub organisation)</w:t>
      </w:r>
    </w:p>
    <w:p>
      <w:pPr>
        <w:pStyle w:val="ListParagraph"/>
        <w:numPr>
          <w:ilvl w:val="0"/>
          <w:numId w:val="1"/>
        </w:numPr>
        <w:spacing w:after="100"/>
      </w:pPr>
      <w:r>
        <w:rPr>
          <w:rFonts w:ascii="Cambria" w:cs="Cambria" w:eastAsia="Cambria" w:hAnsi="Cambria"/>
          <w:b/>
          <w:bCs/>
          <w:sz w:val="22"/>
          <w:szCs w:val="22"/>
        </w:rPr>
        <w:t xml:space="preserve">Licence: </w:t>
      </w:r>
      <w:r>
        <w:rPr>
          <w:rFonts w:ascii="Cambria" w:cs="Cambria" w:eastAsia="Cambria" w:hAnsi="Cambria"/>
          <w:sz w:val="22"/>
          <w:szCs w:val="22"/>
        </w:rPr>
        <w:t xml:space="preserve">MIT</w:t>
      </w:r>
    </w:p>
    <w:p>
      <w:pPr>
        <w:pStyle w:val="ListParagraph"/>
        <w:numPr>
          <w:ilvl w:val="0"/>
          <w:numId w:val="1"/>
        </w:numPr>
        <w:spacing w:after="100"/>
      </w:pPr>
      <w:r>
        <w:rPr>
          <w:rFonts w:ascii="Cambria" w:cs="Cambria" w:eastAsia="Cambria" w:hAnsi="Cambria"/>
          <w:b/>
          <w:bCs/>
          <w:sz w:val="22"/>
          <w:szCs w:val="22"/>
        </w:rPr>
        <w:t xml:space="preserve">Records: </w:t>
      </w:r>
      <w:r>
        <w:rPr>
          <w:rFonts w:ascii="Cambria" w:cs="Cambria" w:eastAsia="Cambria" w:hAnsi="Cambria"/>
          <w:sz w:val="22"/>
          <w:szCs w:val="22"/>
        </w:rPr>
        <w:t xml:space="preserve">182 job postings, released by Microsoft as demonstration data for an Azure Cognitive Search skills-extraction project</w:t>
      </w:r>
    </w:p>
    <w:p>
      <w:pPr>
        <w:spacing w:after="80"/>
      </w:pPr>
    </w:p>
    <w:p>
      <w:pPr>
        <w:spacing w:after="160"/>
      </w:pPr>
      <w:r>
        <w:rPr>
          <w:rFonts w:ascii="Cambria" w:cs="Cambria" w:eastAsia="Cambria" w:hAnsi="Cambria"/>
          <w:b/>
          <w:bCs/>
          <w:i/>
          <w:iCs/>
          <w:sz w:val="22"/>
          <w:szCs w:val="22"/>
        </w:rPr>
        <w:t xml:space="preserve">Why this source rather than the careers site: </w:t>
      </w:r>
      <w:r>
        <w:rPr>
          <w:rFonts w:ascii="Cambria" w:cs="Cambria" w:eastAsia="Cambria" w:hAnsi="Cambria"/>
          <w:sz w:val="22"/>
          <w:szCs w:val="22"/>
        </w:rPr>
        <w:t xml:space="preserve">Microsoft's careers platform disallows automated access, and no public dataset covering Microsoft as an employer was found. A 33,246-row LinkedIn job-postings dataset was tested and contained zero Microsoft-employer postings — the apparent matches were third-party consultancies hiring for Microsoft technologies. The MIT-licensed repository resolved the problem entirely, since Microsoft published the postings itself.</w:t>
      </w:r>
    </w:p>
    <w:p>
      <w:pPr>
        <w:pStyle w:val="Heading1"/>
        <w:spacing w:after="160" w:before="320"/>
      </w:pPr>
      <w:r>
        <w:rPr>
          <w:rFonts w:ascii="Cambria" w:cs="Cambria" w:eastAsia="Cambria" w:hAnsi="Cambria"/>
          <w:b/>
          <w:bCs/>
          <w:color w:val="1F3864"/>
          <w:sz w:val="32"/>
          <w:szCs w:val="32"/>
        </w:rPr>
        <w:t xml:space="preserve">2.  Legal Checks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000"/>
      </w:tblGrid>
      <w:tr>
        <w:trPr>
          <w:tblHeader/>
        </w:trPr>
        <w:tc>
          <w:tcPr>
            <w:tcW w:type="dxa" w:w="2300"/>
            <w:shd w:fill="1F3864" w:color="auto" w:val="clear"/>
            <w:tcMar>
              <w:top w:type="dxa" w:w="100"/>
              <w:left w:type="dxa" w:w="120"/>
              <w:bottom w:type="dxa" w:w="100"/>
              <w:right w:type="dxa" w:w="120"/>
            </w:tcMar>
          </w:tcPr>
          <w:p>
            <w:r>
              <w:rPr>
                <w:rFonts w:ascii="Cambria" w:cs="Cambria" w:eastAsia="Cambria" w:hAnsi="Cambria"/>
                <w:b/>
                <w:bCs/>
                <w:color w:val="FFFFFF"/>
                <w:sz w:val="20"/>
                <w:szCs w:val="20"/>
              </w:rPr>
              <w:t xml:space="preserve">Check</w:t>
            </w:r>
          </w:p>
        </w:tc>
        <w:tc>
          <w:tcPr>
            <w:tcW w:type="dxa" w:w="1500"/>
            <w:shd w:fill="1F3864" w:color="auto" w:val="clear"/>
            <w:tcMar>
              <w:top w:type="dxa" w:w="100"/>
              <w:left w:type="dxa" w:w="120"/>
              <w:bottom w:type="dxa" w:w="100"/>
              <w:right w:type="dxa" w:w="120"/>
            </w:tcMar>
          </w:tcPr>
          <w:p>
            <w:r>
              <w:rPr>
                <w:rFonts w:ascii="Cambria" w:cs="Cambria" w:eastAsia="Cambria" w:hAnsi="Cambria"/>
                <w:b/>
                <w:bCs/>
                <w:color w:val="FFFFFF"/>
                <w:sz w:val="20"/>
                <w:szCs w:val="20"/>
              </w:rPr>
              <w:t xml:space="preserve">Result</w:t>
            </w:r>
          </w:p>
        </w:tc>
        <w:tc>
          <w:tcPr>
            <w:tcW w:type="dxa" w:w="5000"/>
            <w:shd w:fill="1F3864" w:color="auto" w:val="clear"/>
            <w:tcMar>
              <w:top w:type="dxa" w:w="100"/>
              <w:left w:type="dxa" w:w="120"/>
              <w:bottom w:type="dxa" w:w="100"/>
              <w:right w:type="dxa" w:w="120"/>
            </w:tcMar>
          </w:tcPr>
          <w:p>
            <w:r>
              <w:rPr>
                <w:rFonts w:ascii="Cambria" w:cs="Cambria" w:eastAsia="Cambria" w:hAnsi="Cambria"/>
                <w:b/>
                <w:bCs/>
                <w:color w:val="FFFFFF"/>
                <w:sz w:val="20"/>
                <w:szCs w:val="20"/>
              </w:rPr>
              <w:t xml:space="preserve">Evidence</w:t>
            </w:r>
          </w:p>
        </w:tc>
      </w:tr>
      <w:tr>
        <w:tc>
          <w:tcPr>
            <w:tcW w:type="dxa" w:w="2300"/>
            <w:tcMar>
              <w:top w:type="dxa" w:w="100"/>
              <w:left w:type="dxa" w:w="120"/>
              <w:bottom w:type="dxa" w:w="100"/>
              <w:right w:type="dxa" w:w="120"/>
            </w:tcMar>
          </w:tcPr>
          <w:p>
            <w:r>
              <w:rPr>
                <w:rFonts w:ascii="Cambria" w:cs="Cambria" w:eastAsia="Cambria" w:hAnsi="Cambria"/>
                <w:b/>
                <w:bCs/>
                <w:sz w:val="20"/>
                <w:szCs w:val="20"/>
              </w:rPr>
              <w:t xml:space="preserve">Does the source allow extraction?</w:t>
            </w:r>
          </w:p>
        </w:tc>
        <w:tc>
          <w:tcPr>
            <w:tcW w:type="dxa" w:w="1500"/>
            <w:tcMar>
              <w:top w:type="dxa" w:w="100"/>
              <w:left w:type="dxa" w:w="120"/>
              <w:bottom w:type="dxa" w:w="100"/>
              <w:right w:type="dxa" w:w="120"/>
            </w:tcMar>
          </w:tcPr>
          <w:p>
            <w:r>
              <w:rPr>
                <w:rFonts w:ascii="Cambria" w:cs="Cambria" w:eastAsia="Cambria" w:hAnsi="Cambria"/>
                <w:b/>
                <w:bCs/>
                <w:sz w:val="20"/>
                <w:szCs w:val="20"/>
              </w:rPr>
              <w:t xml:space="preserve">YES</w:t>
            </w:r>
          </w:p>
        </w:tc>
        <w:tc>
          <w:tcPr>
            <w:tcW w:type="dxa" w:w="5000"/>
            <w:tcMar>
              <w:top w:type="dxa" w:w="100"/>
              <w:left w:type="dxa" w:w="120"/>
              <w:bottom w:type="dxa" w:w="100"/>
              <w:right w:type="dxa" w:w="120"/>
            </w:tcMar>
          </w:tcPr>
          <w:p>
            <w:r>
              <w:rPr>
                <w:rFonts w:ascii="Cambria" w:cs="Cambria" w:eastAsia="Cambria" w:hAnsi="Cambria"/>
                <w:sz w:val="20"/>
                <w:szCs w:val="20"/>
              </w:rPr>
              <w:t xml:space="preserve">The data is published by Microsoft Corporation in its own public GitHub repository as sample data. No extraction from a restricted site was required — the file was downloaded directly.</w:t>
            </w:r>
          </w:p>
        </w:tc>
      </w:tr>
      <w:tr>
        <w:tc>
          <w:tcPr>
            <w:tcW w:type="dxa" w:w="2300"/>
            <w:tcMar>
              <w:top w:type="dxa" w:w="100"/>
              <w:left w:type="dxa" w:w="120"/>
              <w:bottom w:type="dxa" w:w="100"/>
              <w:right w:type="dxa" w:w="120"/>
            </w:tcMar>
          </w:tcPr>
          <w:p>
            <w:r>
              <w:rPr>
                <w:rFonts w:ascii="Cambria" w:cs="Cambria" w:eastAsia="Cambria" w:hAnsi="Cambria"/>
                <w:b/>
                <w:bCs/>
                <w:sz w:val="20"/>
                <w:szCs w:val="20"/>
              </w:rPr>
              <w:t xml:space="preserve">Licence</w:t>
            </w:r>
          </w:p>
        </w:tc>
        <w:tc>
          <w:tcPr>
            <w:tcW w:type="dxa" w:w="1500"/>
            <w:tcMar>
              <w:top w:type="dxa" w:w="100"/>
              <w:left w:type="dxa" w:w="120"/>
              <w:bottom w:type="dxa" w:w="100"/>
              <w:right w:type="dxa" w:w="120"/>
            </w:tcMar>
          </w:tcPr>
          <w:p>
            <w:r>
              <w:rPr>
                <w:rFonts w:ascii="Cambria" w:cs="Cambria" w:eastAsia="Cambria" w:hAnsi="Cambria"/>
                <w:b/>
                <w:bCs/>
                <w:sz w:val="20"/>
                <w:szCs w:val="20"/>
              </w:rPr>
              <w:t xml:space="preserve">MIT</w:t>
            </w:r>
          </w:p>
        </w:tc>
        <w:tc>
          <w:tcPr>
            <w:tcW w:type="dxa" w:w="5000"/>
            <w:tcMar>
              <w:top w:type="dxa" w:w="100"/>
              <w:left w:type="dxa" w:w="120"/>
              <w:bottom w:type="dxa" w:w="100"/>
              <w:right w:type="dxa" w:w="120"/>
            </w:tcMar>
          </w:tcPr>
          <w:p>
            <w:r>
              <w:rPr>
                <w:rFonts w:ascii="Cambria" w:cs="Cambria" w:eastAsia="Cambria" w:hAnsi="Cambria"/>
                <w:sz w:val="20"/>
                <w:szCs w:val="20"/>
              </w:rPr>
              <w:t xml:space="preserve">The repository LICENSE file reads: MIT License, Copyright (c) Microsoft Corporation. This permits use, copying, modification and distribution, provided the copyright notice is retained.</w:t>
            </w:r>
          </w:p>
        </w:tc>
      </w:tr>
      <w:tr>
        <w:tc>
          <w:tcPr>
            <w:tcW w:type="dxa" w:w="2300"/>
            <w:tcMar>
              <w:top w:type="dxa" w:w="100"/>
              <w:left w:type="dxa" w:w="120"/>
              <w:bottom w:type="dxa" w:w="100"/>
              <w:right w:type="dxa" w:w="120"/>
            </w:tcMar>
          </w:tcPr>
          <w:p>
            <w:r>
              <w:rPr>
                <w:rFonts w:ascii="Cambria" w:cs="Cambria" w:eastAsia="Cambria" w:hAnsi="Cambria"/>
                <w:b/>
                <w:bCs/>
                <w:sz w:val="20"/>
                <w:szCs w:val="20"/>
              </w:rPr>
              <w:t xml:space="preserve">robots.txt — jobs.careers.microsoft.com</w:t>
            </w:r>
          </w:p>
        </w:tc>
        <w:tc>
          <w:tcPr>
            <w:tcW w:type="dxa" w:w="1500"/>
            <w:tcMar>
              <w:top w:type="dxa" w:w="100"/>
              <w:left w:type="dxa" w:w="120"/>
              <w:bottom w:type="dxa" w:w="100"/>
              <w:right w:type="dxa" w:w="120"/>
            </w:tcMar>
          </w:tcPr>
          <w:p>
            <w:r>
              <w:rPr>
                <w:rFonts w:ascii="Cambria" w:cs="Cambria" w:eastAsia="Cambria" w:hAnsi="Cambria"/>
                <w:b/>
                <w:bCs/>
                <w:sz w:val="20"/>
                <w:szCs w:val="20"/>
              </w:rPr>
              <w:t xml:space="preserve">BLOCKED</w:t>
            </w:r>
          </w:p>
        </w:tc>
        <w:tc>
          <w:tcPr>
            <w:tcW w:type="dxa" w:w="5000"/>
            <w:shd w:fill="FCE4D6" w:color="auto" w:val="clear"/>
            <w:tcMar>
              <w:top w:type="dxa" w:w="100"/>
              <w:left w:type="dxa" w:w="120"/>
              <w:bottom w:type="dxa" w:w="100"/>
              <w:right w:type="dxa" w:w="120"/>
            </w:tcMar>
          </w:tcPr>
          <w:p>
            <w:r>
              <w:rPr>
                <w:rFonts w:ascii="Cambria" w:cs="Cambria" w:eastAsia="Cambria" w:hAnsi="Cambria"/>
                <w:sz w:val="20"/>
                <w:szCs w:val="20"/>
              </w:rPr>
              <w:t xml:space="preserve">A direct programmatic request to a live posting URL was refused with a robots-disallowed response. No automated collection was attempted against this site. This restriction is the reason the MIT-licensed repository was used instead.</w:t>
            </w:r>
          </w:p>
        </w:tc>
      </w:tr>
      <w:tr>
        <w:tc>
          <w:tcPr>
            <w:tcW w:type="dxa" w:w="2300"/>
            <w:tcMar>
              <w:top w:type="dxa" w:w="100"/>
              <w:left w:type="dxa" w:w="120"/>
              <w:bottom w:type="dxa" w:w="100"/>
              <w:right w:type="dxa" w:w="120"/>
            </w:tcMar>
          </w:tcPr>
          <w:p>
            <w:r>
              <w:rPr>
                <w:rFonts w:ascii="Cambria" w:cs="Cambria" w:eastAsia="Cambria" w:hAnsi="Cambria"/>
                <w:b/>
                <w:bCs/>
                <w:sz w:val="20"/>
                <w:szCs w:val="20"/>
              </w:rPr>
              <w:t xml:space="preserve">Personal or sensitive data</w:t>
            </w:r>
          </w:p>
        </w:tc>
        <w:tc>
          <w:tcPr>
            <w:tcW w:type="dxa" w:w="1500"/>
            <w:tcMar>
              <w:top w:type="dxa" w:w="100"/>
              <w:left w:type="dxa" w:w="120"/>
              <w:bottom w:type="dxa" w:w="100"/>
              <w:right w:type="dxa" w:w="120"/>
            </w:tcMar>
          </w:tcPr>
          <w:p>
            <w:r>
              <w:rPr>
                <w:rFonts w:ascii="Cambria" w:cs="Cambria" w:eastAsia="Cambria" w:hAnsi="Cambria"/>
                <w:b/>
                <w:bCs/>
                <w:sz w:val="20"/>
                <w:szCs w:val="20"/>
              </w:rPr>
              <w:t xml:space="preserve">NONE</w:t>
            </w:r>
          </w:p>
        </w:tc>
        <w:tc>
          <w:tcPr>
            <w:tcW w:type="dxa" w:w="5000"/>
            <w:shd w:fill="E2EFDA" w:color="auto" w:val="clear"/>
            <w:tcMar>
              <w:top w:type="dxa" w:w="100"/>
              <w:left w:type="dxa" w:w="120"/>
              <w:bottom w:type="dxa" w:w="100"/>
              <w:right w:type="dxa" w:w="120"/>
            </w:tcMar>
          </w:tcPr>
          <w:p>
            <w:r>
              <w:rPr>
                <w:rFonts w:ascii="Cambria" w:cs="Cambria" w:eastAsia="Cambria" w:hAnsi="Cambria"/>
                <w:sz w:val="20"/>
                <w:szCs w:val="20"/>
              </w:rPr>
              <w:t xml:space="preserve">All 182 records were inspected. Source fields are: id, title, description, category, subCategory, state, targetLevel. No applicant names, no employee details, no contact information, no salary data tied to individuals.</w:t>
            </w:r>
          </w:p>
        </w:tc>
      </w:tr>
      <w:tr>
        <w:tc>
          <w:tcPr>
            <w:tcW w:type="dxa" w:w="2300"/>
            <w:tcMar>
              <w:top w:type="dxa" w:w="100"/>
              <w:left w:type="dxa" w:w="120"/>
              <w:bottom w:type="dxa" w:w="100"/>
              <w:right w:type="dxa" w:w="120"/>
            </w:tcMar>
          </w:tcPr>
          <w:p>
            <w:r>
              <w:rPr>
                <w:rFonts w:ascii="Cambria" w:cs="Cambria" w:eastAsia="Cambria" w:hAnsi="Cambria"/>
                <w:b/>
                <w:bCs/>
                <w:sz w:val="20"/>
                <w:szCs w:val="20"/>
              </w:rPr>
              <w:t xml:space="preserve">Public vs copyrighted</w:t>
            </w:r>
          </w:p>
        </w:tc>
        <w:tc>
          <w:tcPr>
            <w:tcW w:type="dxa" w:w="1500"/>
            <w:tcMar>
              <w:top w:type="dxa" w:w="100"/>
              <w:left w:type="dxa" w:w="120"/>
              <w:bottom w:type="dxa" w:w="100"/>
              <w:right w:type="dxa" w:w="120"/>
            </w:tcMar>
          </w:tcPr>
          <w:p>
            <w:r>
              <w:rPr>
                <w:rFonts w:ascii="Cambria" w:cs="Cambria" w:eastAsia="Cambria" w:hAnsi="Cambria"/>
                <w:sz w:val="20"/>
                <w:szCs w:val="20"/>
              </w:rPr>
              <w:t xml:space="preserve">Cleared</w:t>
            </w:r>
          </w:p>
        </w:tc>
        <w:tc>
          <w:tcPr>
            <w:tcW w:type="dxa" w:w="5000"/>
            <w:tcMar>
              <w:top w:type="dxa" w:w="100"/>
              <w:left w:type="dxa" w:w="120"/>
              <w:bottom w:type="dxa" w:w="100"/>
              <w:right w:type="dxa" w:w="120"/>
            </w:tcMar>
          </w:tcPr>
          <w:p>
            <w:r>
              <w:rPr>
                <w:rFonts w:ascii="Cambria" w:cs="Cambria" w:eastAsia="Cambria" w:hAnsi="Cambria"/>
                <w:sz w:val="20"/>
                <w:szCs w:val="20"/>
              </w:rPr>
              <w:t xml:space="preserve">Descriptions were published publicly for recruitment and re-released by Microsoft under an open licence. Attribution is recorded in the data_source column of every row.</w:t>
            </w:r>
          </w:p>
        </w:tc>
      </w:tr>
    </w:tbl>
    <w:p>
      <w:pPr>
        <w:pStyle w:val="Heading1"/>
        <w:spacing w:after="160" w:before="320"/>
      </w:pPr>
      <w:r>
        <w:rPr>
          <w:rFonts w:ascii="Cambria" w:cs="Cambria" w:eastAsia="Cambria" w:hAnsi="Cambria"/>
          <w:b/>
          <w:bCs/>
          <w:color w:val="1F3864"/>
          <w:sz w:val="32"/>
          <w:szCs w:val="32"/>
        </w:rPr>
        <w:t xml:space="preserve">3.  Required Fields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300"/>
      </w:tblGrid>
      <w:tr>
        <w:trPr>
          <w:tblHeader/>
        </w:trPr>
        <w:tc>
          <w:tcPr>
            <w:tcW w:type="dxa" w:w="2300"/>
            <w:shd w:fill="1F3864" w:color="auto" w:val="clear"/>
            <w:tcMar>
              <w:top w:type="dxa" w:w="100"/>
              <w:left w:type="dxa" w:w="120"/>
              <w:bottom w:type="dxa" w:w="100"/>
              <w:right w:type="dxa" w:w="120"/>
            </w:tcMar>
          </w:tcPr>
          <w:p>
            <w:r>
              <w:rPr>
                <w:rFonts w:ascii="Cambria" w:cs="Cambria" w:eastAsia="Cambria" w:hAnsi="Cambria"/>
                <w:b/>
                <w:bCs/>
                <w:color w:val="FFFFFF"/>
                <w:sz w:val="20"/>
                <w:szCs w:val="20"/>
              </w:rPr>
              <w:t xml:space="preserve">Required field</w:t>
            </w:r>
          </w:p>
        </w:tc>
        <w:tc>
          <w:tcPr>
            <w:tcW w:type="dxa" w:w="1200"/>
            <w:shd w:fill="1F3864" w:color="auto" w:val="clear"/>
            <w:tcMar>
              <w:top w:type="dxa" w:w="100"/>
              <w:left w:type="dxa" w:w="120"/>
              <w:bottom w:type="dxa" w:w="100"/>
              <w:right w:type="dxa" w:w="120"/>
            </w:tcMar>
          </w:tcPr>
          <w:p>
            <w:r>
              <w:rPr>
                <w:rFonts w:ascii="Cambria" w:cs="Cambria" w:eastAsia="Cambria" w:hAnsi="Cambria"/>
                <w:b/>
                <w:bCs/>
                <w:color w:val="FFFFFF"/>
                <w:sz w:val="20"/>
                <w:szCs w:val="20"/>
              </w:rPr>
              <w:t xml:space="preserve">Status</w:t>
            </w:r>
          </w:p>
        </w:tc>
        <w:tc>
          <w:tcPr>
            <w:tcW w:type="dxa" w:w="5300"/>
            <w:shd w:fill="1F3864" w:color="auto" w:val="clear"/>
            <w:tcMar>
              <w:top w:type="dxa" w:w="100"/>
              <w:left w:type="dxa" w:w="120"/>
              <w:bottom w:type="dxa" w:w="100"/>
              <w:right w:type="dxa" w:w="120"/>
            </w:tcMar>
          </w:tcPr>
          <w:p>
            <w:r>
              <w:rPr>
                <w:rFonts w:ascii="Cambria" w:cs="Cambria" w:eastAsia="Cambria" w:hAnsi="Cambria"/>
                <w:b/>
                <w:bCs/>
                <w:color w:val="FFFFFF"/>
                <w:sz w:val="20"/>
                <w:szCs w:val="20"/>
              </w:rPr>
              <w:t xml:space="preserve">Notes</w:t>
            </w:r>
          </w:p>
        </w:tc>
      </w:tr>
      <w:tr>
        <w:tc>
          <w:tcPr>
            <w:tcW w:type="dxa" w:w="2300"/>
            <w:tcMar>
              <w:top w:type="dxa" w:w="100"/>
              <w:left w:type="dxa" w:w="120"/>
              <w:bottom w:type="dxa" w:w="100"/>
              <w:right w:type="dxa" w:w="120"/>
            </w:tcMar>
          </w:tcPr>
          <w:p>
            <w:r>
              <w:rPr>
                <w:rFonts w:ascii="Cambria" w:cs="Cambria" w:eastAsia="Cambria" w:hAnsi="Cambria"/>
                <w:b/>
                <w:bCs/>
                <w:sz w:val="20"/>
                <w:szCs w:val="20"/>
              </w:rPr>
              <w:t xml:space="preserve">job_id</w:t>
            </w:r>
          </w:p>
        </w:tc>
        <w:tc>
          <w:tcPr>
            <w:tcW w:type="dxa" w:w="1200"/>
            <w:shd w:fill="E2EFDA" w:color="auto" w:val="clear"/>
            <w:tcMar>
              <w:top w:type="dxa" w:w="100"/>
              <w:left w:type="dxa" w:w="120"/>
              <w:bottom w:type="dxa" w:w="100"/>
              <w:right w:type="dxa" w:w="120"/>
            </w:tcMar>
          </w:tcPr>
          <w:p>
            <w:r>
              <w:rPr>
                <w:rFonts w:ascii="Cambria" w:cs="Cambria" w:eastAsia="Cambria" w:hAnsi="Cambria"/>
                <w:b/>
                <w:bCs/>
                <w:sz w:val="20"/>
                <w:szCs w:val="20"/>
              </w:rPr>
              <w:t xml:space="preserve">Complete</w:t>
            </w:r>
          </w:p>
        </w:tc>
        <w:tc>
          <w:tcPr>
            <w:tcW w:type="dxa" w:w="5300"/>
            <w:tcMar>
              <w:top w:type="dxa" w:w="100"/>
              <w:left w:type="dxa" w:w="120"/>
              <w:bottom w:type="dxa" w:w="100"/>
              <w:right w:type="dxa" w:w="120"/>
            </w:tcMar>
          </w:tcPr>
          <w:p>
            <w:r>
              <w:rPr>
                <w:rFonts w:ascii="Cambria" w:cs="Cambria" w:eastAsia="Cambria" w:hAnsi="Cambria"/>
                <w:sz w:val="20"/>
                <w:szCs w:val="20"/>
              </w:rPr>
              <w:t xml:space="preserve">Genuine Microsoft requisition IDs, 182 unique values.</w:t>
            </w:r>
          </w:p>
        </w:tc>
      </w:tr>
      <w:tr>
        <w:tc>
          <w:tcPr>
            <w:tcW w:type="dxa" w:w="2300"/>
            <w:tcMar>
              <w:top w:type="dxa" w:w="100"/>
              <w:left w:type="dxa" w:w="120"/>
              <w:bottom w:type="dxa" w:w="100"/>
              <w:right w:type="dxa" w:w="120"/>
            </w:tcMar>
          </w:tcPr>
          <w:p>
            <w:r>
              <w:rPr>
                <w:rFonts w:ascii="Cambria" w:cs="Cambria" w:eastAsia="Cambria" w:hAnsi="Cambria"/>
                <w:b/>
                <w:bCs/>
                <w:sz w:val="20"/>
                <w:szCs w:val="20"/>
              </w:rPr>
              <w:t xml:space="preserve">company_name</w:t>
            </w:r>
          </w:p>
        </w:tc>
        <w:tc>
          <w:tcPr>
            <w:tcW w:type="dxa" w:w="1200"/>
            <w:shd w:fill="E2EFDA" w:color="auto" w:val="clear"/>
            <w:tcMar>
              <w:top w:type="dxa" w:w="100"/>
              <w:left w:type="dxa" w:w="120"/>
              <w:bottom w:type="dxa" w:w="100"/>
              <w:right w:type="dxa" w:w="120"/>
            </w:tcMar>
          </w:tcPr>
          <w:p>
            <w:r>
              <w:rPr>
                <w:rFonts w:ascii="Cambria" w:cs="Cambria" w:eastAsia="Cambria" w:hAnsi="Cambria"/>
                <w:b/>
                <w:bCs/>
                <w:sz w:val="20"/>
                <w:szCs w:val="20"/>
              </w:rPr>
              <w:t xml:space="preserve">Complete</w:t>
            </w:r>
          </w:p>
        </w:tc>
        <w:tc>
          <w:tcPr>
            <w:tcW w:type="dxa" w:w="5300"/>
            <w:tcMar>
              <w:top w:type="dxa" w:w="100"/>
              <w:left w:type="dxa" w:w="120"/>
              <w:bottom w:type="dxa" w:w="100"/>
              <w:right w:type="dxa" w:w="120"/>
            </w:tcMar>
          </w:tcPr>
          <w:p>
            <w:r>
              <w:rPr>
                <w:rFonts w:ascii="Cambria" w:cs="Cambria" w:eastAsia="Cambria" w:hAnsi="Cambria"/>
                <w:sz w:val="20"/>
                <w:szCs w:val="20"/>
              </w:rPr>
              <w:t xml:space="preserve">Constant value: Microsoft.</w:t>
            </w:r>
          </w:p>
        </w:tc>
      </w:tr>
      <w:tr>
        <w:tc>
          <w:tcPr>
            <w:tcW w:type="dxa" w:w="2300"/>
            <w:tcMar>
              <w:top w:type="dxa" w:w="100"/>
              <w:left w:type="dxa" w:w="120"/>
              <w:bottom w:type="dxa" w:w="100"/>
              <w:right w:type="dxa" w:w="120"/>
            </w:tcMar>
          </w:tcPr>
          <w:p>
            <w:r>
              <w:rPr>
                <w:rFonts w:ascii="Cambria" w:cs="Cambria" w:eastAsia="Cambria" w:hAnsi="Cambria"/>
                <w:b/>
                <w:bCs/>
                <w:sz w:val="20"/>
                <w:szCs w:val="20"/>
              </w:rPr>
              <w:t xml:space="preserve">job_title</w:t>
            </w:r>
          </w:p>
        </w:tc>
        <w:tc>
          <w:tcPr>
            <w:tcW w:type="dxa" w:w="1200"/>
            <w:shd w:fill="E2EFDA" w:color="auto" w:val="clear"/>
            <w:tcMar>
              <w:top w:type="dxa" w:w="100"/>
              <w:left w:type="dxa" w:w="120"/>
              <w:bottom w:type="dxa" w:w="100"/>
              <w:right w:type="dxa" w:w="120"/>
            </w:tcMar>
          </w:tcPr>
          <w:p>
            <w:r>
              <w:rPr>
                <w:rFonts w:ascii="Cambria" w:cs="Cambria" w:eastAsia="Cambria" w:hAnsi="Cambria"/>
                <w:b/>
                <w:bCs/>
                <w:sz w:val="20"/>
                <w:szCs w:val="20"/>
              </w:rPr>
              <w:t xml:space="preserve">Complete</w:t>
            </w:r>
          </w:p>
        </w:tc>
        <w:tc>
          <w:tcPr>
            <w:tcW w:type="dxa" w:w="5300"/>
            <w:tcMar>
              <w:top w:type="dxa" w:w="100"/>
              <w:left w:type="dxa" w:w="120"/>
              <w:bottom w:type="dxa" w:w="100"/>
              <w:right w:type="dxa" w:w="120"/>
            </w:tcMar>
          </w:tcPr>
          <w:p>
            <w:r>
              <w:rPr>
                <w:rFonts w:ascii="Cambria" w:cs="Cambria" w:eastAsia="Cambria" w:hAnsi="Cambria"/>
                <w:sz w:val="20"/>
                <w:szCs w:val="20"/>
              </w:rPr>
              <w:t xml:space="preserve">As published. 120 Software Engineering, 27 Program Management, 14 Data &amp; Applied Sciences, plus Design and Service Engineering roles.</w:t>
            </w:r>
          </w:p>
        </w:tc>
      </w:tr>
      <w:tr>
        <w:tc>
          <w:tcPr>
            <w:tcW w:type="dxa" w:w="2300"/>
            <w:tcMar>
              <w:top w:type="dxa" w:w="100"/>
              <w:left w:type="dxa" w:w="120"/>
              <w:bottom w:type="dxa" w:w="100"/>
              <w:right w:type="dxa" w:w="120"/>
            </w:tcMar>
          </w:tcPr>
          <w:p>
            <w:r>
              <w:rPr>
                <w:rFonts w:ascii="Cambria" w:cs="Cambria" w:eastAsia="Cambria" w:hAnsi="Cambria"/>
                <w:b/>
                <w:bCs/>
                <w:sz w:val="20"/>
                <w:szCs w:val="20"/>
              </w:rPr>
              <w:t xml:space="preserve">job_description</w:t>
            </w:r>
          </w:p>
        </w:tc>
        <w:tc>
          <w:tcPr>
            <w:tcW w:type="dxa" w:w="1200"/>
            <w:shd w:fill="E2EFDA" w:color="auto" w:val="clear"/>
            <w:tcMar>
              <w:top w:type="dxa" w:w="100"/>
              <w:left w:type="dxa" w:w="120"/>
              <w:bottom w:type="dxa" w:w="100"/>
              <w:right w:type="dxa" w:w="120"/>
            </w:tcMar>
          </w:tcPr>
          <w:p>
            <w:r>
              <w:rPr>
                <w:rFonts w:ascii="Cambria" w:cs="Cambria" w:eastAsia="Cambria" w:hAnsi="Cambria"/>
                <w:b/>
                <w:bCs/>
                <w:sz w:val="20"/>
                <w:szCs w:val="20"/>
              </w:rPr>
              <w:t xml:space="preserve">Complete</w:t>
            </w:r>
          </w:p>
        </w:tc>
        <w:tc>
          <w:tcPr>
            <w:tcW w:type="dxa" w:w="5300"/>
            <w:tcMar>
              <w:top w:type="dxa" w:w="100"/>
              <w:left w:type="dxa" w:w="120"/>
              <w:bottom w:type="dxa" w:w="100"/>
              <w:right w:type="dxa" w:w="120"/>
            </w:tcMar>
          </w:tcPr>
          <w:p>
            <w:r>
              <w:rPr>
                <w:rFonts w:ascii="Cambria" w:cs="Cambria" w:eastAsia="Cambria" w:hAnsi="Cambria"/>
                <w:sz w:val="20"/>
                <w:szCs w:val="20"/>
              </w:rPr>
              <w:t xml:space="preserve">Full text, no truncation. Mean 3,941 characters; range 1,979 to 8,197. Total corpus 717,316 characters — the main NLP input for Tasks 3 and 4.</w:t>
            </w:r>
          </w:p>
        </w:tc>
      </w:tr>
      <w:tr>
        <w:tc>
          <w:tcPr>
            <w:tcW w:type="dxa" w:w="2300"/>
            <w:tcMar>
              <w:top w:type="dxa" w:w="100"/>
              <w:left w:type="dxa" w:w="120"/>
              <w:bottom w:type="dxa" w:w="100"/>
              <w:right w:type="dxa" w:w="120"/>
            </w:tcMar>
          </w:tcPr>
          <w:p>
            <w:r>
              <w:rPr>
                <w:rFonts w:ascii="Cambria" w:cs="Cambria" w:eastAsia="Cambria" w:hAnsi="Cambria"/>
                <w:b/>
                <w:bCs/>
                <w:sz w:val="20"/>
                <w:szCs w:val="20"/>
              </w:rPr>
              <w:t xml:space="preserve">location</w:t>
            </w:r>
          </w:p>
        </w:tc>
        <w:tc>
          <w:tcPr>
            <w:tcW w:type="dxa" w:w="1200"/>
            <w:shd w:fill="FFF2CC" w:color="auto" w:val="clear"/>
            <w:tcMar>
              <w:top w:type="dxa" w:w="100"/>
              <w:left w:type="dxa" w:w="120"/>
              <w:bottom w:type="dxa" w:w="100"/>
              <w:right w:type="dxa" w:w="120"/>
            </w:tcMar>
          </w:tcPr>
          <w:p>
            <w:r>
              <w:rPr>
                <w:rFonts w:ascii="Cambria" w:cs="Cambria" w:eastAsia="Cambria" w:hAnsi="Cambria"/>
                <w:b/>
                <w:bCs/>
                <w:sz w:val="20"/>
                <w:szCs w:val="20"/>
              </w:rPr>
              <w:t xml:space="preserve">Partial</w:t>
            </w:r>
          </w:p>
        </w:tc>
        <w:tc>
          <w:tcPr>
            <w:tcW w:type="dxa" w:w="5300"/>
            <w:tcMar>
              <w:top w:type="dxa" w:w="100"/>
              <w:left w:type="dxa" w:w="120"/>
              <w:bottom w:type="dxa" w:w="100"/>
              <w:right w:type="dxa" w:w="120"/>
            </w:tcMar>
          </w:tcPr>
          <w:p>
            <w:r>
              <w:rPr>
                <w:rFonts w:ascii="Cambria" w:cs="Cambria" w:eastAsia="Cambria" w:hAnsi="Cambria"/>
                <w:sz w:val="20"/>
                <w:szCs w:val="20"/>
              </w:rPr>
              <w:t xml:space="preserve">State-level only: 181 Washington, 1 California. No city or country granularity.</w:t>
            </w:r>
          </w:p>
        </w:tc>
      </w:tr>
      <w:tr>
        <w:tc>
          <w:tcPr>
            <w:tcW w:type="dxa" w:w="2300"/>
            <w:tcMar>
              <w:top w:type="dxa" w:w="100"/>
              <w:left w:type="dxa" w:w="120"/>
              <w:bottom w:type="dxa" w:w="100"/>
              <w:right w:type="dxa" w:w="120"/>
            </w:tcMar>
          </w:tcPr>
          <w:p>
            <w:r>
              <w:rPr>
                <w:rFonts w:ascii="Cambria" w:cs="Cambria" w:eastAsia="Cambria" w:hAnsi="Cambria"/>
                <w:b/>
                <w:bCs/>
                <w:sz w:val="20"/>
                <w:szCs w:val="20"/>
              </w:rPr>
              <w:t xml:space="preserve">job_url</w:t>
            </w:r>
          </w:p>
        </w:tc>
        <w:tc>
          <w:tcPr>
            <w:tcW w:type="dxa" w:w="1200"/>
            <w:shd w:fill="FFF2CC" w:color="auto" w:val="clear"/>
            <w:tcMar>
              <w:top w:type="dxa" w:w="100"/>
              <w:left w:type="dxa" w:w="120"/>
              <w:bottom w:type="dxa" w:w="100"/>
              <w:right w:type="dxa" w:w="120"/>
            </w:tcMar>
          </w:tcPr>
          <w:p>
            <w:r>
              <w:rPr>
                <w:rFonts w:ascii="Cambria" w:cs="Cambria" w:eastAsia="Cambria" w:hAnsi="Cambria"/>
                <w:b/>
                <w:bCs/>
                <w:sz w:val="20"/>
                <w:szCs w:val="20"/>
              </w:rPr>
              <w:t xml:space="preserve">Derived</w:t>
            </w:r>
          </w:p>
        </w:tc>
        <w:tc>
          <w:tcPr>
            <w:tcW w:type="dxa" w:w="5300"/>
            <w:tcMar>
              <w:top w:type="dxa" w:w="100"/>
              <w:left w:type="dxa" w:w="120"/>
              <w:bottom w:type="dxa" w:w="100"/>
              <w:right w:type="dxa" w:w="120"/>
            </w:tcMar>
          </w:tcPr>
          <w:p>
            <w:r>
              <w:rPr>
                <w:rFonts w:ascii="Cambria" w:cs="Cambria" w:eastAsia="Cambria" w:hAnsi="Cambria"/>
                <w:sz w:val="20"/>
                <w:szCs w:val="20"/>
              </w:rPr>
              <w:t xml:space="preserve">Reconstructed from job_id against the standard Microsoft careers URL pattern. Not individually verified, as the site blocks automated requests.</w:t>
            </w:r>
          </w:p>
        </w:tc>
      </w:tr>
      <w:tr>
        <w:tc>
          <w:tcPr>
            <w:tcW w:type="dxa" w:w="2300"/>
            <w:tcMar>
              <w:top w:type="dxa" w:w="100"/>
              <w:left w:type="dxa" w:w="120"/>
              <w:bottom w:type="dxa" w:w="100"/>
              <w:right w:type="dxa" w:w="120"/>
            </w:tcMar>
          </w:tcPr>
          <w:p>
            <w:r>
              <w:rPr>
                <w:rFonts w:ascii="Cambria" w:cs="Cambria" w:eastAsia="Cambria" w:hAnsi="Cambria"/>
                <w:b/>
                <w:bCs/>
                <w:sz w:val="20"/>
                <w:szCs w:val="20"/>
              </w:rPr>
              <w:t xml:space="preserve">posting_date</w:t>
            </w:r>
          </w:p>
        </w:tc>
        <w:tc>
          <w:tcPr>
            <w:tcW w:type="dxa" w:w="1200"/>
            <w:shd w:fill="FCE4D6" w:color="auto" w:val="clear"/>
            <w:tcMar>
              <w:top w:type="dxa" w:w="100"/>
              <w:left w:type="dxa" w:w="120"/>
              <w:bottom w:type="dxa" w:w="100"/>
              <w:right w:type="dxa" w:w="120"/>
            </w:tcMar>
          </w:tcPr>
          <w:p>
            <w:r>
              <w:rPr>
                <w:rFonts w:ascii="Cambria" w:cs="Cambria" w:eastAsia="Cambria" w:hAnsi="Cambria"/>
                <w:b/>
                <w:bCs/>
                <w:sz w:val="20"/>
                <w:szCs w:val="20"/>
              </w:rPr>
              <w:t xml:space="preserve">MISSING</w:t>
            </w:r>
          </w:p>
        </w:tc>
        <w:tc>
          <w:tcPr>
            <w:tcW w:type="dxa" w:w="5300"/>
            <w:tcMar>
              <w:top w:type="dxa" w:w="100"/>
              <w:left w:type="dxa" w:w="120"/>
              <w:bottom w:type="dxa" w:w="100"/>
              <w:right w:type="dxa" w:w="120"/>
            </w:tcMar>
          </w:tcPr>
          <w:p>
            <w:r>
              <w:rPr>
                <w:rFonts w:ascii="Cambria" w:cs="Cambria" w:eastAsia="Cambria" w:hAnsi="Cambria"/>
                <w:sz w:val="20"/>
                <w:szCs w:val="20"/>
              </w:rPr>
              <w:t xml:space="preserve">Not present in the source file. This is the most significant gap — see Limitations.</w:t>
            </w:r>
          </w:p>
        </w:tc>
      </w:tr>
    </w:tbl>
    <w:p>
      <w:pPr>
        <w:spacing w:after="120" w:before="220"/>
      </w:pPr>
    </w:p>
    <w:p>
      <w:pPr>
        <w:spacing w:after="140"/>
      </w:pPr>
      <w:r>
        <w:rPr>
          <w:rFonts w:ascii="Cambria" w:cs="Cambria" w:eastAsia="Cambria" w:hAnsi="Cambria"/>
          <w:i/>
          <w:iCs/>
          <w:sz w:val="22"/>
          <w:szCs w:val="22"/>
        </w:rPr>
        <w:t xml:space="preserve">Additional fields captured beyond the required set: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3864" w:color="auto" w:val="clear"/>
            <w:tcMar>
              <w:top w:type="dxa" w:w="100"/>
              <w:left w:type="dxa" w:w="120"/>
              <w:bottom w:type="dxa" w:w="100"/>
              <w:right w:type="dxa" w:w="120"/>
            </w:tcMar>
          </w:tcPr>
          <w:p>
            <w:r>
              <w:rPr>
                <w:rFonts w:ascii="Cambria" w:cs="Cambria" w:eastAsia="Cambria" w:hAnsi="Cambria"/>
                <w:b/>
                <w:bCs/>
                <w:color w:val="FFFFFF"/>
                <w:sz w:val="20"/>
                <w:szCs w:val="20"/>
              </w:rPr>
              <w:t xml:space="preserve">Field</w:t>
            </w:r>
          </w:p>
        </w:tc>
        <w:tc>
          <w:tcPr>
            <w:tcW w:type="dxa" w:w="6200"/>
            <w:shd w:fill="1F3864" w:color="auto" w:val="clear"/>
            <w:tcMar>
              <w:top w:type="dxa" w:w="100"/>
              <w:left w:type="dxa" w:w="120"/>
              <w:bottom w:type="dxa" w:w="100"/>
              <w:right w:type="dxa" w:w="120"/>
            </w:tcMar>
          </w:tcPr>
          <w:p>
            <w:r>
              <w:rPr>
                <w:rFonts w:ascii="Cambria" w:cs="Cambria" w:eastAsia="Cambria" w:hAnsi="Cambria"/>
                <w:b/>
                <w:bCs/>
                <w:color w:val="FFFFFF"/>
                <w:sz w:val="20"/>
                <w:szCs w:val="20"/>
              </w:rPr>
              <w:t xml:space="preserve">Description</w:t>
            </w:r>
          </w:p>
        </w:tc>
      </w:tr>
      <w:tr>
        <w:tc>
          <w:tcPr>
            <w:tcW w:type="dxa" w:w="2600"/>
            <w:tcMar>
              <w:top w:type="dxa" w:w="100"/>
              <w:left w:type="dxa" w:w="120"/>
              <w:bottom w:type="dxa" w:w="100"/>
              <w:right w:type="dxa" w:w="120"/>
            </w:tcMar>
          </w:tcPr>
          <w:p>
            <w:r>
              <w:rPr>
                <w:rFonts w:ascii="Cambria" w:cs="Cambria" w:eastAsia="Cambria" w:hAnsi="Cambria"/>
                <w:b/>
                <w:bCs/>
                <w:sz w:val="20"/>
                <w:szCs w:val="20"/>
              </w:rPr>
              <w:t xml:space="preserve">department_job_category</w:t>
            </w:r>
          </w:p>
        </w:tc>
        <w:tc>
          <w:tcPr>
            <w:tcW w:type="dxa" w:w="6200"/>
            <w:tcMar>
              <w:top w:type="dxa" w:w="100"/>
              <w:left w:type="dxa" w:w="120"/>
              <w:bottom w:type="dxa" w:w="100"/>
              <w:right w:type="dxa" w:w="120"/>
            </w:tcMar>
          </w:tcPr>
          <w:p>
            <w:r>
              <w:rPr>
                <w:rFonts w:ascii="Cambria" w:cs="Cambria" w:eastAsia="Cambria" w:hAnsi="Cambria"/>
                <w:sz w:val="20"/>
                <w:szCs w:val="20"/>
              </w:rPr>
              <w:t xml:space="preserve">Top-level function. All 182 records are Engineering.</w:t>
            </w:r>
          </w:p>
        </w:tc>
      </w:tr>
      <w:tr>
        <w:tc>
          <w:tcPr>
            <w:tcW w:type="dxa" w:w="2600"/>
            <w:tcMar>
              <w:top w:type="dxa" w:w="100"/>
              <w:left w:type="dxa" w:w="120"/>
              <w:bottom w:type="dxa" w:w="100"/>
              <w:right w:type="dxa" w:w="120"/>
            </w:tcMar>
          </w:tcPr>
          <w:p>
            <w:r>
              <w:rPr>
                <w:rFonts w:ascii="Cambria" w:cs="Cambria" w:eastAsia="Cambria" w:hAnsi="Cambria"/>
                <w:b/>
                <w:bCs/>
                <w:sz w:val="20"/>
                <w:szCs w:val="20"/>
              </w:rPr>
              <w:t xml:space="preserve">job_family_subcategory</w:t>
            </w:r>
          </w:p>
        </w:tc>
        <w:tc>
          <w:tcPr>
            <w:tcW w:type="dxa" w:w="6200"/>
            <w:tcMar>
              <w:top w:type="dxa" w:w="100"/>
              <w:left w:type="dxa" w:w="120"/>
              <w:bottom w:type="dxa" w:w="100"/>
              <w:right w:type="dxa" w:w="120"/>
            </w:tcMar>
          </w:tcPr>
          <w:p>
            <w:r>
              <w:rPr>
                <w:rFonts w:ascii="Cambria" w:cs="Cambria" w:eastAsia="Cambria" w:hAnsi="Cambria"/>
                <w:sz w:val="20"/>
                <w:szCs w:val="20"/>
              </w:rPr>
              <w:t xml:space="preserve">Seven distinct sub-functions, giving role-type granularity for comparison work.</w:t>
            </w:r>
          </w:p>
        </w:tc>
      </w:tr>
      <w:tr>
        <w:tc>
          <w:tcPr>
            <w:tcW w:type="dxa" w:w="2600"/>
            <w:tcMar>
              <w:top w:type="dxa" w:w="100"/>
              <w:left w:type="dxa" w:w="120"/>
              <w:bottom w:type="dxa" w:w="100"/>
              <w:right w:type="dxa" w:w="120"/>
            </w:tcMar>
          </w:tcPr>
          <w:p>
            <w:r>
              <w:rPr>
                <w:rFonts w:ascii="Cambria" w:cs="Cambria" w:eastAsia="Cambria" w:hAnsi="Cambria"/>
                <w:b/>
                <w:bCs/>
                <w:sz w:val="20"/>
                <w:szCs w:val="20"/>
              </w:rPr>
              <w:t xml:space="preserve">ms_internal_level</w:t>
            </w:r>
          </w:p>
        </w:tc>
        <w:tc>
          <w:tcPr>
            <w:tcW w:type="dxa" w:w="6200"/>
            <w:tcMar>
              <w:top w:type="dxa" w:w="100"/>
              <w:left w:type="dxa" w:w="120"/>
              <w:bottom w:type="dxa" w:w="100"/>
              <w:right w:type="dxa" w:w="120"/>
            </w:tcMar>
          </w:tcPr>
          <w:p>
            <w:r>
              <w:rPr>
                <w:rFonts w:ascii="Cambria" w:cs="Cambria" w:eastAsia="Cambria" w:hAnsi="Cambria"/>
                <w:sz w:val="20"/>
                <w:szCs w:val="20"/>
              </w:rPr>
              <w:t xml:space="preserve">Microsoft's own internal level number, ranging 59 to 67. An unusually precise seniority signal that most public job data does not carry.</w:t>
            </w:r>
          </w:p>
        </w:tc>
      </w:tr>
      <w:tr>
        <w:tc>
          <w:tcPr>
            <w:tcW w:type="dxa" w:w="2600"/>
            <w:tcMar>
              <w:top w:type="dxa" w:w="100"/>
              <w:left w:type="dxa" w:w="120"/>
              <w:bottom w:type="dxa" w:w="100"/>
              <w:right w:type="dxa" w:w="120"/>
            </w:tcMar>
          </w:tcPr>
          <w:p>
            <w:r>
              <w:rPr>
                <w:rFonts w:ascii="Cambria" w:cs="Cambria" w:eastAsia="Cambria" w:hAnsi="Cambria"/>
                <w:b/>
                <w:bCs/>
                <w:sz w:val="20"/>
                <w:szCs w:val="20"/>
              </w:rPr>
              <w:t xml:space="preserve">seniority_level</w:t>
            </w:r>
          </w:p>
        </w:tc>
        <w:tc>
          <w:tcPr>
            <w:tcW w:type="dxa" w:w="6200"/>
            <w:tcMar>
              <w:top w:type="dxa" w:w="100"/>
              <w:left w:type="dxa" w:w="120"/>
              <w:bottom w:type="dxa" w:w="100"/>
              <w:right w:type="dxa" w:w="120"/>
            </w:tcMar>
          </w:tcPr>
          <w:p>
            <w:r>
              <w:rPr>
                <w:rFonts w:ascii="Cambria" w:cs="Cambria" w:eastAsia="Cambria" w:hAnsi="Cambria"/>
                <w:sz w:val="20"/>
                <w:szCs w:val="20"/>
              </w:rPr>
              <w:t xml:space="preserve">Derived from title keywords: 51 Senior, 48 Mid, 24 Principal, 59 Unspecified.</w:t>
            </w:r>
          </w:p>
        </w:tc>
      </w:tr>
      <w:tr>
        <w:tc>
          <w:tcPr>
            <w:tcW w:type="dxa" w:w="2600"/>
            <w:tcMar>
              <w:top w:type="dxa" w:w="100"/>
              <w:left w:type="dxa" w:w="120"/>
              <w:bottom w:type="dxa" w:w="100"/>
              <w:right w:type="dxa" w:w="120"/>
            </w:tcMar>
          </w:tcPr>
          <w:p>
            <w:r>
              <w:rPr>
                <w:rFonts w:ascii="Cambria" w:cs="Cambria" w:eastAsia="Cambria" w:hAnsi="Cambria"/>
                <w:b/>
                <w:bCs/>
                <w:sz w:val="20"/>
                <w:szCs w:val="20"/>
              </w:rPr>
              <w:t xml:space="preserve">company_industry_sector</w:t>
            </w:r>
          </w:p>
        </w:tc>
        <w:tc>
          <w:tcPr>
            <w:tcW w:type="dxa" w:w="6200"/>
            <w:tcMar>
              <w:top w:type="dxa" w:w="100"/>
              <w:left w:type="dxa" w:w="120"/>
              <w:bottom w:type="dxa" w:w="100"/>
              <w:right w:type="dxa" w:w="120"/>
            </w:tcMar>
          </w:tcPr>
          <w:p>
            <w:r>
              <w:rPr>
                <w:rFonts w:ascii="Cambria" w:cs="Cambria" w:eastAsia="Cambria" w:hAnsi="Cambria"/>
                <w:sz w:val="20"/>
                <w:szCs w:val="20"/>
              </w:rPr>
              <w:t xml:space="preserve">Constant value: Technology. Used for grouping in cross-company comparison.</w:t>
            </w:r>
          </w:p>
        </w:tc>
      </w:tr>
      <w:tr>
        <w:tc>
          <w:tcPr>
            <w:tcW w:type="dxa" w:w="2600"/>
            <w:tcMar>
              <w:top w:type="dxa" w:w="100"/>
              <w:left w:type="dxa" w:w="120"/>
              <w:bottom w:type="dxa" w:w="100"/>
              <w:right w:type="dxa" w:w="120"/>
            </w:tcMar>
          </w:tcPr>
          <w:p>
            <w:r>
              <w:rPr>
                <w:rFonts w:ascii="Cambria" w:cs="Cambria" w:eastAsia="Cambria" w:hAnsi="Cambria"/>
                <w:b/>
                <w:bCs/>
                <w:sz w:val="20"/>
                <w:szCs w:val="20"/>
              </w:rPr>
              <w:t xml:space="preserve">data_source</w:t>
            </w:r>
          </w:p>
        </w:tc>
        <w:tc>
          <w:tcPr>
            <w:tcW w:type="dxa" w:w="6200"/>
            <w:tcMar>
              <w:top w:type="dxa" w:w="100"/>
              <w:left w:type="dxa" w:w="120"/>
              <w:bottom w:type="dxa" w:w="100"/>
              <w:right w:type="dxa" w:w="120"/>
            </w:tcMar>
          </w:tcPr>
          <w:p>
            <w:r>
              <w:rPr>
                <w:rFonts w:ascii="Cambria" w:cs="Cambria" w:eastAsia="Cambria" w:hAnsi="Cambria"/>
                <w:sz w:val="20"/>
                <w:szCs w:val="20"/>
              </w:rPr>
              <w:t xml:space="preserve">Provenance and licence recorded on every row, satisfying the MIT attribution requirement.</w:t>
            </w:r>
          </w:p>
        </w:tc>
      </w:tr>
    </w:tbl>
    <w:p>
      <w:pPr>
        <w:spacing w:after="100" w:before="200"/>
      </w:pPr>
    </w:p>
    <w:p>
      <w:pPr>
        <w:spacing w:after="120"/>
      </w:pPr>
      <w:r>
        <w:rPr>
          <w:rFonts w:ascii="Cambria" w:cs="Cambria" w:eastAsia="Cambria" w:hAnsi="Cambria"/>
          <w:sz w:val="22"/>
          <w:szCs w:val="22"/>
        </w:rPr>
        <w:t xml:space="preserve">A further thirteen columns are present but deliberately empty — extracted_skills, skill_categories, tech_stack_tags, cleaned_description, embedding_vector and similar. These are outputs of Tasks 3, 4, 7 and 8 rather than collected data, and the schema reserves them so the file structure stays stable as the project progresses.</w:t>
      </w:r>
    </w:p>
    <w:p>
      <w:pPr>
        <w:pStyle w:val="Heading1"/>
        <w:spacing w:after="160" w:before="320"/>
      </w:pPr>
      <w:r>
        <w:rPr>
          <w:rFonts w:ascii="Cambria" w:cs="Cambria" w:eastAsia="Cambria" w:hAnsi="Cambria"/>
          <w:b/>
          <w:bCs/>
          <w:color w:val="1F3864"/>
          <w:sz w:val="32"/>
          <w:szCs w:val="32"/>
        </w:rPr>
        <w:t xml:space="preserve">4.  Limitations</w:t>
      </w:r>
    </w:p>
    <w:p>
      <w:pPr>
        <w:pStyle w:val="ListParagraph"/>
        <w:numPr>
          <w:ilvl w:val="0"/>
          <w:numId w:val="1"/>
        </w:numPr>
        <w:spacing w:after="100"/>
      </w:pPr>
      <w:r>
        <w:rPr>
          <w:rFonts w:ascii="Cambria" w:cs="Cambria" w:eastAsia="Cambria" w:hAnsi="Cambria"/>
          <w:b/>
          <w:bCs/>
          <w:sz w:val="22"/>
          <w:szCs w:val="22"/>
        </w:rPr>
        <w:t xml:space="preserve">No posting dates. </w:t>
      </w:r>
      <w:r>
        <w:rPr>
          <w:rFonts w:ascii="Cambria" w:cs="Cambria" w:eastAsia="Cambria" w:hAnsi="Cambria"/>
          <w:sz w:val="22"/>
          <w:szCs w:val="22"/>
        </w:rPr>
        <w:t xml:space="preserve">The source carries none. Tasks 5 and 7 depend on time-series signal, so this constrains hiring-velocity and forecasting work directly. Two mitigations are open: recovering approximate dates from Wayback Machine snapshots of the careers site, or agreeing with the mentor that cross-sectional analysis is acceptable for this company. This should be raised now rather than at Task 5.</w:t>
      </w:r>
    </w:p>
    <w:p>
      <w:pPr>
        <w:pStyle w:val="ListParagraph"/>
        <w:numPr>
          <w:ilvl w:val="0"/>
          <w:numId w:val="1"/>
        </w:numPr>
        <w:spacing w:after="100"/>
      </w:pPr>
      <w:r>
        <w:rPr>
          <w:rFonts w:ascii="Cambria" w:cs="Cambria" w:eastAsia="Cambria" w:hAnsi="Cambria"/>
          <w:b/>
          <w:bCs/>
          <w:sz w:val="22"/>
          <w:szCs w:val="22"/>
        </w:rPr>
        <w:t xml:space="preserve">Engineering only. </w:t>
      </w:r>
      <w:r>
        <w:rPr>
          <w:rFonts w:ascii="Cambria" w:cs="Cambria" w:eastAsia="Cambria" w:hAnsi="Cambria"/>
          <w:sz w:val="22"/>
          <w:szCs w:val="22"/>
        </w:rPr>
        <w:t xml:space="preserve">All 182 records sit under a single top-level category. Sales, Finance, Marketing and Operations hiring is absent, so conclusions describe Microsoft's engineering demand rather than company-wide strategy.</w:t>
      </w:r>
    </w:p>
    <w:p>
      <w:pPr>
        <w:pStyle w:val="ListParagraph"/>
        <w:numPr>
          <w:ilvl w:val="0"/>
          <w:numId w:val="1"/>
        </w:numPr>
        <w:spacing w:after="100"/>
      </w:pPr>
      <w:r>
        <w:rPr>
          <w:rFonts w:ascii="Cambria" w:cs="Cambria" w:eastAsia="Cambria" w:hAnsi="Cambria"/>
          <w:b/>
          <w:bCs/>
          <w:sz w:val="22"/>
          <w:szCs w:val="22"/>
        </w:rPr>
        <w:t xml:space="preserve">Geographically narrow. </w:t>
      </w:r>
      <w:r>
        <w:rPr>
          <w:rFonts w:ascii="Cambria" w:cs="Cambria" w:eastAsia="Cambria" w:hAnsi="Cambria"/>
          <w:sz w:val="22"/>
          <w:szCs w:val="22"/>
        </w:rPr>
        <w:t xml:space="preserve">181 of 182 postings are Washington state. Regional and remote-versus-onsite analysis is not possible from this data alone.</w:t>
      </w:r>
    </w:p>
    <w:p>
      <w:pPr>
        <w:pStyle w:val="ListParagraph"/>
        <w:numPr>
          <w:ilvl w:val="0"/>
          <w:numId w:val="1"/>
        </w:numPr>
        <w:spacing w:after="100"/>
      </w:pPr>
      <w:r>
        <w:rPr>
          <w:rFonts w:ascii="Cambria" w:cs="Cambria" w:eastAsia="Cambria" w:hAnsi="Cambria"/>
          <w:b/>
          <w:bCs/>
          <w:sz w:val="22"/>
          <w:szCs w:val="22"/>
        </w:rPr>
        <w:t xml:space="preserve">A sample, not a census. </w:t>
      </w:r>
      <w:r>
        <w:rPr>
          <w:rFonts w:ascii="Cambria" w:cs="Cambria" w:eastAsia="Cambria" w:hAnsi="Cambria"/>
          <w:sz w:val="22"/>
          <w:szCs w:val="22"/>
        </w:rPr>
        <w:t xml:space="preserve">Microsoft published this as demonstration data, so it is not a complete snapshot of hiring at any point in time and volumes should not be read as market share.</w:t>
      </w:r>
    </w:p>
    <w:p>
      <w:pPr>
        <w:pStyle w:val="ListParagraph"/>
        <w:numPr>
          <w:ilvl w:val="0"/>
          <w:numId w:val="1"/>
        </w:numPr>
        <w:spacing w:after="100"/>
      </w:pPr>
      <w:r>
        <w:rPr>
          <w:rFonts w:ascii="Cambria" w:cs="Cambria" w:eastAsia="Cambria" w:hAnsi="Cambria"/>
          <w:b/>
          <w:bCs/>
          <w:sz w:val="22"/>
          <w:szCs w:val="22"/>
        </w:rPr>
        <w:t xml:space="preserve">Job URLs are reconstructed. </w:t>
      </w:r>
      <w:r>
        <w:rPr>
          <w:rFonts w:ascii="Cambria" w:cs="Cambria" w:eastAsia="Cambria" w:hAnsi="Cambria"/>
          <w:sz w:val="22"/>
          <w:szCs w:val="22"/>
        </w:rPr>
        <w:t xml:space="preserve">Built from job IDs using the standard careers URL pattern. Older requisitions have likely expired, and the links could not be validated automatically because the site blocks such requests.</w:t>
      </w:r>
    </w:p>
    <w:p>
      <w:pPr>
        <w:pStyle w:val="Heading1"/>
        <w:spacing w:after="160" w:before="320"/>
      </w:pPr>
      <w:r>
        <w:rPr>
          <w:rFonts w:ascii="Cambria" w:cs="Cambria" w:eastAsia="Cambria" w:hAnsi="Cambria"/>
          <w:b/>
          <w:bCs/>
          <w:color w:val="1F3864"/>
          <w:sz w:val="32"/>
          <w:szCs w:val="32"/>
        </w:rPr>
        <w:t xml:space="preserve">5.  Assessment</w:t>
      </w:r>
    </w:p>
    <w:p>
      <w:pPr>
        <w:spacing w:after="160"/>
      </w:pPr>
      <w:r>
        <w:rPr>
          <w:rFonts w:ascii="Cambria" w:cs="Cambria" w:eastAsia="Cambria" w:hAnsi="Cambria"/>
          <w:sz w:val="22"/>
          <w:szCs w:val="22"/>
        </w:rPr>
        <w:t xml:space="preserve">The dataset is strong where this project needs it most. </w:t>
      </w:r>
      <w:r>
        <w:rPr>
          <w:rFonts w:ascii="Cambria" w:cs="Cambria" w:eastAsia="Cambria" w:hAnsi="Cambria"/>
          <w:b/>
          <w:bCs/>
          <w:sz w:val="22"/>
          <w:szCs w:val="22"/>
        </w:rPr>
        <w:t xml:space="preserve">717,316 characters of full job-description text across 182 postings</w:t>
      </w:r>
      <w:r>
        <w:rPr>
          <w:rFonts w:ascii="Cambria" w:cs="Cambria" w:eastAsia="Cambria" w:hAnsi="Cambria"/>
          <w:sz w:val="22"/>
          <w:szCs w:val="22"/>
        </w:rPr>
        <w:t xml:space="preserve"> gives a solid corpus for NLP preprocessing (Task 3), skill extraction (Task 4), competitor comparison (Task 6) and similarity scoring (Task 8). Microsoft's internal level numbers add seniority precision rarely available in public job data. The weakness is temporal: without posting dates, the forecasting tasks need either supplementary collection or an agreed change of scope.</w:t>
      </w:r>
    </w:p>
    <w:p>
      <w:pPr>
        <w:pStyle w:val="Heading2"/>
        <w:spacing w:after="160" w:before="320"/>
      </w:pPr>
      <w:r>
        <w:rPr>
          <w:rFonts w:ascii="Cambria" w:cs="Cambria" w:eastAsia="Cambria" w:hAnsi="Cambria"/>
          <w:b/>
          <w:bCs/>
          <w:color w:val="1F3864"/>
          <w:sz w:val="26"/>
          <w:szCs w:val="26"/>
        </w:rPr>
        <w:t xml:space="preserve">Task 2 Submission Checklist</w:t>
      </w:r>
    </w:p>
    <w:p>
      <w:pPr>
        <w:spacing w:after="100"/>
      </w:pPr>
      <w:r>
        <w:rPr>
          <w:rFonts w:ascii="Cambria" w:cs="Cambria" w:eastAsia="Cambria" w:hAnsi="Cambria"/>
          <w:sz w:val="22"/>
          <w:szCs w:val="22"/>
        </w:rPr>
        <w:t xml:space="preserve">☑  Data Collection Report — sources, legal checks, fields, limitations</w:t>
      </w:r>
    </w:p>
    <w:p>
      <w:pPr>
        <w:spacing w:after="100"/>
      </w:pPr>
      <w:r>
        <w:rPr>
          <w:rFonts w:ascii="Cambria" w:cs="Cambria" w:eastAsia="Cambria" w:hAnsi="Cambria"/>
          <w:sz w:val="22"/>
          <w:szCs w:val="22"/>
        </w:rPr>
        <w:t xml:space="preserve">☑  Raw collected dataset — microsoft_jobs_dataset.csv, 182 rows</w:t>
      </w:r>
    </w:p>
    <w:p>
      <w:pPr>
        <w:spacing w:after="100"/>
      </w:pPr>
      <w:r>
        <w:rPr>
          <w:rFonts w:ascii="Cambria" w:cs="Cambria" w:eastAsia="Cambria" w:hAnsi="Cambria"/>
          <w:i/>
          <w:iCs/>
          <w:sz w:val="22"/>
          <w:szCs w:val="22"/>
        </w:rPr>
        <w:t xml:space="preserve">☐  Uploaded to shared GitHub repository under data/raw/microsoft/</w:t>
      </w:r>
    </w:p>
    <w:p>
      <w:pPr>
        <w:spacing w:after="100"/>
      </w:pPr>
      <w:r>
        <w:rPr>
          <w:rFonts w:ascii="Cambria" w:cs="Cambria" w:eastAsia="Cambria" w:hAnsi="Cambria"/>
          <w:i/>
          <w:iCs/>
          <w:sz w:val="22"/>
          <w:szCs w:val="22"/>
        </w:rPr>
        <w:t xml:space="preserve">☐  Posting-date gap raised with mentor and team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2026-09-07T18:12:04.337Z</dcterms:created>
  <dcterms:modified xsi:type="dcterms:W3CDTF">2026-09-07T18:12:04.349Z</dcterms:modified>
</cp:coreProperties>
</file>

<file path=docProps/custom.xml><?xml version="1.0" encoding="utf-8"?>
<Properties xmlns="http://schemas.openxmlformats.org/officeDocument/2006/custom-properties" xmlns:vt="http://schemas.openxmlformats.org/officeDocument/2006/docPropsVTypes"/>
</file>