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b/>
          <w:color w:val="111827"/>
          <w:sz w:val="40"/>
        </w:rPr>
        <w:t>Academic Research Proposal</w:t>
      </w:r>
    </w:p>
    <w:p>
      <w:pPr>
        <w:keepNext/>
        <w:spacing w:before="280" w:after="120"/>
      </w:pPr>
      <w:r>
        <w:rPr>
          <w:b/>
          <w:color w:val="1E3A8A"/>
          <w:sz w:val="30"/>
        </w:rPr>
        <w:t>Title: Explainable Artificial Intelligence and Document-Oriented Asynchronous Architectures for Durable Asset Subscription Platforms</w:t>
      </w:r>
    </w:p>
    <w:p>
      <w:pPr>
        <w:spacing w:after="120" w:before="0" w:line="276" w:lineRule="auto"/>
      </w:pPr>
      <w:r>
        <w:rPr>
          <w:b/>
        </w:rPr>
        <w:t>Principal Investigator / Research Lead</w:t>
      </w:r>
      <w:r>
        <w:t>: SDC-II Capstone Research Group</w:t>
      </w:r>
    </w:p>
    <w:p>
      <w:pPr>
        <w:spacing w:after="120" w:before="0" w:line="276" w:lineRule="auto"/>
      </w:pPr>
      <w:r>
        <w:rPr>
          <w:b/>
        </w:rPr>
        <w:t>Target Submission / Milestone</w:t>
      </w:r>
      <w:r>
        <w:t>: Master Capstone Thesis &amp; Conference Proceedings</w:t>
      </w:r>
    </w:p>
    <w:p>
      <w:pPr>
        <w:spacing w:after="120" w:before="0" w:line="276" w:lineRule="auto"/>
      </w:pPr>
      <w:r>
        <w:rPr>
          <w:b/>
        </w:rPr>
        <w:t>Document Version</w:t>
      </w:r>
      <w:r>
        <w:t>: 1.0.0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1. Research Context and Background</w:t>
      </w:r>
    </w:p>
    <w:p>
      <w:pPr>
        <w:spacing w:after="120" w:before="0" w:line="276" w:lineRule="auto"/>
      </w:pPr>
      <w:r>
        <w:t xml:space="preserve">The global durable goods subscription economy (covering home appliances, consumer electronics, and furniture) is expanding at a Compound Annual Growth Rate (CAGR) exceeding $12.5\%$. Despite robust consumer interest, operational profitability is bounded by </w:t>
      </w:r>
      <w:r>
        <w:rPr>
          <w:b/>
        </w:rPr>
        <w:t>customer churn dynamics</w:t>
      </w:r>
      <w:r>
        <w:t>. Retaining an existing subscriber costs approximately $80\%$ less than acquiring a new user through performance marketing.</w:t>
      </w:r>
    </w:p>
    <w:p>
      <w:pPr>
        <w:spacing w:after="120" w:before="0" w:line="276" w:lineRule="auto"/>
      </w:pPr>
      <w:r>
        <w:t>However, existing operational platforms suffer from:</w:t>
      </w:r>
    </w:p>
    <w:p>
      <w:pPr>
        <w:pStyle w:val="ListNumber"/>
        <w:spacing w:before="20" w:after="40" w:line="276" w:lineRule="auto"/>
      </w:pPr>
      <w:r>
        <w:rPr>
          <w:b/>
        </w:rPr>
        <w:t>Opaque Attrition Analytics</w:t>
      </w:r>
      <w:r>
        <w:t>: Commercial platforms deploy heuristic rules or uninterpretable deep neural networks that output ungrounded risk percentages without actionable causal indicators.</w:t>
      </w:r>
    </w:p>
    <w:p>
      <w:pPr>
        <w:pStyle w:val="ListNumber"/>
        <w:spacing w:before="20" w:after="40" w:line="276" w:lineRule="auto"/>
      </w:pPr>
      <w:r>
        <w:rPr>
          <w:b/>
        </w:rPr>
        <w:t>Cold-Start Recommendation Vulnerabilities</w:t>
      </w:r>
      <w:r>
        <w:t>: Equipment rental frequency is naturally low, neutralizing traditional collaborative filtering models that require dense user-item rating matrices.</w:t>
      </w:r>
    </w:p>
    <w:p>
      <w:pPr>
        <w:pStyle w:val="ListNumber"/>
        <w:spacing w:before="20" w:after="40" w:line="276" w:lineRule="auto"/>
      </w:pPr>
      <w:r>
        <w:rPr>
          <w:b/>
        </w:rPr>
        <w:t>Database Performance Degradation</w:t>
      </w:r>
      <w:r>
        <w:t>: High-throughput web applications face concurrency bottlenecks when real-time ACID transactions compete with analytical query execution.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2. Research Questions and Formal Hypotheses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2.1 Research Questions (RQs)</w:t>
      </w:r>
    </w:p>
    <w:p>
      <w:pPr>
        <w:pStyle w:val="ListBullet"/>
        <w:spacing w:before="20" w:after="40" w:line="276" w:lineRule="auto"/>
      </w:pPr>
      <w:r>
        <w:rPr>
          <w:b/>
        </w:rPr>
        <w:t>RQ1</w:t>
      </w:r>
      <w:r>
        <w:t xml:space="preserve">: </w:t>
      </w:r>
      <w:r>
        <w:rPr>
          <w:i/>
        </w:rPr>
        <w:t>Can an asynchronous gradient boosted tree architecture achieve state-of-the-art churn classification accuracy while maintaining sub-second inference latency on commodity server hardware?</w:t>
      </w:r>
    </w:p>
    <w:p>
      <w:pPr>
        <w:pStyle w:val="ListBullet"/>
        <w:spacing w:before="20" w:after="40" w:line="276" w:lineRule="auto"/>
      </w:pPr>
      <w:r>
        <w:rPr>
          <w:b/>
        </w:rPr>
        <w:t>RQ2</w:t>
      </w:r>
      <w:r>
        <w:t xml:space="preserve">: </w:t>
      </w:r>
      <w:r>
        <w:rPr>
          <w:i/>
        </w:rPr>
        <w:t>Does the integration of TreeSHAP post-hoc attribution generate clinically reliable and operationally actionable reason codes for non-technical customer retention personnel?</w:t>
      </w:r>
    </w:p>
    <w:p>
      <w:pPr>
        <w:pStyle w:val="ListBullet"/>
        <w:spacing w:before="20" w:after="40" w:line="276" w:lineRule="auto"/>
      </w:pPr>
      <w:r>
        <w:rPr>
          <w:b/>
        </w:rPr>
        <w:t>RQ3</w:t>
      </w:r>
      <w:r>
        <w:t xml:space="preserve">: </w:t>
      </w:r>
      <w:r>
        <w:rPr>
          <w:i/>
        </w:rPr>
        <w:t>How effectively can content-aware TF-IDF vectorization and cosine similarity bridge the extreme cold-start deficit inherent to durable asset leasing catalogs?</w:t>
      </w:r>
    </w:p>
    <w:p>
      <w:pPr>
        <w:keepNext/>
        <w:spacing w:before="200" w:after="80"/>
      </w:pPr>
      <w:r>
        <w:rPr>
          <w:b/>
          <w:color w:val="374151"/>
          <w:sz w:val="26"/>
        </w:rPr>
        <w:t>2.2 Formal Hypotheses</w:t>
      </w:r>
    </w:p>
    <w:p>
      <w:pPr>
        <w:pStyle w:val="ListBullet"/>
        <w:spacing w:before="20" w:after="40" w:line="276" w:lineRule="auto"/>
      </w:pPr>
      <w:r>
        <w:rPr>
          <w:b/>
        </w:rPr>
        <w:t>Hypothesis 1 ($H_1$)</w:t>
      </w:r>
      <w:r>
        <w:t>: LightGBM utilizing Gradient-based One-Side Sampling (GOSS) achieves higher ROC-AUC and an order-of-magnitude reduction in training time relative to classical Random Forest and standard XGBoost baselines on tabular rental behavioral data.</w:t>
      </w:r>
    </w:p>
    <w:p>
      <w:pPr>
        <w:pStyle w:val="ListBullet"/>
        <w:spacing w:before="20" w:after="40" w:line="276" w:lineRule="auto"/>
      </w:pPr>
      <w:r>
        <w:rPr>
          <w:b/>
        </w:rPr>
        <w:t>Hypothesis 2 ($H_2$)</w:t>
      </w:r>
      <w:r>
        <w:t>: Pre-computing SHAP attribution vectors out-of-band and persisting them within a document-oriented NoSQL database (MongoDB) enables sub-50ms query latency on administrative dashboards without degrading live transaction throughput.</w:t>
      </w:r>
    </w:p>
    <w:p>
      <w:pPr>
        <w:pStyle w:val="ListBullet"/>
        <w:spacing w:before="20" w:after="40" w:line="276" w:lineRule="auto"/>
      </w:pPr>
      <w:r>
        <w:rPr>
          <w:b/>
        </w:rPr>
        <w:t>Hypothesis 3 ($H_3$)</w:t>
      </w:r>
      <w:r>
        <w:t>: Combining product taxonomy metadata with cross-category cosine similarity produces higher recommendation coverage and conversion propensity than frequency-based popularity baselines.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3. Theoretical Framework and Methodology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graph LR</w:t>
              <w:br/>
              <w:t xml:space="preserve">    subgraph DataCollection [Data Collection &amp; Feature Synthesis]</w:t>
              <w:br/>
              <w:t xml:space="preserve">        D1[Synthetic Behavioral Log Generator] --&gt; D2[Standardized 8-D Feature Space]</w:t>
              <w:br/>
              <w:t xml:space="preserve">    end</w:t>
              <w:br/>
              <w:t xml:space="preserve">    subgraph AnalyticalModeling [Analytical Modeling Tier]</w:t>
              <w:br/>
              <w:t xml:space="preserve">        D2 --&gt; M1[LightGBM Binary Classifier]</w:t>
              <w:br/>
              <w:t xml:space="preserve">        M1 --&gt; M2[TreeSHAP Attribution Vectorizer]</w:t>
              <w:br/>
              <w:t xml:space="preserve">        M2 --&gt; M3[Deterministic Reason Code Mapper]</w:t>
              <w:br/>
              <w:t xml:space="preserve">    end</w:t>
              <w:br/>
              <w:t xml:space="preserve">    subgraph RecommenderDesign [Recommender Subsystem]</w:t>
              <w:br/>
              <w:t xml:space="preserve">        C1[Catalog Specifications] --&gt; C2[Sublinear TF-IDF Vectorizer]</w:t>
              <w:br/>
              <w:t xml:space="preserve">        C2 --&gt; C3[Pairwise Cosine Similarity Matrix]</w:t>
              <w:br/>
              <w:t xml:space="preserve">    end</w:t>
              <w:br/>
              <w:t xml:space="preserve">    subgraph ValidationEngine [Empirical Validation]</w:t>
              <w:br/>
              <w:t xml:space="preserve">        M1 &amp; M3 --&gt; V1[Classification Metrics: ROC-AUC, F1, Log-Loss]</w:t>
              <w:br/>
              <w:t xml:space="preserve">        C3 --&gt; V2[Recommendation Metrics: Precision@K, MAP]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keepNext/>
        <w:spacing w:before="200" w:after="80"/>
      </w:pPr>
      <w:r>
        <w:rPr>
          <w:b/>
          <w:color w:val="374151"/>
          <w:sz w:val="26"/>
        </w:rPr>
        <w:t>3.1 Experimental Design</w:t>
      </w:r>
    </w:p>
    <w:p>
      <w:pPr>
        <w:pStyle w:val="ListNumber"/>
        <w:spacing w:before="20" w:after="40" w:line="276" w:lineRule="auto"/>
      </w:pPr>
      <w:r>
        <w:rPr>
          <w:b/>
        </w:rPr>
        <w:t>Sample Population</w:t>
      </w:r>
      <w:r>
        <w:t>: 1,500 distinct customer behavior sequences synthesized using Poisson and Exponential probability distributions calibrated to real-world appliance leasing statistics.</w:t>
      </w:r>
    </w:p>
    <w:p>
      <w:pPr>
        <w:pStyle w:val="ListNumber"/>
        <w:spacing w:before="20" w:after="40" w:line="276" w:lineRule="auto"/>
      </w:pPr>
      <w:r>
        <w:rPr>
          <w:b/>
        </w:rPr>
        <w:t>Feature Matrix</w:t>
      </w:r>
      <w:r>
        <w:t>: Features include customer tenure duration ($1 - 24$ months), monthly expenditure, active rental count, delayed payment counts, early contract cancellations, cart abandonment frequency, platform inactivity days, and historical service ratings.</w:t>
      </w:r>
    </w:p>
    <w:p>
      <w:pPr>
        <w:pStyle w:val="ListNumber"/>
        <w:spacing w:before="20" w:after="40" w:line="276" w:lineRule="auto"/>
      </w:pPr>
      <w:r>
        <w:rPr>
          <w:b/>
        </w:rPr>
        <w:t>Model Training Protocol</w:t>
      </w:r>
      <w:r>
        <w:t>: 5-fold cross-validation with grid-search optimization across learning rates ($\eta \in [0.01, 0.1]$), tree leaves ($L \in [15, 63]$), and feature subsampling fractions.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4. Expected Contributions</w:t>
      </w:r>
    </w:p>
    <w:p>
      <w:pPr>
        <w:pStyle w:val="ListNumber"/>
        <w:spacing w:before="20" w:after="40" w:line="276" w:lineRule="auto"/>
      </w:pPr>
      <w:r>
        <w:rPr>
          <w:b/>
        </w:rPr>
        <w:t>Architectural Contribution</w:t>
      </w:r>
      <w:r>
        <w:t>: Formalization of a decoupled, asynchronous architecture integrating MongoDB NoSQL document storage with near-line machine learning pipelines.</w:t>
      </w:r>
    </w:p>
    <w:p>
      <w:pPr>
        <w:pStyle w:val="ListNumber"/>
        <w:spacing w:before="20" w:after="40" w:line="276" w:lineRule="auto"/>
      </w:pPr>
      <w:r>
        <w:rPr>
          <w:b/>
        </w:rPr>
        <w:t>Algorithmic Contribution</w:t>
      </w:r>
      <w:r>
        <w:t>: Development of a deterministic mapping protocol converting polynomial-time TreeSHAP values into human-actionable customer retention alerts.</w:t>
      </w:r>
    </w:p>
    <w:p>
      <w:pPr>
        <w:pStyle w:val="ListNumber"/>
        <w:spacing w:before="20" w:after="40" w:line="276" w:lineRule="auto"/>
      </w:pPr>
      <w:r>
        <w:rPr>
          <w:b/>
        </w:rPr>
        <w:t>Open-Source Artifacts</w:t>
      </w:r>
      <w:r>
        <w:t>: A reproducible, production-ready codebase complete with automated verification harnesses (</w:t>
      </w:r>
      <w:r>
        <w:rPr>
          <w:rFonts w:ascii="Consolas" w:hAnsi="Consolas"/>
          <w:color w:val="C7254E"/>
          <w:sz w:val="19"/>
        </w:rPr>
        <w:t>test_all_modules_fast.py</w:t>
      </w:r>
      <w:r>
        <w:t>) and modular REST API implementations.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5. Ethical Considerations &amp; Algorithmic Fairness</w:t>
      </w:r>
    </w:p>
    <w:p>
      <w:pPr>
        <w:pStyle w:val="ListBullet"/>
        <w:spacing w:before="20" w:after="40" w:line="276" w:lineRule="auto"/>
      </w:pPr>
      <w:r>
        <w:rPr>
          <w:b/>
        </w:rPr>
        <w:t>Fairness in Predictive Churn Scoring</w:t>
      </w:r>
      <w:r>
        <w:t>: The feature space intentionally excludes protected demographic attributes (e.g. gender, race, religion, geographic ZIP code proxies) to prevent biased credit or retention treatment.</w:t>
      </w:r>
    </w:p>
    <w:p>
      <w:pPr>
        <w:pStyle w:val="ListBullet"/>
        <w:spacing w:before="20" w:after="40" w:line="276" w:lineRule="auto"/>
      </w:pPr>
      <w:r>
        <w:rPr>
          <w:b/>
        </w:rPr>
        <w:t>Data Privacy</w:t>
      </w:r>
      <w:r>
        <w:t>: Customer credentials are cryptographically protected via PBKDF2 with SHA-256; analytical pipelines operate on anonymized user UUIDs.</w:t>
      </w:r>
    </w:p>
    <w:p>
      <w:pPr>
        <w:spacing w:before="120" w:after="120"/>
        <w:pBdr>
          <w:bottom w:val="single" w:sz="6" w:space="1" w:color="D1D5DB"/>
        </w:pBdr>
      </w:pPr>
    </w:p>
    <w:p>
      <w:pPr>
        <w:keepNext/>
        <w:spacing w:before="280" w:after="120"/>
      </w:pPr>
      <w:r>
        <w:rPr>
          <w:b/>
          <w:color w:val="1E3A8A"/>
          <w:sz w:val="30"/>
        </w:rPr>
        <w:t>6. Research Timeline &amp; Milestones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6C757D"/>
                <w:sz w:val="17"/>
              </w:rPr>
              <w:t>[MERMAID]</w:t>
            </w:r>
          </w:p>
          <w:p>
            <w:pPr>
              <w:spacing w:before="0" w:after="0" w:line="260" w:lineRule="exact"/>
            </w:pPr>
            <w:r>
              <w:rPr>
                <w:rFonts w:ascii="Consolas" w:hAnsi="Consolas"/>
                <w:color w:val="282C34"/>
                <w:sz w:val="19"/>
              </w:rPr>
              <w:t>gantt</w:t>
              <w:br/>
              <w:t xml:space="preserve">    title Research Project Schedule &amp; Milestones</w:t>
              <w:br/>
              <w:t xml:space="preserve">    dateFormat  YYYY-MM-DD</w:t>
              <w:br/>
              <w:t xml:space="preserve">    section Phase 1: Literature &amp; Design</w:t>
              <w:br/>
              <w:t xml:space="preserve">    Literature Review &amp; Problem Formulation :2026-01-05, 30d</w:t>
              <w:br/>
              <w:t xml:space="preserve">    Architectural Design &amp; DB Modeling      :2026-02-05, 25d</w:t>
              <w:br/>
              <w:t xml:space="preserve">    section Phase 2: Implementation</w:t>
              <w:br/>
              <w:t xml:space="preserve">    Full-Stack System Engineering           :2026-03-02, 35d</w:t>
              <w:br/>
              <w:t xml:space="preserve">    ML Pipeline &amp; SHAP Engine Integration   :2026-04-06, 25d</w:t>
              <w:br/>
              <w:t xml:space="preserve">    section Phase 3: Benchmarking</w:t>
              <w:br/>
              <w:t xml:space="preserve">    Empirical Experiments &amp; Verification    :2026-05-01, 20d</w:t>
              <w:br/>
              <w:t xml:space="preserve">    Thesis &amp; Conference Paper Drafting      :2026-05-21, 30d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