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Security Architecture &amp; Compliance Documentation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OWASP Top 10 (2021) &amp; NIST SP 800-53 Compliant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Security Philosophy and Threat Model</w:t>
      </w:r>
    </w:p>
    <w:p>
      <w:pPr>
        <w:spacing w:after="120" w:before="0" w:line="276" w:lineRule="auto"/>
      </w:pPr>
      <w:r>
        <w:t xml:space="preserve">Rentora handles sensitive customer information, lease transaction agreements, and financial KYC documentation. Security is architected at every tier following the principle of </w:t>
      </w:r>
      <w:r>
        <w:rPr>
          <w:b/>
        </w:rPr>
        <w:t>Defense-in-Depth (DiD)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subgraph EdgeLayer [Edge &amp; Transport Layer]</w:t>
              <w:br/>
              <w:t xml:space="preserve">        TLS[TLS 1.3 Encryption]</w:t>
              <w:br/>
              <w:t xml:space="preserve">        CORS[Strict CORS Policy]</w:t>
              <w:br/>
              <w:t xml:space="preserve">        RateLimit[IP &amp; Token Rate Limiting]</w:t>
              <w:br/>
              <w:t xml:space="preserve">    end</w:t>
              <w:br/>
              <w:br/>
              <w:t xml:space="preserve">    subgraph AppLayer [Application Security Layer]</w:t>
              <w:br/>
              <w:t xml:space="preserve">        JWTAuth[Signed JWT Bearer Validation]</w:t>
              <w:br/>
              <w:t xml:space="preserve">        RBAC[Role-Based Access Control: Customer vs Admin]</w:t>
              <w:br/>
              <w:t xml:space="preserve">        InputValidation[Strict JSON Payload Sanitization]</w:t>
              <w:br/>
              <w:t xml:space="preserve">    end</w:t>
              <w:br/>
              <w:br/>
              <w:t xml:space="preserve">    subgraph DataLayer [Database &amp; Storage Security]</w:t>
              <w:br/>
              <w:t xml:space="preserve">        SaltHash[PBKDF2 SHA-256 Password Hashing]</w:t>
              <w:br/>
              <w:t xml:space="preserve">        NoSQLProtect[NoSQL Injection Defense]</w:t>
              <w:br/>
              <w:t xml:space="preserve">        EncryptedData[Encrypted Storage at Rest]</w:t>
              <w:br/>
              <w:t xml:space="preserve">    end</w:t>
              <w:br/>
              <w:br/>
              <w:t xml:space="preserve">    EdgeLayer --&gt; AppLayer --&gt; DataLayer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Authentication &amp; Token Lifecycle Management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Cryptographic Password Storage</w:t>
      </w:r>
    </w:p>
    <w:p>
      <w:pPr>
        <w:spacing w:after="120" w:before="0" w:line="276" w:lineRule="auto"/>
      </w:pPr>
      <w:r>
        <w:t>User passwords are never stored in plaintext. Passwords are processed through Django's native cryptographic hashing pipeline:</w:t>
      </w:r>
    </w:p>
    <w:p>
      <w:pPr>
        <w:pStyle w:val="ListBullet"/>
        <w:spacing w:before="20" w:after="40" w:line="276" w:lineRule="auto"/>
      </w:pPr>
      <w:r>
        <w:rPr>
          <w:b/>
        </w:rPr>
        <w:t>Algorithm</w:t>
      </w:r>
      <w:r>
        <w:t>: PBKDF2 (Password-Based Key Derivation Function 2) with SHA-256 digest.</w:t>
      </w:r>
    </w:p>
    <w:p>
      <w:pPr>
        <w:pStyle w:val="ListBullet"/>
        <w:spacing w:before="20" w:after="40" w:line="276" w:lineRule="auto"/>
      </w:pPr>
      <w:r>
        <w:rPr>
          <w:b/>
        </w:rPr>
        <w:t>Work Factor</w:t>
      </w:r>
      <w:r>
        <w:t>: 600,000 iterations with cryptographically random per-user salt.</w:t>
      </w:r>
    </w:p>
    <w:p>
      <w:pPr>
        <w:pStyle w:val="ListBullet"/>
        <w:spacing w:before="20" w:after="40" w:line="276" w:lineRule="auto"/>
      </w:pPr>
      <w:r>
        <w:rPr>
          <w:b/>
        </w:rPr>
        <w:t>Verification</w:t>
      </w:r>
      <w:r>
        <w:t>: Constant-time comparison to prevent timing attacks.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2.2 Stateless JWT Architecture</w:t>
      </w:r>
    </w:p>
    <w:p>
      <w:pPr>
        <w:spacing w:after="120" w:before="0" w:line="276" w:lineRule="auto"/>
      </w:pPr>
      <w:r>
        <w:t>Authentication state is managed through signed JSON Web Tokens (</w:t>
      </w:r>
      <w:r>
        <w:rPr>
          <w:rFonts w:ascii="Consolas" w:hAnsi="Consolas"/>
          <w:color w:val="C7254E"/>
          <w:sz w:val="19"/>
        </w:rPr>
        <w:t>api/mongo_auth.py</w:t>
      </w:r>
      <w:r>
        <w:t>):</w:t>
      </w:r>
    </w:p>
    <w:p>
      <w:pPr>
        <w:pStyle w:val="ListNumber"/>
        <w:spacing w:before="20" w:after="40" w:line="276" w:lineRule="auto"/>
      </w:pPr>
      <w:r>
        <w:rPr>
          <w:b/>
        </w:rPr>
        <w:t>Access Token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Lifespan</w:t>
      </w:r>
      <w:r>
        <w:t>: 15 minutes (short-lived to minimize exposure window if compromised).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Signature</w:t>
      </w:r>
      <w:r>
        <w:t xml:space="preserve">: HMAC-SHA256 using server-held </w:t>
      </w:r>
      <w:r>
        <w:rPr>
          <w:rFonts w:ascii="Consolas" w:hAnsi="Consolas"/>
          <w:color w:val="C7254E"/>
          <w:sz w:val="19"/>
        </w:rPr>
        <w:t>SECRET_KEY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Payload Claims</w:t>
      </w:r>
      <w:r>
        <w:t xml:space="preserve">: </w:t>
      </w:r>
      <w:r>
        <w:rPr>
          <w:rFonts w:ascii="Consolas" w:hAnsi="Consolas"/>
          <w:color w:val="C7254E"/>
          <w:sz w:val="19"/>
        </w:rPr>
        <w:t>user_id</w:t>
      </w:r>
      <w:r>
        <w:t xml:space="preserve"> (UUID4), </w:t>
      </w:r>
      <w:r>
        <w:rPr>
          <w:rFonts w:ascii="Consolas" w:hAnsi="Consolas"/>
          <w:color w:val="C7254E"/>
          <w:sz w:val="19"/>
        </w:rPr>
        <w:t>email</w:t>
      </w:r>
      <w:r>
        <w:t xml:space="preserve">, </w:t>
      </w:r>
      <w:r>
        <w:rPr>
          <w:rFonts w:ascii="Consolas" w:hAnsi="Consolas"/>
          <w:color w:val="C7254E"/>
          <w:sz w:val="19"/>
        </w:rPr>
        <w:t>role</w:t>
      </w:r>
      <w:r>
        <w:t xml:space="preserve">, </w:t>
      </w:r>
      <w:r>
        <w:rPr>
          <w:rFonts w:ascii="Consolas" w:hAnsi="Consolas"/>
          <w:color w:val="C7254E"/>
          <w:sz w:val="19"/>
        </w:rPr>
        <w:t>exp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Refresh Token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Lifespan</w:t>
      </w:r>
      <w:r>
        <w:t>: 7 days.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Function</w:t>
      </w:r>
      <w:r>
        <w:t xml:space="preserve">: Exclusively presented to </w:t>
      </w:r>
      <w:r>
        <w:rPr>
          <w:rFonts w:ascii="Consolas" w:hAnsi="Consolas"/>
          <w:color w:val="C7254E"/>
          <w:sz w:val="19"/>
        </w:rPr>
        <w:t>POST /api/token/refresh/</w:t>
      </w:r>
      <w:r>
        <w:t xml:space="preserve"> to obtain a fresh access token without re-entering credentials.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2.3 Role-Based Access Control (RBAC)</w:t>
      </w:r>
    </w:p>
    <w:p>
      <w:pPr>
        <w:spacing w:after="120" w:before="0" w:line="276" w:lineRule="auto"/>
      </w:pPr>
      <w:r>
        <w:t>Endpoints enforce granular role checks:</w:t>
      </w:r>
    </w:p>
    <w:p>
      <w:pPr>
        <w:pStyle w:val="ListBullet"/>
        <w:spacing w:before="20" w:after="40" w:line="276" w:lineRule="auto"/>
      </w:pPr>
      <w:r>
        <w:rPr>
          <w:b/>
        </w:rPr>
        <w:t>`customer`</w:t>
      </w:r>
      <w:r>
        <w:t>: Restricted to reading catalog inventory, manipulating personal cart objects, checking out leases, and viewing personal contracts.</w:t>
      </w:r>
    </w:p>
    <w:p>
      <w:pPr>
        <w:pStyle w:val="ListBullet"/>
        <w:spacing w:before="20" w:after="40" w:line="276" w:lineRule="auto"/>
      </w:pPr>
      <w:r>
        <w:rPr>
          <w:b/>
        </w:rPr>
        <w:t>`admin`</w:t>
      </w:r>
      <w:r>
        <w:t xml:space="preserve">: Granted access to </w:t>
      </w:r>
      <w:r>
        <w:rPr>
          <w:rFonts w:ascii="Consolas" w:hAnsi="Consolas"/>
          <w:color w:val="C7254E"/>
          <w:sz w:val="19"/>
        </w:rPr>
        <w:t>GET /api/admin/dashboard/</w:t>
      </w:r>
      <w:r>
        <w:t xml:space="preserve">, inventory restocking mutations, and high-risk customer churn analytics. Attempts by standard customers to access admin endpoints yield an immediate </w:t>
      </w:r>
      <w:r>
        <w:rPr>
          <w:rFonts w:ascii="Consolas" w:hAnsi="Consolas"/>
          <w:color w:val="C7254E"/>
          <w:sz w:val="19"/>
        </w:rPr>
        <w:t>403 Forbidden</w:t>
      </w:r>
      <w: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NoSQL Injection Mitigation</w:t>
      </w:r>
    </w:p>
    <w:p>
      <w:pPr>
        <w:spacing w:after="120" w:before="0" w:line="276" w:lineRule="auto"/>
      </w:pPr>
      <w:r>
        <w:t xml:space="preserve">Unlike SQL applications susceptible to </w:t>
      </w:r>
      <w:r>
        <w:rPr>
          <w:rFonts w:ascii="Consolas" w:hAnsi="Consolas"/>
          <w:color w:val="C7254E"/>
          <w:sz w:val="19"/>
        </w:rPr>
        <w:t>OR 1=1</w:t>
      </w:r>
      <w:r>
        <w:t xml:space="preserve"> statement injection, MongoDB applications can be vulnerable to operator injection (e.g. passing </w:t>
      </w:r>
      <w:r>
        <w:rPr>
          <w:rFonts w:ascii="Consolas" w:hAnsi="Consolas"/>
          <w:color w:val="C7254E"/>
          <w:sz w:val="19"/>
        </w:rPr>
        <w:t>{"$ne": null}</w:t>
      </w:r>
      <w:r>
        <w:t xml:space="preserve"> in JSON payloads to bypass authentication).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Defense Implementation</w:t>
      </w:r>
    </w:p>
    <w:p>
      <w:pPr>
        <w:spacing w:after="120" w:before="0" w:line="276" w:lineRule="auto"/>
      </w:pPr>
      <w:r>
        <w:t>Rentora strictly enforces explicit type casting and whitelist validation before passing parameters into PyMongo queries: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[PYTHON]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Vulnerable Pattern (DO NOT USE)</w:t>
              <w:br/>
              <w:t># user = db.users.find_one({"email": request.data.get("email")})</w:t>
              <w:br/>
              <w:br/>
              <w:t># Rentora Secure Pattern</w:t>
              <w:br/>
              <w:t>email = str(request.data.get("email", "")).strip().lower()</w:t>
              <w:br/>
              <w:t>password = str(request.data.get("password", ""))</w:t>
              <w:br/>
              <w:br/>
              <w:t>if not email or not password:</w:t>
              <w:br/>
              <w:t xml:space="preserve">    return Response({"error": "Invalid input format"}, status=400)</w:t>
              <w:br/>
              <w:br/>
              <w:t>user = db.users.find_one({"email": email})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>By forcing string casting, raw BSON operator dictionaries are rejected, neutralizing NoSQL injection vectors.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OWASP Top 10 (2021) Compliance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OWASP Vulnerability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Rentora Mitigation Architecture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A01: Broken Access Control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Critical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Strict RBAC in </w:t>
            </w:r>
            <w:r>
              <w:rPr>
                <w:rFonts w:ascii="Consolas" w:hAnsi="Consolas"/>
                <w:color w:val="C7254E"/>
                <w:sz w:val="19"/>
              </w:rPr>
              <w:t>AdminDashboardView</w:t>
            </w:r>
            <w:r>
              <w:rPr>
                <w:sz w:val="19"/>
              </w:rPr>
              <w:t xml:space="preserve"> verifying </w:t>
            </w:r>
            <w:r>
              <w:rPr>
                <w:rFonts w:ascii="Consolas" w:hAnsi="Consolas"/>
                <w:color w:val="C7254E"/>
                <w:sz w:val="19"/>
              </w:rPr>
              <w:t>request.user.role == 'admin'</w:t>
            </w:r>
            <w:r>
              <w:rPr>
                <w:sz w:val="19"/>
              </w:rPr>
              <w:t xml:space="preserve">; users can only query their own </w:t>
            </w:r>
            <w:r>
              <w:rPr>
                <w:rFonts w:ascii="Consolas" w:hAnsi="Consolas"/>
                <w:color w:val="C7254E"/>
                <w:sz w:val="19"/>
              </w:rPr>
              <w:t>user_id</w:t>
            </w:r>
            <w:r>
              <w:rPr>
                <w:sz w:val="19"/>
              </w:rPr>
              <w:t xml:space="preserve"> rentals.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A02: Cryptographic Failures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PBKDF2 SHA-256 for passwords; TLS 1.3 for all HTTP traffic; secret key protected via environment variables.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A03: Injection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Explicit string sanitization preventing NoSQL operator injection; parameterized database queries.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A04: Insecure Design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Decoupled ML pipelines preventing resource exhaustion during heavy training phases; rate limiting on auth endpoints.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A05: Security Misconfiguration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DEBUG = False</w:t>
            </w:r>
            <w:r>
              <w:rPr>
                <w:sz w:val="19"/>
              </w:rPr>
              <w:t xml:space="preserve"> enforced in production; custom 404/500 error handlers concealing internal stack traces.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A06: Vulnerable Components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Dependency auditing via </w:t>
            </w:r>
            <w:r>
              <w:rPr>
                <w:rFonts w:ascii="Consolas" w:hAnsi="Consolas"/>
                <w:color w:val="C7254E"/>
                <w:sz w:val="19"/>
              </w:rPr>
              <w:t>pip audit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npm audit</w:t>
            </w:r>
            <w:r>
              <w:rPr>
                <w:sz w:val="19"/>
              </w:rPr>
              <w:t xml:space="preserve">; pinned library versions in </w:t>
            </w:r>
            <w:r>
              <w:rPr>
                <w:rFonts w:ascii="Consolas" w:hAnsi="Consolas"/>
                <w:color w:val="C7254E"/>
                <w:sz w:val="19"/>
              </w:rPr>
              <w:t>requirements.txt</w:t>
            </w:r>
            <w:r>
              <w:rPr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A07: Identification &amp; Auth Failures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High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Multi-factor ready architecture; short-lived JWT access tokens with secure refresh rotation.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A08: Software &amp; Data Integrity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Model weights and catalog seed datasets verified via cryptographic checksums before loading.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A09: Security Logging &amp; Monitoring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Low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Authentication failures and stock race errors logged to structured logfiles with timestamp and IP context.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A10: Server-Side Request Forgery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Low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No user-supplied external URLs are fetched server-side; KYC document uploads use pre-signed S3/Cloud storage URLs.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VERIFIED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Data Privacy &amp; Regulatory Compliance</w:t>
      </w:r>
    </w:p>
    <w:p>
      <w:pPr>
        <w:pStyle w:val="ListBullet"/>
        <w:spacing w:before="20" w:after="40" w:line="276" w:lineRule="auto"/>
      </w:pPr>
      <w:r>
        <w:rPr>
          <w:b/>
        </w:rPr>
        <w:t>Personally Identifiable Information (PII)</w:t>
      </w:r>
      <w:r>
        <w:t>: User phone numbers and KYC documents are segregated and accessible only by authorized compliance personnel.</w:t>
      </w:r>
    </w:p>
    <w:p>
      <w:pPr>
        <w:pStyle w:val="ListBullet"/>
        <w:spacing w:before="20" w:after="40" w:line="276" w:lineRule="auto"/>
      </w:pPr>
      <w:r>
        <w:rPr>
          <w:b/>
        </w:rPr>
        <w:t>Right to Erasure (GDPR / DPDP)</w:t>
      </w:r>
      <w:r>
        <w:t>: The system provides automated routines to anonymize user identifiers upon contract termination and account deletion requests.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