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Software Design Document (SDD – Low Level)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IEEE Std 1016-2009 (Software Design Descriptions)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 and Module Topology</w:t>
      </w:r>
    </w:p>
    <w:p>
      <w:pPr>
        <w:spacing w:after="120" w:before="0" w:line="276" w:lineRule="auto"/>
      </w:pPr>
      <w:r>
        <w:t xml:space="preserve">This Low-Level Software Design Document outlines the detailed class hierarchies, algorithmic workflows, interface contracts, and design patterns utilized in the </w:t>
      </w:r>
      <w:r>
        <w:rPr>
          <w:b/>
        </w:rPr>
        <w:t>Rentora</w:t>
      </w:r>
      <w:r>
        <w:t xml:space="preserve"> backend and frontend codebases.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1.1 Directory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Rentora/</w:t>
              <w:br/>
              <w:t>├── api/                           # Backend Django REST Application</w:t>
              <w:br/>
              <w:t>│   ├── mongo_client.py            # Singleton MongoDB Connection Pool</w:t>
              <w:br/>
              <w:t>│   ├── mongo_auth.py              # Custom JWT Authentication Handler</w:t>
              <w:br/>
              <w:t>│   ├── views.py                   # API View Controllers &amp; Business Logic</w:t>
              <w:br/>
              <w:t>│   ├── models.py                  # Declarative ORM Stubs for Django Admin</w:t>
              <w:br/>
              <w:t>│   └── urls.py                    # RESTful URL Route Definitions</w:t>
              <w:br/>
              <w:t>├── ml_pipeline/                   # Data Science &amp; Inference Pipeline</w:t>
              <w:br/>
              <w:t>│   ├── etl_pipeline.py            # Behavioral Data Extraction &amp; Vectorization</w:t>
              <w:br/>
              <w:t>│   ├── train_model.py             # LightGBM &amp; TF-IDF Training Harness</w:t>
              <w:br/>
              <w:t>│   └── evaluate_models.py         # Synthetic Benchmark &amp; Validation Suite</w:t>
              <w:br/>
              <w:t>└── frontend/                      # Client Presentation Tier</w:t>
              <w:br/>
              <w:t xml:space="preserve">    ├── src/</w:t>
              <w:br/>
              <w:t xml:space="preserve">    │   ├── CitySelectionModal.jsx # Location-aware City Filtering</w:t>
              <w:br/>
              <w:t xml:space="preserve">    │   ├── App.jsx                # SPA Root &amp; State Management</w:t>
              <w:br/>
              <w:t xml:space="preserve">    │   └── ...                    # Components &amp; Modular Views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Design Patterns Implemented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Singleton Pattern: MongoDB Connection Manager</w:t>
      </w:r>
    </w:p>
    <w:p>
      <w:pPr>
        <w:spacing w:after="120" w:before="0" w:line="276" w:lineRule="auto"/>
      </w:pPr>
      <w:r>
        <w:t xml:space="preserve">To prevent connection exhaustion and reduce socket initialization overhead, MongoDB connection handles are encapsulated via a thread-safe Singleton pattern in </w:t>
      </w:r>
      <w:r>
        <w:rPr>
          <w:rFonts w:ascii="Consolas" w:hAnsi="Consolas"/>
          <w:color w:val="C7254E"/>
          <w:sz w:val="19"/>
        </w:rPr>
        <w:t>api/mongo_client.py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classDiagram</w:t>
              <w:br/>
              <w:t xml:space="preserve">    class MongoDatabaseManager {</w:t>
              <w:br/>
              <w:t xml:space="preserve">        -_instance: MongoClient</w:t>
              <w:br/>
              <w:t xml:space="preserve">        -_db: Database</w:t>
              <w:br/>
              <w:t xml:space="preserve">        +get_mongo_db() Database</w:t>
              <w:br/>
              <w:t xml:space="preserve">    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[PYTHON]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Low-level Singleton Implementation (api/mongo_client.py)</w:t>
              <w:br/>
              <w:t>from pymongo import MongoClient</w:t>
              <w:br/>
              <w:t>from django.conf import settings</w:t>
              <w:br/>
              <w:br/>
              <w:t>_client = None</w:t>
              <w:br/>
              <w:t>_db = None</w:t>
              <w:br/>
              <w:br/>
              <w:t>def get_mongo_db():</w:t>
              <w:br/>
              <w:t xml:space="preserve">    global _client, _db</w:t>
              <w:br/>
              <w:t xml:space="preserve">    if _db is None:</w:t>
              <w:br/>
              <w:t xml:space="preserve">        _client = MongoClient(settings.MONGO_URI, maxPoolSize=50, waitQueueTimeoutMS=2500)</w:t>
              <w:br/>
              <w:t xml:space="preserve">        _db = _client[settings.MONGO_DB_NAME]</w:t>
              <w:br/>
              <w:t xml:space="preserve">    return _db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2.2 Strategy Pattern: Custom JWT Authentication</w:t>
      </w:r>
    </w:p>
    <w:p>
      <w:pPr>
        <w:spacing w:after="120" w:before="0" w:line="276" w:lineRule="auto"/>
      </w:pPr>
      <w:r>
        <w:t>Rentora avoids tight coupling to Django's default SQL authentication middleware by implementing a custom Strategy (</w:t>
      </w:r>
      <w:r>
        <w:rPr>
          <w:rFonts w:ascii="Consolas" w:hAnsi="Consolas"/>
          <w:color w:val="C7254E"/>
          <w:sz w:val="19"/>
        </w:rPr>
        <w:t>MongoJWTAuthentication</w:t>
      </w:r>
      <w:r>
        <w:t xml:space="preserve"> in </w:t>
      </w:r>
      <w:r>
        <w:rPr>
          <w:rFonts w:ascii="Consolas" w:hAnsi="Consolas"/>
          <w:color w:val="C7254E"/>
          <w:sz w:val="19"/>
        </w:rPr>
        <w:t>api/mongo_auth.py</w:t>
      </w:r>
      <w:r>
        <w:t xml:space="preserve">) conforming to DRF's </w:t>
      </w:r>
      <w:r>
        <w:rPr>
          <w:rFonts w:ascii="Consolas" w:hAnsi="Consolas"/>
          <w:color w:val="C7254E"/>
          <w:sz w:val="19"/>
        </w:rPr>
        <w:t>BaseAuthentication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sequenceDiagram</w:t>
              <w:br/>
              <w:t xml:space="preserve">    participant Request as Incoming HTTP Request</w:t>
              <w:br/>
              <w:t xml:space="preserve">    participant AuthStrategy as MongoJWTAuthentication</w:t>
              <w:br/>
              <w:t xml:space="preserve">    participant Mongo as MongoDB (users)</w:t>
              <w:br/>
              <w:t xml:space="preserve">    participant View as APIView</w:t>
              <w:br/>
              <w:br/>
              <w:t xml:space="preserve">    Request-&gt;&gt;AuthStrategy: authenticate(request)</w:t>
              <w:br/>
              <w:t xml:space="preserve">    AuthStrategy-&gt;&gt;AuthStrategy: Extract 'Bearer &lt;token&gt;'</w:t>
              <w:br/>
              <w:t xml:space="preserve">    AuthStrategy-&gt;&gt;AuthStrategy: jwt.decode(token, SECRET_KEY, HS256)</w:t>
              <w:br/>
              <w:t xml:space="preserve">    AuthStrategy-&gt;&gt;Mongo: find_one({'id': payload['user_id']})</w:t>
              <w:br/>
              <w:t xml:space="preserve">    Mongo--&gt;&gt;AuthStrategy: User Document</w:t>
              <w:br/>
              <w:t xml:space="preserve">    AuthStrategy--&gt;&gt;View: (MongoUserPrincipal, token)</w:t>
              <w:br/>
              <w:t xml:space="preserve">    View-&gt;&gt;View: Process business logic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2.3 State Pattern: Contract Lifecycle State Machine</w:t>
      </w:r>
    </w:p>
    <w:p>
      <w:pPr>
        <w:spacing w:after="120" w:before="0" w:line="276" w:lineRule="auto"/>
      </w:pPr>
      <w:r>
        <w:t>Rental contracts evolve through distinct state transitions governed by deterministic transition rules: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Permissible Event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Side Effect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NONE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CHECKOUT_CONFIRMED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ACTIVE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Decrement appliance stock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ACTIVE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INITIATE_RETURN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RETURNED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Increment appliance stock; record return date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ACTIVE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CONTRACT_EXPIRED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OVERDUE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Alert retention &amp; operations teams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OVERDUE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RECOVER_ASSET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RETURNED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Calculate late penalties; replenish stock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Low-Level Component Specifications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`api/views.py` Controller Implementations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`RegisterView` &amp; `LoginView`</w:t>
      </w:r>
    </w:p>
    <w:p>
      <w:pPr>
        <w:pStyle w:val="ListBullet"/>
        <w:spacing w:before="20" w:after="40" w:line="276" w:lineRule="auto"/>
      </w:pPr>
      <w:r>
        <w:rPr>
          <w:b/>
        </w:rPr>
        <w:t>Responsibilities</w:t>
      </w:r>
      <w:r>
        <w:t>: Enforces email uniqueness, hashes passwords with salt, encodes JWT claims (</w:t>
      </w:r>
      <w:r>
        <w:rPr>
          <w:rFonts w:ascii="Consolas" w:hAnsi="Consolas"/>
          <w:color w:val="C7254E"/>
          <w:sz w:val="19"/>
        </w:rPr>
        <w:t>user_id</w:t>
      </w:r>
      <w:r>
        <w:t xml:space="preserve">, </w:t>
      </w:r>
      <w:r>
        <w:rPr>
          <w:rFonts w:ascii="Consolas" w:hAnsi="Consolas"/>
          <w:color w:val="C7254E"/>
          <w:sz w:val="19"/>
        </w:rPr>
        <w:t>email</w:t>
      </w:r>
      <w:r>
        <w:t xml:space="preserve">, </w:t>
      </w:r>
      <w:r>
        <w:rPr>
          <w:rFonts w:ascii="Consolas" w:hAnsi="Consolas"/>
          <w:color w:val="C7254E"/>
          <w:sz w:val="19"/>
        </w:rPr>
        <w:t>role</w:t>
      </w:r>
      <w:r>
        <w:t xml:space="preserve">, </w:t>
      </w:r>
      <w:r>
        <w:rPr>
          <w:rFonts w:ascii="Consolas" w:hAnsi="Consolas"/>
          <w:color w:val="C7254E"/>
          <w:sz w:val="19"/>
        </w:rPr>
        <w:t>exp</w:t>
      </w:r>
      <w:r>
        <w:t>), and sets secure headers.</w:t>
      </w:r>
    </w:p>
    <w:p>
      <w:pPr>
        <w:pStyle w:val="ListBullet"/>
        <w:spacing w:before="20" w:after="40" w:line="276" w:lineRule="auto"/>
      </w:pPr>
      <w:r>
        <w:rPr>
          <w:b/>
        </w:rPr>
        <w:t>Complexity</w:t>
      </w:r>
      <w:r>
        <w:t xml:space="preserve">: $O(1)$ lookup via unique index on </w:t>
      </w:r>
      <w:r>
        <w:rPr>
          <w:rFonts w:ascii="Consolas" w:hAnsi="Consolas"/>
          <w:color w:val="C7254E"/>
          <w:sz w:val="19"/>
        </w:rPr>
        <w:t>email</w:t>
      </w:r>
      <w:r>
        <w:t>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`ApplianceView`</w:t>
      </w:r>
    </w:p>
    <w:p>
      <w:pPr>
        <w:pStyle w:val="ListBullet"/>
        <w:spacing w:before="20" w:after="40" w:line="276" w:lineRule="auto"/>
      </w:pPr>
      <w:r>
        <w:rPr>
          <w:b/>
        </w:rPr>
        <w:t>Responsibilities</w:t>
      </w:r>
      <w:r>
        <w:t>: Builds dynamic MongoDB aggregation filters (</w:t>
      </w:r>
      <w:r>
        <w:rPr>
          <w:rFonts w:ascii="Consolas" w:hAnsi="Consolas"/>
          <w:color w:val="C7254E"/>
          <w:sz w:val="19"/>
        </w:rPr>
        <w:t>$and</w:t>
      </w:r>
      <w:r>
        <w:t xml:space="preserve"> queries combining </w:t>
      </w:r>
      <w:r>
        <w:rPr>
          <w:rFonts w:ascii="Consolas" w:hAnsi="Consolas"/>
          <w:color w:val="C7254E"/>
          <w:sz w:val="19"/>
        </w:rPr>
        <w:t>available_cities</w:t>
      </w:r>
      <w:r>
        <w:t xml:space="preserve">, </w:t>
      </w:r>
      <w:r>
        <w:rPr>
          <w:rFonts w:ascii="Consolas" w:hAnsi="Consolas"/>
          <w:color w:val="C7254E"/>
          <w:sz w:val="19"/>
        </w:rPr>
        <w:t>category_id</w:t>
      </w:r>
      <w:r>
        <w:t>, and regex search). Formats tenure price matrices for client rendering.</w:t>
      </w:r>
    </w:p>
    <w:p>
      <w:pPr>
        <w:pStyle w:val="ListBullet"/>
        <w:spacing w:before="20" w:after="40" w:line="276" w:lineRule="auto"/>
      </w:pPr>
      <w:r>
        <w:rPr>
          <w:b/>
        </w:rPr>
        <w:t>Latency Target</w:t>
      </w:r>
      <w:r>
        <w:t>: $\le 100\text{ ms}$.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`CheckoutView`</w:t>
      </w:r>
    </w:p>
    <w:p>
      <w:pPr>
        <w:pStyle w:val="ListBullet"/>
        <w:spacing w:before="20" w:after="40" w:line="276" w:lineRule="auto"/>
      </w:pPr>
      <w:r>
        <w:rPr>
          <w:b/>
        </w:rPr>
        <w:t>Responsibilities</w:t>
      </w:r>
      <w:r>
        <w:t xml:space="preserve">: Validates cart contents against live inventory, executes atomic </w:t>
      </w:r>
      <w:r>
        <w:rPr>
          <w:rFonts w:ascii="Consolas" w:hAnsi="Consolas"/>
          <w:color w:val="C7254E"/>
          <w:sz w:val="19"/>
        </w:rPr>
        <w:t>$inc</w:t>
      </w:r>
      <w:r>
        <w:t xml:space="preserve"> updates on MongoDB stock, calculates total fees and deposits, and commits documents to the </w:t>
      </w:r>
      <w:r>
        <w:rPr>
          <w:rFonts w:ascii="Consolas" w:hAnsi="Consolas"/>
          <w:color w:val="C7254E"/>
          <w:sz w:val="19"/>
        </w:rPr>
        <w:t>rentals</w:t>
      </w:r>
      <w:r>
        <w:t xml:space="preserve"> collection.</w:t>
      </w:r>
    </w:p>
    <w:p>
      <w:pPr>
        <w:pStyle w:val="ListBullet"/>
        <w:spacing w:before="20" w:after="40" w:line="276" w:lineRule="auto"/>
      </w:pPr>
      <w:r>
        <w:rPr>
          <w:b/>
        </w:rPr>
        <w:t>Transaction Safety</w:t>
      </w:r>
      <w:r>
        <w:t>: Guaranteed linearizability using atomic document updates.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`AdminDashboardView`</w:t>
      </w:r>
    </w:p>
    <w:p>
      <w:pPr>
        <w:pStyle w:val="ListBullet"/>
        <w:spacing w:before="20" w:after="40" w:line="276" w:lineRule="auto"/>
      </w:pPr>
      <w:r>
        <w:rPr>
          <w:b/>
        </w:rPr>
        <w:t>Responsibilities</w:t>
      </w:r>
      <w:r>
        <w:t>: Fetches high-level KPIs (</w:t>
      </w:r>
      <w:r>
        <w:rPr>
          <w:rFonts w:ascii="Consolas" w:hAnsi="Consolas"/>
          <w:color w:val="C7254E"/>
          <w:sz w:val="19"/>
        </w:rPr>
        <w:t>users.count_documents()</w:t>
      </w:r>
      <w:r>
        <w:t xml:space="preserve">, </w:t>
      </w:r>
      <w:r>
        <w:rPr>
          <w:rFonts w:ascii="Consolas" w:hAnsi="Consolas"/>
          <w:color w:val="C7254E"/>
          <w:sz w:val="19"/>
        </w:rPr>
        <w:t>rentals.count_documents({'status': 'ACTIVE'})</w:t>
      </w:r>
      <w:r>
        <w:t xml:space="preserve">), calculates gross recurring revenue, and returns the top customer records sorted by </w:t>
      </w:r>
      <w:r>
        <w:rPr>
          <w:rFonts w:ascii="Consolas" w:hAnsi="Consolas"/>
          <w:color w:val="C7254E"/>
          <w:sz w:val="19"/>
        </w:rPr>
        <w:t>churn_risk_score</w:t>
      </w:r>
      <w:r>
        <w:t xml:space="preserve"> descending.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Frontend Component Hierarchy &amp; State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App[App.jsx - Global State] --&gt; Nav[Navbar - Auth &amp; City Status]</w:t>
              <w:br/>
              <w:t xml:space="preserve">    App --&gt; CityModal[CitySelectionModal.jsx]</w:t>
              <w:br/>
              <w:t xml:space="preserve">    App --&gt; Catalog[CatalogGrid.jsx]</w:t>
              <w:br/>
              <w:t xml:space="preserve">    Catalog --&gt; ProductCard[ProductCard.jsx - Dynamic Price Selector]</w:t>
              <w:br/>
              <w:t xml:space="preserve">    App --&gt; CartDrawer[CartDrawer.jsx - Multi-tenure Summary]</w:t>
              <w:br/>
              <w:t xml:space="preserve">    App --&gt; AdminDash[AdminDashboard.jsx - Churn &amp; SHAP Charts]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4.1 State Management Mechanics</w:t>
      </w:r>
    </w:p>
    <w:p>
      <w:pPr>
        <w:pStyle w:val="ListBullet"/>
        <w:spacing w:before="20" w:after="40" w:line="276" w:lineRule="auto"/>
      </w:pPr>
      <w:r>
        <w:rPr>
          <w:b/>
        </w:rPr>
        <w:t>Location State</w:t>
      </w:r>
      <w:r>
        <w:t>: Persists chosen operational city (e.g. Bangalore) in LocalStorage and Axios default request headers.</w:t>
      </w:r>
    </w:p>
    <w:p>
      <w:pPr>
        <w:pStyle w:val="ListBullet"/>
        <w:spacing w:before="20" w:after="40" w:line="276" w:lineRule="auto"/>
      </w:pPr>
      <w:r>
        <w:rPr>
          <w:b/>
        </w:rPr>
        <w:t>Authentication State</w:t>
      </w:r>
      <w:r>
        <w:t xml:space="preserve">: Stores the JWT access token in client memory and session storage, with Axios response interceptors triggering silent token renewal via </w:t>
      </w:r>
      <w:r>
        <w:rPr>
          <w:rFonts w:ascii="Consolas" w:hAnsi="Consolas"/>
          <w:color w:val="C7254E"/>
          <w:sz w:val="19"/>
        </w:rPr>
        <w:t>/api/token/refresh/</w:t>
      </w:r>
      <w:r>
        <w:t xml:space="preserve"> upon receiving a </w:t>
      </w:r>
      <w:r>
        <w:rPr>
          <w:rFonts w:ascii="Consolas" w:hAnsi="Consolas"/>
          <w:color w:val="C7254E"/>
          <w:sz w:val="19"/>
        </w:rPr>
        <w:t>401 Unauthorized</w:t>
      </w:r>
      <w: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Error Handling &amp; Concurrency Model</w:t>
      </w:r>
    </w:p>
    <w:p>
      <w:pPr>
        <w:pStyle w:val="ListNumber"/>
        <w:spacing w:before="20" w:after="40" w:line="276" w:lineRule="auto"/>
      </w:pPr>
      <w:r>
        <w:rPr>
          <w:b/>
        </w:rPr>
        <w:t>Database Connection Failures</w:t>
      </w:r>
      <w:r>
        <w:t>: Wrapped with standard retry logic and exponential backoff ($250\text{ms} \to 500\text{ms} \to 1000\text{ms}$).</w:t>
      </w:r>
    </w:p>
    <w:p>
      <w:pPr>
        <w:pStyle w:val="ListNumber"/>
        <w:spacing w:before="20" w:after="40" w:line="276" w:lineRule="auto"/>
      </w:pPr>
      <w:r>
        <w:rPr>
          <w:b/>
        </w:rPr>
        <w:t>Stock Exhaustion</w:t>
      </w:r>
      <w:r>
        <w:t xml:space="preserve">: Handled with explicit HTTP </w:t>
      </w:r>
      <w:r>
        <w:rPr>
          <w:rFonts w:ascii="Consolas" w:hAnsi="Consolas"/>
          <w:color w:val="C7254E"/>
          <w:sz w:val="19"/>
        </w:rPr>
        <w:t>409 Conflict</w:t>
      </w:r>
      <w:r>
        <w:t xml:space="preserve"> containing human-readable error messages: </w:t>
      </w:r>
      <w:r>
        <w:rPr>
          <w:rFonts w:ascii="Consolas" w:hAnsi="Consolas"/>
          <w:color w:val="C7254E"/>
          <w:sz w:val="19"/>
        </w:rPr>
        <w:t>"Requested item has been leased by another user. Stock depleted."</w:t>
      </w:r>
    </w:p>
    <w:p>
      <w:pPr>
        <w:pStyle w:val="ListNumber"/>
        <w:spacing w:before="20" w:after="40" w:line="276" w:lineRule="auto"/>
      </w:pPr>
      <w:r>
        <w:rPr>
          <w:b/>
        </w:rPr>
        <w:t>Invalid Tokens</w:t>
      </w:r>
      <w:r>
        <w:t xml:space="preserve">: Returns standardized HTTP </w:t>
      </w:r>
      <w:r>
        <w:rPr>
          <w:rFonts w:ascii="Consolas" w:hAnsi="Consolas"/>
          <w:color w:val="C7254E"/>
          <w:sz w:val="19"/>
        </w:rPr>
        <w:t>401 Unauthorized</w:t>
      </w:r>
      <w:r>
        <w:t xml:space="preserve"> with </w:t>
      </w:r>
      <w:r>
        <w:rPr>
          <w:rFonts w:ascii="Consolas" w:hAnsi="Consolas"/>
          <w:color w:val="C7254E"/>
          <w:sz w:val="19"/>
        </w:rPr>
        <w:t>TokenExpiredError</w:t>
      </w:r>
      <w:r>
        <w:t xml:space="preserve"> claim.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