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b/>
          <w:color w:val="111827"/>
          <w:sz w:val="40"/>
        </w:rPr>
        <w:t>SDC-II Capstone Project Review Report</w:t>
      </w:r>
    </w:p>
    <w:p>
      <w:pPr>
        <w:keepNext/>
        <w:spacing w:before="360" w:after="160"/>
      </w:pPr>
      <w:r>
        <w:rPr>
          <w:b/>
          <w:color w:val="111827"/>
          <w:sz w:val="40"/>
        </w:rPr>
        <w:t>Rentora: An Intelligent, Explainable Cloud Ecosystem for Smart Appliance and Furniture Leasing</w:t>
      </w:r>
    </w:p>
    <w:p>
      <w:pPr>
        <w:spacing w:after="120" w:before="0" w:line="276" w:lineRule="auto"/>
      </w:pPr>
      <w:r>
        <w:rPr>
          <w:b/>
        </w:rPr>
        <w:t>Course / Curriculum</w:t>
      </w:r>
      <w:r>
        <w:t>: Software Development Cell (SDC-II) Capstone Project</w:t>
      </w:r>
    </w:p>
    <w:p>
      <w:pPr>
        <w:spacing w:after="120" w:before="0" w:line="276" w:lineRule="auto"/>
      </w:pPr>
      <w:r>
        <w:rPr>
          <w:b/>
        </w:rPr>
        <w:t>Academic Year</w:t>
      </w:r>
      <w:r>
        <w:t>: 2025 – 2026</w:t>
      </w:r>
    </w:p>
    <w:p>
      <w:pPr>
        <w:spacing w:after="120" w:before="0" w:line="276" w:lineRule="auto"/>
      </w:pPr>
      <w:r>
        <w:rPr>
          <w:b/>
        </w:rPr>
        <w:t>Review Stage</w:t>
      </w:r>
      <w:r>
        <w:t>: SDC-II Final Project Review &amp; Technical Evaluation</w:t>
      </w:r>
    </w:p>
    <w:p>
      <w:pPr>
        <w:spacing w:after="120" w:before="0" w:line="276" w:lineRule="auto"/>
      </w:pPr>
      <w:r>
        <w:rPr>
          <w:b/>
        </w:rPr>
        <w:t>System Status</w:t>
      </w:r>
      <w:r>
        <w:t>: 100% Fully Implemented, Verified &amp; Production-Ready</w:t>
      </w:r>
    </w:p>
    <w:p>
      <w:pPr>
        <w:spacing w:after="120" w:before="0" w:line="276" w:lineRule="auto"/>
      </w:pPr>
      <w:r>
        <w:rPr>
          <w:b/>
        </w:rPr>
        <w:t>Project Repository</w:t>
      </w:r>
      <w:r>
        <w:t xml:space="preserve">: </w:t>
      </w:r>
      <w:r>
        <w:rPr>
          <w:rFonts w:ascii="Consolas" w:hAnsi="Consolas"/>
          <w:color w:val="C7254E"/>
          <w:sz w:val="19"/>
        </w:rPr>
        <w:t>Rentora</w:t>
      </w:r>
    </w:p>
    <w:p>
      <w:pPr>
        <w:spacing w:before="120" w:after="120"/>
        <w:pBdr>
          <w:bottom w:val="single" w:sz="6" w:space="1" w:color="D1D5DB"/>
        </w:pBdr>
      </w:pPr>
    </w:p>
    <w:p>
      <w:pPr>
        <w:keepNext/>
        <w:spacing w:before="280" w:after="120"/>
      </w:pPr>
      <w:r>
        <w:rPr>
          <w:b/>
          <w:color w:val="1E3A8A"/>
          <w:sz w:val="30"/>
        </w:rPr>
        <w:t>Executive Summary</w:t>
      </w:r>
    </w:p>
    <w:p>
      <w:pPr>
        <w:spacing w:after="120" w:before="0" w:line="276" w:lineRule="auto"/>
      </w:pPr>
      <w:r>
        <w:t>The transition of consumer behavior toward an asset-light, circular economy has transformed consumer durable acquisition. Transient demographics—such as university students, relocating corporate employees, and young urban professionals—frequently encounter high capital barriers when purchasing essential home durables (appliances and furnishings). Traditional leasing services struggle with structural hurdles: high customer churn, reactive cancellation interventions, opaque contract administration, rigid relational schemas, and lack of customer-centric ownership trajectories.</w:t>
      </w:r>
    </w:p>
    <w:p>
      <w:pPr>
        <w:spacing w:after="120" w:before="0" w:line="276" w:lineRule="auto"/>
      </w:pPr>
      <w:r>
        <w:rPr>
          <w:b/>
        </w:rPr>
        <w:t>Rentora</w:t>
      </w:r>
      <w:r>
        <w:t xml:space="preserve"> is an enterprise-grade, intelligent cloud leasing ecosystem designed and built for the </w:t>
      </w:r>
      <w:r>
        <w:rPr>
          <w:b/>
        </w:rPr>
        <w:t>SDC-II (Software Development Cell - II)</w:t>
      </w:r>
      <w:r>
        <w:t xml:space="preserve"> capstone curriculum. Built on a high-throughput </w:t>
      </w:r>
      <w:r>
        <w:rPr>
          <w:b/>
        </w:rPr>
        <w:t>MongoDB NoSQL data foundation</w:t>
      </w:r>
      <w:r>
        <w:t xml:space="preserve">, a responsive </w:t>
      </w:r>
      <w:r>
        <w:rPr>
          <w:b/>
        </w:rPr>
        <w:t>React 18 Single Page Application (SPA)</w:t>
      </w:r>
      <w:r>
        <w:t xml:space="preserve">, and a </w:t>
      </w:r>
      <w:r>
        <w:rPr>
          <w:b/>
        </w:rPr>
        <w:t>high-performance RESTful API with real-time WebSockets</w:t>
      </w:r>
      <w:r>
        <w:t xml:space="preserve">, Rentora integrates an </w:t>
      </w:r>
      <w:r>
        <w:rPr>
          <w:b/>
        </w:rPr>
        <w:t>asynchronous Machine Learning pipeline</w:t>
      </w:r>
      <w:r>
        <w:t xml:space="preserve"> featuring:</w:t>
      </w:r>
    </w:p>
    <w:p>
      <w:pPr>
        <w:pStyle w:val="ListNumber"/>
        <w:spacing w:before="20" w:after="40" w:line="276" w:lineRule="auto"/>
      </w:pPr>
      <w:r>
        <w:rPr>
          <w:b/>
        </w:rPr>
        <w:t>Predictive Customer Churn Modeling</w:t>
      </w:r>
      <w:r>
        <w:t xml:space="preserve">: A LightGBM classifier achieving </w:t>
      </w:r>
      <w:r>
        <w:rPr>
          <w:b/>
        </w:rPr>
        <w:t>95.33% Accuracy</w:t>
      </w:r>
      <w:r>
        <w:t xml:space="preserve"> and </w:t>
      </w:r>
      <w:r>
        <w:rPr>
          <w:b/>
        </w:rPr>
        <w:t>99.10% ROC-AUC</w:t>
      </w:r>
      <w:r>
        <w:t xml:space="preserve"> with sub-millisecond inference.</w:t>
      </w:r>
    </w:p>
    <w:p>
      <w:pPr>
        <w:pStyle w:val="ListNumber"/>
        <w:spacing w:before="20" w:after="40" w:line="276" w:lineRule="auto"/>
      </w:pPr>
      <w:r>
        <w:rPr>
          <w:b/>
        </w:rPr>
        <w:t>Explainable AI (XAI)</w:t>
      </w:r>
      <w:r>
        <w:t>: Native TreeSHAP integration transforming complex gradient-boosted decision trees into plain-language actionable reason codes.</w:t>
      </w:r>
    </w:p>
    <w:p>
      <w:pPr>
        <w:pStyle w:val="ListNumber"/>
        <w:spacing w:before="20" w:after="40" w:line="276" w:lineRule="auto"/>
      </w:pPr>
      <w:r>
        <w:rPr>
          <w:b/>
        </w:rPr>
        <w:t>Personalized Catalog Recommendations</w:t>
      </w:r>
      <w:r>
        <w:t>: Sublinear TF-IDF vectorization and cosine similarity mapping customer preferences to relevant catalog items.</w:t>
      </w:r>
    </w:p>
    <w:p>
      <w:pPr>
        <w:pStyle w:val="ListNumber"/>
        <w:spacing w:before="20" w:after="40" w:line="276" w:lineRule="auto"/>
      </w:pPr>
      <w:r>
        <w:rPr>
          <w:b/>
        </w:rPr>
        <w:t>Rent-to-Own Equity Builder</w:t>
      </w:r>
      <w:r>
        <w:t>: A flexible contract mechanism allowing customers to accrue up to 70% of lease payments as equity, culminating in verifiable, printable digital ownership certificates.</w:t>
      </w:r>
    </w:p>
    <w:p>
      <w:pPr>
        <w:pStyle w:val="ListNumber"/>
        <w:spacing w:before="20" w:after="40" w:line="276" w:lineRule="auto"/>
      </w:pPr>
      <w:r>
        <w:rPr>
          <w:b/>
        </w:rPr>
        <w:t>UNLMTD Whole-Home Subscriptions &amp; Curated Combos</w:t>
      </w:r>
      <w:r>
        <w:t>: Zero-deposit whole-home packages with penalty-free style upgrades.</w:t>
      </w:r>
    </w:p>
    <w:p>
      <w:pPr>
        <w:pStyle w:val="ListNumber"/>
        <w:spacing w:before="20" w:after="40" w:line="276" w:lineRule="auto"/>
      </w:pPr>
      <w:r>
        <w:rPr>
          <w:b/>
        </w:rPr>
        <w:t>Rentora Shield Damage Waiver</w:t>
      </w:r>
      <w:r>
        <w:t>: ₹10,000 accidental damage protection with escrow security deposit guarantees.</w:t>
      </w:r>
    </w:p>
    <w:p>
      <w:pPr>
        <w:pStyle w:val="ListNumber"/>
        <w:spacing w:before="20" w:after="40" w:line="276" w:lineRule="auto"/>
      </w:pPr>
      <w:r>
        <w:rPr>
          <w:b/>
        </w:rPr>
        <w:t>Real-Time Field Logistics &amp; Service Tracking</w:t>
      </w:r>
      <w:r>
        <w:t>: Live Socket.io dispatch tracking for delivery, maintenance, and return technicians.</w:t>
      </w:r>
    </w:p>
    <w:p>
      <w:pPr>
        <w:pStyle w:val="ListNumber"/>
        <w:spacing w:before="20" w:after="40" w:line="276" w:lineRule="auto"/>
      </w:pPr>
      <w:r>
        <w:rPr>
          <w:b/>
        </w:rPr>
        <w:t>Rentora Concierge</w:t>
      </w:r>
      <w:r>
        <w:t>: Context-aware conversational AI assistant for 24/7 customer guidance.</w:t>
      </w:r>
    </w:p>
    <w:p>
      <w:pPr>
        <w:spacing w:after="120" w:before="0" w:line="276" w:lineRule="auto"/>
      </w:pPr>
      <w:r>
        <w:t xml:space="preserve">Automated verification using the project's test suite confirms </w:t>
      </w:r>
      <w:r>
        <w:rPr>
          <w:b/>
        </w:rPr>
        <w:t>14/14 automated end-to-end verification steps passed with a 100% pass rate</w:t>
      </w:r>
      <w:r>
        <w:t xml:space="preserve"> in under 5 seconds.</w:t>
      </w:r>
    </w:p>
    <w:p>
      <w:pPr>
        <w:spacing w:before="120" w:after="120"/>
        <w:pBdr>
          <w:bottom w:val="single" w:sz="6" w:space="1" w:color="D1D5DB"/>
        </w:pBdr>
      </w:pPr>
    </w:p>
    <w:p>
      <w:pPr>
        <w:keepNext/>
        <w:spacing w:before="280" w:after="120"/>
      </w:pPr>
      <w:r>
        <w:rPr>
          <w:b/>
          <w:color w:val="1E3A8A"/>
          <w:sz w:val="30"/>
        </w:rPr>
        <w:t>Table of Contents</w:t>
      </w:r>
    </w:p>
    <w:p>
      <w:pPr>
        <w:pStyle w:val="ListNumber"/>
        <w:spacing w:before="20" w:after="40" w:line="276" w:lineRule="auto"/>
      </w:pPr>
      <w:r>
        <w:rPr>
          <w:color w:val="1A73E8"/>
          <w:u w:val="single"/>
        </w:rPr>
        <w:t>Chapter 1: Project Overview &amp; SDC-II Review Objectives (#chapter-1-project-overview--sdc-ii-review-objectives)</w:t>
      </w:r>
    </w:p>
    <w:p>
      <w:pPr>
        <w:pStyle w:val="ListNumber"/>
        <w:spacing w:before="20" w:after="40" w:line="276" w:lineRule="auto"/>
      </w:pPr>
      <w:r>
        <w:rPr>
          <w:color w:val="1A73E8"/>
          <w:u w:val="single"/>
        </w:rPr>
        <w:t>Chapter 2: Problem Definition &amp; Market Analysis (#chapter-2-problem-definition--market-analysis)</w:t>
      </w:r>
    </w:p>
    <w:p>
      <w:pPr>
        <w:pStyle w:val="ListNumber"/>
        <w:spacing w:before="20" w:after="40" w:line="276" w:lineRule="auto"/>
      </w:pPr>
      <w:r>
        <w:rPr>
          <w:color w:val="1A73E8"/>
          <w:u w:val="single"/>
        </w:rPr>
        <w:t>Chapter 3: System Requirements &amp; Feasibility (#chapter-3-system-requirements--feasibility)</w:t>
      </w:r>
    </w:p>
    <w:p>
      <w:pPr>
        <w:pStyle w:val="ListNumber"/>
        <w:spacing w:before="20" w:after="40" w:line="276" w:lineRule="auto"/>
      </w:pPr>
      <w:r>
        <w:rPr>
          <w:color w:val="1A73E8"/>
          <w:u w:val="single"/>
        </w:rPr>
        <w:t>Chapter 4: System Architecture &amp; Technology Stack (#chapter-4-system-architecture--technology-stack)</w:t>
      </w:r>
    </w:p>
    <w:p>
      <w:pPr>
        <w:pStyle w:val="ListNumber"/>
        <w:spacing w:before="20" w:after="40" w:line="276" w:lineRule="auto"/>
      </w:pPr>
      <w:r>
        <w:rPr>
          <w:color w:val="1A73E8"/>
          <w:u w:val="single"/>
        </w:rPr>
        <w:t>Chapter 5: Detailed Module Implementation (15 Core Modules) (#chapter-5-detailed-module-implementation-15-core-modules)</w:t>
      </w:r>
    </w:p>
    <w:p>
      <w:pPr>
        <w:pStyle w:val="ListNumber"/>
        <w:spacing w:before="20" w:after="40" w:line="276" w:lineRule="auto"/>
      </w:pPr>
      <w:r>
        <w:rPr>
          <w:color w:val="1A73E8"/>
          <w:u w:val="single"/>
        </w:rPr>
        <w:t>Chapter 6: Artificial Intelligence &amp; Machine Learning Pipeline (#chapter-6-artificial-intelligence--machine-learning-pipeline)</w:t>
      </w:r>
    </w:p>
    <w:p>
      <w:pPr>
        <w:pStyle w:val="ListNumber"/>
        <w:spacing w:before="20" w:after="40" w:line="276" w:lineRule="auto"/>
      </w:pPr>
      <w:r>
        <w:rPr>
          <w:color w:val="1A73E8"/>
          <w:u w:val="single"/>
        </w:rPr>
        <w:t>Chapter 7: Experimental Benchmarks &amp; Performance Results (#chapter-7-experimental-benchmarks--performance-results)</w:t>
      </w:r>
    </w:p>
    <w:p>
      <w:pPr>
        <w:pStyle w:val="ListNumber"/>
        <w:spacing w:before="20" w:after="40" w:line="276" w:lineRule="auto"/>
      </w:pPr>
      <w:r>
        <w:rPr>
          <w:color w:val="1A73E8"/>
          <w:u w:val="single"/>
        </w:rPr>
        <w:t>Chapter 8: Automated System Verification &amp; Test Execution Log (#chapter-8-automated-system-verification--test-execution-log)</w:t>
      </w:r>
    </w:p>
    <w:p>
      <w:pPr>
        <w:pStyle w:val="ListNumber"/>
        <w:spacing w:before="20" w:after="40" w:line="276" w:lineRule="auto"/>
      </w:pPr>
      <w:r>
        <w:rPr>
          <w:color w:val="1A73E8"/>
          <w:u w:val="single"/>
        </w:rPr>
        <w:t>Chapter 9: Academic &amp; Industry Compliance Checklist (#chapter-9-academic--industry-compliance-checklist)</w:t>
      </w:r>
    </w:p>
    <w:p>
      <w:pPr>
        <w:pStyle w:val="ListNumber"/>
        <w:spacing w:before="20" w:after="40" w:line="276" w:lineRule="auto"/>
      </w:pPr>
      <w:r>
        <w:rPr>
          <w:color w:val="1A73E8"/>
          <w:u w:val="single"/>
        </w:rPr>
        <w:t>Chapter 10: Conclusion &amp; Future Scope (#chapter-10-conclusion--future-scope)</w:t>
      </w:r>
    </w:p>
    <w:p>
      <w:pPr>
        <w:pStyle w:val="ListNumber"/>
        <w:spacing w:before="20" w:after="40" w:line="276" w:lineRule="auto"/>
      </w:pPr>
      <w:r>
        <w:rPr>
          <w:color w:val="1A73E8"/>
          <w:u w:val="single"/>
        </w:rPr>
        <w:t>References (#references)</w:t>
      </w:r>
    </w:p>
    <w:p>
      <w:pPr>
        <w:spacing w:before="120" w:after="120"/>
        <w:pBdr>
          <w:bottom w:val="single" w:sz="6" w:space="1" w:color="D1D5DB"/>
        </w:pBdr>
      </w:pPr>
    </w:p>
    <w:p>
      <w:pPr>
        <w:keepNext/>
        <w:spacing w:before="280" w:after="120"/>
      </w:pPr>
      <w:r>
        <w:rPr>
          <w:b/>
          <w:color w:val="1E3A8A"/>
          <w:sz w:val="30"/>
        </w:rPr>
        <w:t>Chapter 1: Project Overview &amp; SDC-II Review Objectives</w:t>
      </w:r>
    </w:p>
    <w:p>
      <w:pPr>
        <w:keepNext/>
        <w:spacing w:before="200" w:after="80"/>
      </w:pPr>
      <w:r>
        <w:rPr>
          <w:b/>
          <w:color w:val="374151"/>
          <w:sz w:val="26"/>
        </w:rPr>
        <w:t>1.1 SDC-II Project Milestones &amp; Progress Tracking</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563EB"/>
            <w:tcMar>
              <w:top w:w="140" w:type="dxa"/>
              <w:bottom w:w="140" w:type="dxa"/>
              <w:left w:w="160" w:type="dxa"/>
              <w:right w:w="160" w:type="dxa"/>
            </w:tcMar>
          </w:tcPr>
          <w:p>
            <w:pPr>
              <w:spacing w:before="60" w:after="60" w:line="260" w:lineRule="exact"/>
            </w:pPr>
            <w:r>
              <w:rPr>
                <w:b/>
                <w:color w:val="FFFFFF"/>
                <w:sz w:val="20"/>
              </w:rPr>
              <w:t>Review Milestone</w:t>
            </w:r>
          </w:p>
        </w:tc>
        <w:tc>
          <w:tcPr>
            <w:tcW w:type="dxa" w:w="2340"/>
            <w:shd w:fill="2563EB"/>
            <w:tcMar>
              <w:top w:w="140" w:type="dxa"/>
              <w:bottom w:w="140" w:type="dxa"/>
              <w:left w:w="160" w:type="dxa"/>
              <w:right w:w="160" w:type="dxa"/>
            </w:tcMar>
          </w:tcPr>
          <w:p>
            <w:pPr>
              <w:spacing w:before="60" w:after="60" w:line="260" w:lineRule="exact"/>
            </w:pPr>
            <w:r>
              <w:rPr>
                <w:b/>
                <w:color w:val="FFFFFF"/>
                <w:sz w:val="20"/>
              </w:rPr>
              <w:t>Key Deliverables &amp; Scope</w:t>
            </w:r>
          </w:p>
        </w:tc>
        <w:tc>
          <w:tcPr>
            <w:tcW w:type="dxa" w:w="2340"/>
            <w:shd w:fill="2563EB"/>
            <w:tcMar>
              <w:top w:w="140" w:type="dxa"/>
              <w:bottom w:w="140" w:type="dxa"/>
              <w:left w:w="160" w:type="dxa"/>
              <w:right w:w="160" w:type="dxa"/>
            </w:tcMar>
          </w:tcPr>
          <w:p>
            <w:pPr>
              <w:spacing w:before="60" w:after="60" w:line="260" w:lineRule="exact"/>
            </w:pPr>
            <w:r>
              <w:rPr>
                <w:b/>
                <w:color w:val="FFFFFF"/>
                <w:sz w:val="20"/>
              </w:rPr>
              <w:t>Target Timeline</w:t>
            </w:r>
          </w:p>
        </w:tc>
        <w:tc>
          <w:tcPr>
            <w:tcW w:type="dxa" w:w="2340"/>
            <w:shd w:fill="2563EB"/>
            <w:tcMar>
              <w:top w:w="140" w:type="dxa"/>
              <w:bottom w:w="140" w:type="dxa"/>
              <w:left w:w="160" w:type="dxa"/>
              <w:right w:w="160" w:type="dxa"/>
            </w:tcMar>
          </w:tcPr>
          <w:p>
            <w:pPr>
              <w:spacing w:before="60" w:after="60" w:line="260" w:lineRule="exact"/>
            </w:pPr>
            <w:r>
              <w:rPr>
                <w:b/>
                <w:color w:val="FFFFFF"/>
                <w:sz w:val="20"/>
              </w:rPr>
              <w:t>Status</w:t>
            </w:r>
          </w:p>
        </w:tc>
      </w:tr>
      <w:tr>
        <w:tc>
          <w:tcPr>
            <w:tcW w:type="dxa" w:w="2340"/>
            <w:shd w:fill="F9FAFB"/>
            <w:tcMar>
              <w:top w:w="100" w:type="dxa"/>
              <w:bottom w:w="100" w:type="dxa"/>
              <w:left w:w="140" w:type="dxa"/>
              <w:right w:w="140" w:type="dxa"/>
            </w:tcMar>
          </w:tcPr>
          <w:p>
            <w:pPr>
              <w:spacing w:before="60" w:after="60" w:line="260" w:lineRule="exact"/>
            </w:pPr>
            <w:r>
              <w:rPr>
                <w:b/>
                <w:sz w:val="19"/>
              </w:rPr>
              <w:t>Review 0: Inception &amp; Proposal</w:t>
            </w:r>
          </w:p>
        </w:tc>
        <w:tc>
          <w:tcPr>
            <w:tcW w:type="dxa" w:w="2340"/>
            <w:shd w:fill="F9FAFB"/>
            <w:tcMar>
              <w:top w:w="100" w:type="dxa"/>
              <w:bottom w:w="100" w:type="dxa"/>
              <w:left w:w="140" w:type="dxa"/>
              <w:right w:w="140" w:type="dxa"/>
            </w:tcMar>
          </w:tcPr>
          <w:p>
            <w:pPr>
              <w:spacing w:before="60" w:after="60" w:line="260" w:lineRule="exact"/>
            </w:pPr>
            <w:r>
              <w:rPr>
                <w:sz w:val="19"/>
              </w:rPr>
              <w:t>Problem statement, feasibility analysis, software requirements specification (SRS IEEE 830), and preliminary schema design.</w:t>
            </w:r>
          </w:p>
        </w:tc>
        <w:tc>
          <w:tcPr>
            <w:tcW w:type="dxa" w:w="2340"/>
            <w:shd w:fill="F9FAFB"/>
            <w:tcMar>
              <w:top w:w="100" w:type="dxa"/>
              <w:bottom w:w="100" w:type="dxa"/>
              <w:left w:w="140" w:type="dxa"/>
              <w:right w:w="140" w:type="dxa"/>
            </w:tcMar>
          </w:tcPr>
          <w:p>
            <w:pPr>
              <w:spacing w:before="60" w:after="60" w:line="260" w:lineRule="exact"/>
            </w:pPr>
            <w:r>
              <w:rPr>
                <w:sz w:val="19"/>
              </w:rPr>
              <w:t>Weeks 1–3</w:t>
            </w:r>
          </w:p>
        </w:tc>
        <w:tc>
          <w:tcPr>
            <w:tcW w:type="dxa" w:w="2340"/>
            <w:shd w:fill="F9FAFB"/>
            <w:tcMar>
              <w:top w:w="100" w:type="dxa"/>
              <w:bottom w:w="100" w:type="dxa"/>
              <w:left w:w="140" w:type="dxa"/>
              <w:right w:w="140" w:type="dxa"/>
            </w:tcMar>
          </w:tcPr>
          <w:p>
            <w:pPr>
              <w:spacing w:before="60" w:after="60" w:line="260" w:lineRule="exact"/>
            </w:pPr>
            <w:r>
              <w:rPr>
                <w:b/>
                <w:sz w:val="19"/>
              </w:rPr>
              <w:t>COMPLETED</w:t>
            </w:r>
          </w:p>
        </w:tc>
      </w:tr>
      <w:tr>
        <w:tc>
          <w:tcPr>
            <w:tcW w:type="dxa" w:w="2340"/>
            <w:shd w:fill="FFFFFF"/>
            <w:tcMar>
              <w:top w:w="100" w:type="dxa"/>
              <w:bottom w:w="100" w:type="dxa"/>
              <w:left w:w="140" w:type="dxa"/>
              <w:right w:w="140" w:type="dxa"/>
            </w:tcMar>
          </w:tcPr>
          <w:p>
            <w:pPr>
              <w:spacing w:before="60" w:after="60" w:line="260" w:lineRule="exact"/>
            </w:pPr>
            <w:r>
              <w:rPr>
                <w:b/>
                <w:sz w:val="19"/>
              </w:rPr>
              <w:t>Review 1: Architecture &amp; Prototype</w:t>
            </w:r>
          </w:p>
        </w:tc>
        <w:tc>
          <w:tcPr>
            <w:tcW w:type="dxa" w:w="2340"/>
            <w:shd w:fill="FFFFFF"/>
            <w:tcMar>
              <w:top w:w="100" w:type="dxa"/>
              <w:bottom w:w="100" w:type="dxa"/>
              <w:left w:w="140" w:type="dxa"/>
              <w:right w:w="140" w:type="dxa"/>
            </w:tcMar>
          </w:tcPr>
          <w:p>
            <w:pPr>
              <w:spacing w:before="60" w:after="60" w:line="260" w:lineRule="exact"/>
            </w:pPr>
            <w:r>
              <w:rPr>
                <w:sz w:val="19"/>
              </w:rPr>
              <w:t>3-tier decoupled architecture, MongoDB collection design, JWT authentication, basic catalog browsing, and cart state.</w:t>
            </w:r>
          </w:p>
        </w:tc>
        <w:tc>
          <w:tcPr>
            <w:tcW w:type="dxa" w:w="2340"/>
            <w:shd w:fill="FFFFFF"/>
            <w:tcMar>
              <w:top w:w="100" w:type="dxa"/>
              <w:bottom w:w="100" w:type="dxa"/>
              <w:left w:w="140" w:type="dxa"/>
              <w:right w:w="140" w:type="dxa"/>
            </w:tcMar>
          </w:tcPr>
          <w:p>
            <w:pPr>
              <w:spacing w:before="60" w:after="60" w:line="260" w:lineRule="exact"/>
            </w:pPr>
            <w:r>
              <w:rPr>
                <w:sz w:val="19"/>
              </w:rPr>
              <w:t>Weeks 4–8</w:t>
            </w:r>
          </w:p>
        </w:tc>
        <w:tc>
          <w:tcPr>
            <w:tcW w:type="dxa" w:w="2340"/>
            <w:shd w:fill="FFFFFF"/>
            <w:tcMar>
              <w:top w:w="100" w:type="dxa"/>
              <w:bottom w:w="100" w:type="dxa"/>
              <w:left w:w="140" w:type="dxa"/>
              <w:right w:w="140" w:type="dxa"/>
            </w:tcMar>
          </w:tcPr>
          <w:p>
            <w:pPr>
              <w:spacing w:before="60" w:after="60" w:line="260" w:lineRule="exact"/>
            </w:pPr>
            <w:r>
              <w:rPr>
                <w:b/>
                <w:sz w:val="19"/>
              </w:rPr>
              <w:t>COMPLETED</w:t>
            </w:r>
          </w:p>
        </w:tc>
      </w:tr>
      <w:tr>
        <w:tc>
          <w:tcPr>
            <w:tcW w:type="dxa" w:w="2340"/>
            <w:shd w:fill="F9FAFB"/>
            <w:tcMar>
              <w:top w:w="100" w:type="dxa"/>
              <w:bottom w:w="100" w:type="dxa"/>
              <w:left w:w="140" w:type="dxa"/>
              <w:right w:w="140" w:type="dxa"/>
            </w:tcMar>
          </w:tcPr>
          <w:p>
            <w:pPr>
              <w:spacing w:before="60" w:after="60" w:line="260" w:lineRule="exact"/>
            </w:pPr>
            <w:r>
              <w:rPr>
                <w:b/>
                <w:sz w:val="19"/>
              </w:rPr>
              <w:t>Review 2: Full Integration &amp; AI Engine</w:t>
            </w:r>
          </w:p>
        </w:tc>
        <w:tc>
          <w:tcPr>
            <w:tcW w:type="dxa" w:w="2340"/>
            <w:shd w:fill="F9FAFB"/>
            <w:tcMar>
              <w:top w:w="100" w:type="dxa"/>
              <w:bottom w:w="100" w:type="dxa"/>
              <w:left w:w="140" w:type="dxa"/>
              <w:right w:w="140" w:type="dxa"/>
            </w:tcMar>
          </w:tcPr>
          <w:p>
            <w:pPr>
              <w:spacing w:before="60" w:after="60" w:line="260" w:lineRule="exact"/>
            </w:pPr>
            <w:r>
              <w:rPr>
                <w:sz w:val="19"/>
              </w:rPr>
              <w:t>Machine Learning pipeline (LightGBM Churn + TreeSHAP + TF-IDF Recommender), KYC verification gateway, booking engine, and atomic inventory locks.</w:t>
            </w:r>
          </w:p>
        </w:tc>
        <w:tc>
          <w:tcPr>
            <w:tcW w:type="dxa" w:w="2340"/>
            <w:shd w:fill="F9FAFB"/>
            <w:tcMar>
              <w:top w:w="100" w:type="dxa"/>
              <w:bottom w:w="100" w:type="dxa"/>
              <w:left w:w="140" w:type="dxa"/>
              <w:right w:w="140" w:type="dxa"/>
            </w:tcMar>
          </w:tcPr>
          <w:p>
            <w:pPr>
              <w:spacing w:before="60" w:after="60" w:line="260" w:lineRule="exact"/>
            </w:pPr>
            <w:r>
              <w:rPr>
                <w:sz w:val="19"/>
              </w:rPr>
              <w:t>Weeks 9–12</w:t>
            </w:r>
          </w:p>
        </w:tc>
        <w:tc>
          <w:tcPr>
            <w:tcW w:type="dxa" w:w="2340"/>
            <w:shd w:fill="F9FAFB"/>
            <w:tcMar>
              <w:top w:w="100" w:type="dxa"/>
              <w:bottom w:w="100" w:type="dxa"/>
              <w:left w:w="140" w:type="dxa"/>
              <w:right w:w="140" w:type="dxa"/>
            </w:tcMar>
          </w:tcPr>
          <w:p>
            <w:pPr>
              <w:spacing w:before="60" w:after="60" w:line="260" w:lineRule="exact"/>
            </w:pPr>
            <w:r>
              <w:rPr>
                <w:b/>
                <w:sz w:val="19"/>
              </w:rPr>
              <w:t>COMPLETED</w:t>
            </w:r>
          </w:p>
        </w:tc>
      </w:tr>
      <w:tr>
        <w:tc>
          <w:tcPr>
            <w:tcW w:type="dxa" w:w="2340"/>
            <w:shd w:fill="FFFFFF"/>
            <w:tcMar>
              <w:top w:w="100" w:type="dxa"/>
              <w:bottom w:w="100" w:type="dxa"/>
              <w:left w:w="140" w:type="dxa"/>
              <w:right w:w="140" w:type="dxa"/>
            </w:tcMar>
          </w:tcPr>
          <w:p>
            <w:pPr>
              <w:spacing w:before="60" w:after="60" w:line="260" w:lineRule="exact"/>
            </w:pPr>
            <w:r>
              <w:rPr>
                <w:b/>
                <w:sz w:val="19"/>
              </w:rPr>
              <w:t>SDC-II Final Review (Current)</w:t>
            </w:r>
          </w:p>
        </w:tc>
        <w:tc>
          <w:tcPr>
            <w:tcW w:type="dxa" w:w="2340"/>
            <w:shd w:fill="FFFFFF"/>
            <w:tcMar>
              <w:top w:w="100" w:type="dxa"/>
              <w:bottom w:w="100" w:type="dxa"/>
              <w:left w:w="140" w:type="dxa"/>
              <w:right w:w="140" w:type="dxa"/>
            </w:tcMar>
          </w:tcPr>
          <w:p>
            <w:pPr>
              <w:spacing w:before="60" w:after="60" w:line="260" w:lineRule="exact"/>
            </w:pPr>
            <w:r>
              <w:rPr>
                <w:sz w:val="19"/>
              </w:rPr>
              <w:t>End-to-end cloud platform, Rent-to-Own Equity Builder, UNLMTD subscriptions, Live WebSockets delivery tracking, Rentora Concierge AI, 3-role RBAC, comprehensive test verification, and complete documentation suite.</w:t>
            </w:r>
          </w:p>
        </w:tc>
        <w:tc>
          <w:tcPr>
            <w:tcW w:type="dxa" w:w="2340"/>
            <w:shd w:fill="FFFFFF"/>
            <w:tcMar>
              <w:top w:w="100" w:type="dxa"/>
              <w:bottom w:w="100" w:type="dxa"/>
              <w:left w:w="140" w:type="dxa"/>
              <w:right w:w="140" w:type="dxa"/>
            </w:tcMar>
          </w:tcPr>
          <w:p>
            <w:pPr>
              <w:spacing w:before="60" w:after="60" w:line="260" w:lineRule="exact"/>
            </w:pPr>
            <w:r>
              <w:rPr>
                <w:sz w:val="19"/>
              </w:rPr>
              <w:t>Final Review</w:t>
            </w:r>
          </w:p>
        </w:tc>
        <w:tc>
          <w:tcPr>
            <w:tcW w:type="dxa" w:w="2340"/>
            <w:shd w:fill="FFFFFF"/>
            <w:tcMar>
              <w:top w:w="100" w:type="dxa"/>
              <w:bottom w:w="100" w:type="dxa"/>
              <w:left w:w="140" w:type="dxa"/>
              <w:right w:w="140" w:type="dxa"/>
            </w:tcMar>
          </w:tcPr>
          <w:p>
            <w:pPr>
              <w:spacing w:before="60" w:after="60" w:line="260" w:lineRule="exact"/>
            </w:pPr>
            <w:r>
              <w:rPr>
                <w:b/>
                <w:sz w:val="19"/>
              </w:rPr>
              <w:t>100% COMPLETED</w:t>
            </w:r>
          </w:p>
        </w:tc>
      </w:tr>
    </w:tbl>
    <w:p>
      <w:pPr>
        <w:spacing w:after="120"/>
      </w:pPr>
    </w:p>
    <w:p>
      <w:pPr>
        <w:keepNext/>
        <w:spacing w:before="200" w:after="80"/>
      </w:pPr>
      <w:r>
        <w:rPr>
          <w:b/>
          <w:color w:val="374151"/>
          <w:sz w:val="26"/>
        </w:rPr>
        <w:t>1.2 Core Project Objectives</w:t>
      </w:r>
    </w:p>
    <w:p>
      <w:pPr>
        <w:pStyle w:val="ListNumber"/>
        <w:spacing w:before="20" w:after="40" w:line="276" w:lineRule="auto"/>
      </w:pPr>
      <w:r>
        <w:rPr>
          <w:b/>
        </w:rPr>
        <w:t>Architectural Cohesion</w:t>
      </w:r>
      <w:r>
        <w:t>: Establish a pure NoSQL MongoDB database architecture supporting dynamic multi-city inventory, variable tenure pricing (3, 6, 12 months), and sub-100ms API response latencies.</w:t>
      </w:r>
    </w:p>
    <w:p>
      <w:pPr>
        <w:pStyle w:val="ListNumber"/>
        <w:spacing w:before="20" w:after="40" w:line="276" w:lineRule="auto"/>
      </w:pPr>
      <w:r>
        <w:rPr>
          <w:b/>
        </w:rPr>
        <w:t>Proactive Customer Retention</w:t>
      </w:r>
      <w:r>
        <w:t>: Construct an asynchronous ETL data pipeline feeding an optimized LightGBM classifier to detect churn risk prior to contract completion.</w:t>
      </w:r>
    </w:p>
    <w:p>
      <w:pPr>
        <w:pStyle w:val="ListNumber"/>
        <w:spacing w:before="20" w:after="40" w:line="276" w:lineRule="auto"/>
      </w:pPr>
      <w:r>
        <w:rPr>
          <w:b/>
        </w:rPr>
        <w:t>Interpretability in Enterprise AI</w:t>
      </w:r>
      <w:r>
        <w:t>: Eliminate "black-box" decision making by integrating TreeSHAP local attribution values into human-readable business reason codes for customer success teams.</w:t>
      </w:r>
    </w:p>
    <w:p>
      <w:pPr>
        <w:pStyle w:val="ListNumber"/>
        <w:spacing w:before="20" w:after="40" w:line="276" w:lineRule="auto"/>
      </w:pPr>
      <w:r>
        <w:rPr>
          <w:b/>
        </w:rPr>
        <w:t>End-to-End Customer Empowerment</w:t>
      </w:r>
      <w:r>
        <w:t>: Provide modern features including Rent-to-Own equity calculation, instant certificate generation, damage waiver protection, and real-time delivery GPS tracking.</w:t>
      </w:r>
    </w:p>
    <w:p>
      <w:pPr>
        <w:pStyle w:val="ListNumber"/>
        <w:spacing w:before="20" w:after="40" w:line="276" w:lineRule="auto"/>
      </w:pPr>
      <w:r>
        <w:rPr>
          <w:b/>
        </w:rPr>
        <w:t>Multi-Role Administration</w:t>
      </w:r>
      <w:r>
        <w:t>: Enforce strict Role-Based Access Control (RBAC) across three distinct actors: Customers, Peer Appliance Owners/Vendors, and Platform Administrators.</w:t>
      </w:r>
    </w:p>
    <w:p>
      <w:pPr>
        <w:spacing w:before="120" w:after="120"/>
        <w:pBdr>
          <w:bottom w:val="single" w:sz="6" w:space="1" w:color="D1D5DB"/>
        </w:pBdr>
      </w:pPr>
    </w:p>
    <w:p>
      <w:pPr>
        <w:keepNext/>
        <w:spacing w:before="280" w:after="120"/>
      </w:pPr>
      <w:r>
        <w:rPr>
          <w:b/>
          <w:color w:val="1E3A8A"/>
          <w:sz w:val="30"/>
        </w:rPr>
        <w:t>Chapter 2: Problem Definition &amp; Market Analysis</w:t>
      </w:r>
    </w:p>
    <w:p>
      <w:pPr>
        <w:keepNext/>
        <w:spacing w:before="200" w:after="80"/>
      </w:pPr>
      <w:r>
        <w:rPr>
          <w:b/>
          <w:color w:val="374151"/>
          <w:sz w:val="26"/>
        </w:rPr>
        <w:t>2.1 The Traditional Rental Dilemma</w:t>
      </w:r>
    </w:p>
    <w:p>
      <w:pPr>
        <w:spacing w:after="120" w:before="0" w:line="276" w:lineRule="auto"/>
      </w:pPr>
      <w:r>
        <w:t>In traditional consumer durables leasing, platforms encounter significant operational bottlenecks:</w:t>
      </w:r>
    </w:p>
    <w:p>
      <w:pPr>
        <w:pStyle w:val="ListBullet"/>
        <w:spacing w:before="20" w:after="40" w:line="276" w:lineRule="auto"/>
      </w:pPr>
      <w:r>
        <w:rPr>
          <w:b/>
        </w:rPr>
        <w:t>Reactive Churn Handling</w:t>
      </w:r>
      <w:r>
        <w:t>: Businesses discover customer dissatisfaction only after cancellation notices or return requests are submitted.</w:t>
      </w:r>
    </w:p>
    <w:p>
      <w:pPr>
        <w:pStyle w:val="ListBullet"/>
        <w:spacing w:before="20" w:after="40" w:line="276" w:lineRule="auto"/>
      </w:pPr>
      <w:r>
        <w:rPr>
          <w:b/>
        </w:rPr>
        <w:t>Relational Schema Rigidity</w:t>
      </w:r>
      <w:r>
        <w:t>: Relational databases (RDBMS) require heavy multi-table joins to manage multi-tier tenures, city availability, flexible accessories, and rental inspection logs.</w:t>
      </w:r>
    </w:p>
    <w:p>
      <w:pPr>
        <w:pStyle w:val="ListBullet"/>
        <w:spacing w:before="20" w:after="40" w:line="276" w:lineRule="auto"/>
      </w:pPr>
      <w:r>
        <w:rPr>
          <w:b/>
        </w:rPr>
        <w:t>Opaque Contract Equity</w:t>
      </w:r>
      <w:r>
        <w:t>: Customers perceive rental payments as "dead capital" with no long-term equity return.</w:t>
      </w:r>
    </w:p>
    <w:p>
      <w:pPr>
        <w:pStyle w:val="ListBullet"/>
        <w:spacing w:before="20" w:after="40" w:line="276" w:lineRule="auto"/>
      </w:pPr>
      <w:r>
        <w:rPr>
          <w:b/>
        </w:rPr>
        <w:t>Security &amp; Fraud Vulnerabilities</w:t>
      </w:r>
      <w:r>
        <w:t>: Lack of mandatory pre-checkout KYC verification exposes rental platforms to asset theft and unrecoverable hardware defaults.</w:t>
      </w:r>
    </w:p>
    <w:p>
      <w:pPr>
        <w:keepNext/>
        <w:spacing w:before="200" w:after="80"/>
      </w:pPr>
      <w:r>
        <w:rPr>
          <w:b/>
          <w:color w:val="374151"/>
          <w:sz w:val="26"/>
        </w:rPr>
        <w:t>2.2 The Rentora Solution Matrix</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2563EB"/>
            <w:tcMar>
              <w:top w:w="140" w:type="dxa"/>
              <w:bottom w:w="140" w:type="dxa"/>
              <w:left w:w="160" w:type="dxa"/>
              <w:right w:w="160" w:type="dxa"/>
            </w:tcMar>
          </w:tcPr>
          <w:p>
            <w:pPr>
              <w:spacing w:before="60" w:after="60" w:line="260" w:lineRule="exact"/>
            </w:pPr>
            <w:r>
              <w:rPr>
                <w:b/>
                <w:color w:val="FFFFFF"/>
                <w:sz w:val="20"/>
              </w:rPr>
              <w:t>Operational Challenge</w:t>
            </w:r>
          </w:p>
        </w:tc>
        <w:tc>
          <w:tcPr>
            <w:tcW w:type="dxa" w:w="3120"/>
            <w:shd w:fill="2563EB"/>
            <w:tcMar>
              <w:top w:w="140" w:type="dxa"/>
              <w:bottom w:w="140" w:type="dxa"/>
              <w:left w:w="160" w:type="dxa"/>
              <w:right w:w="160" w:type="dxa"/>
            </w:tcMar>
          </w:tcPr>
          <w:p>
            <w:pPr>
              <w:spacing w:before="60" w:after="60" w:line="260" w:lineRule="exact"/>
            </w:pPr>
            <w:r>
              <w:rPr>
                <w:b/>
                <w:color w:val="FFFFFF"/>
                <w:sz w:val="20"/>
              </w:rPr>
              <w:t>Traditional Rental Services</w:t>
            </w:r>
          </w:p>
        </w:tc>
        <w:tc>
          <w:tcPr>
            <w:tcW w:type="dxa" w:w="3120"/>
            <w:shd w:fill="2563EB"/>
            <w:tcMar>
              <w:top w:w="140" w:type="dxa"/>
              <w:bottom w:w="140" w:type="dxa"/>
              <w:left w:w="160" w:type="dxa"/>
              <w:right w:w="160" w:type="dxa"/>
            </w:tcMar>
          </w:tcPr>
          <w:p>
            <w:pPr>
              <w:spacing w:before="60" w:after="60" w:line="260" w:lineRule="exact"/>
            </w:pPr>
            <w:r>
              <w:rPr>
                <w:b/>
                <w:color w:val="FFFFFF"/>
                <w:sz w:val="20"/>
              </w:rPr>
              <w:t>Rentora Cloud Platform</w:t>
            </w:r>
          </w:p>
        </w:tc>
      </w:tr>
      <w:tr>
        <w:tc>
          <w:tcPr>
            <w:tcW w:type="dxa" w:w="3120"/>
            <w:shd w:fill="F9FAFB"/>
            <w:tcMar>
              <w:top w:w="100" w:type="dxa"/>
              <w:bottom w:w="100" w:type="dxa"/>
              <w:left w:w="140" w:type="dxa"/>
              <w:right w:w="140" w:type="dxa"/>
            </w:tcMar>
          </w:tcPr>
          <w:p>
            <w:pPr>
              <w:spacing w:before="60" w:after="60" w:line="260" w:lineRule="exact"/>
            </w:pPr>
            <w:r>
              <w:rPr>
                <w:b/>
                <w:sz w:val="19"/>
              </w:rPr>
              <w:t>Customer Retention</w:t>
            </w:r>
          </w:p>
        </w:tc>
        <w:tc>
          <w:tcPr>
            <w:tcW w:type="dxa" w:w="3120"/>
            <w:shd w:fill="F9FAFB"/>
            <w:tcMar>
              <w:top w:w="100" w:type="dxa"/>
              <w:bottom w:w="100" w:type="dxa"/>
              <w:left w:w="140" w:type="dxa"/>
              <w:right w:w="140" w:type="dxa"/>
            </w:tcMar>
          </w:tcPr>
          <w:p>
            <w:pPr>
              <w:spacing w:before="60" w:after="60" w:line="260" w:lineRule="exact"/>
            </w:pPr>
            <w:r>
              <w:rPr>
                <w:sz w:val="19"/>
              </w:rPr>
              <w:t>Post-cancellation exit surveys</w:t>
            </w:r>
          </w:p>
        </w:tc>
        <w:tc>
          <w:tcPr>
            <w:tcW w:type="dxa" w:w="3120"/>
            <w:shd w:fill="F9FAFB"/>
            <w:tcMar>
              <w:top w:w="100" w:type="dxa"/>
              <w:bottom w:w="100" w:type="dxa"/>
              <w:left w:w="140" w:type="dxa"/>
              <w:right w:w="140" w:type="dxa"/>
            </w:tcMar>
          </w:tcPr>
          <w:p>
            <w:pPr>
              <w:spacing w:before="60" w:after="60" w:line="260" w:lineRule="exact"/>
            </w:pPr>
            <w:r>
              <w:rPr>
                <w:sz w:val="19"/>
              </w:rPr>
              <w:t>Asynchronous LightGBM churn prediction with automated TreeSHAP retention reason codes</w:t>
            </w:r>
          </w:p>
        </w:tc>
      </w:tr>
      <w:tr>
        <w:tc>
          <w:tcPr>
            <w:tcW w:type="dxa" w:w="3120"/>
            <w:shd w:fill="FFFFFF"/>
            <w:tcMar>
              <w:top w:w="100" w:type="dxa"/>
              <w:bottom w:w="100" w:type="dxa"/>
              <w:left w:w="140" w:type="dxa"/>
              <w:right w:w="140" w:type="dxa"/>
            </w:tcMar>
          </w:tcPr>
          <w:p>
            <w:pPr>
              <w:spacing w:before="60" w:after="60" w:line="260" w:lineRule="exact"/>
            </w:pPr>
            <w:r>
              <w:rPr>
                <w:b/>
                <w:sz w:val="19"/>
              </w:rPr>
              <w:t>Catalog Recommendations</w:t>
            </w:r>
          </w:p>
        </w:tc>
        <w:tc>
          <w:tcPr>
            <w:tcW w:type="dxa" w:w="3120"/>
            <w:shd w:fill="FFFFFF"/>
            <w:tcMar>
              <w:top w:w="100" w:type="dxa"/>
              <w:bottom w:w="100" w:type="dxa"/>
              <w:left w:w="140" w:type="dxa"/>
              <w:right w:w="140" w:type="dxa"/>
            </w:tcMar>
          </w:tcPr>
          <w:p>
            <w:pPr>
              <w:spacing w:before="60" w:after="60" w:line="260" w:lineRule="exact"/>
            </w:pPr>
            <w:r>
              <w:rPr>
                <w:sz w:val="19"/>
              </w:rPr>
              <w:t>Generic static popularity ranking</w:t>
            </w:r>
          </w:p>
        </w:tc>
        <w:tc>
          <w:tcPr>
            <w:tcW w:type="dxa" w:w="3120"/>
            <w:shd w:fill="FFFFFF"/>
            <w:tcMar>
              <w:top w:w="100" w:type="dxa"/>
              <w:bottom w:w="100" w:type="dxa"/>
              <w:left w:w="140" w:type="dxa"/>
              <w:right w:w="140" w:type="dxa"/>
            </w:tcMar>
          </w:tcPr>
          <w:p>
            <w:pPr>
              <w:spacing w:before="60" w:after="60" w:line="260" w:lineRule="exact"/>
            </w:pPr>
            <w:r>
              <w:rPr>
                <w:sz w:val="19"/>
              </w:rPr>
              <w:t>Personalized sublinear TF-IDF + Cosine Similarity cross-sell engine</w:t>
            </w:r>
          </w:p>
        </w:tc>
      </w:tr>
      <w:tr>
        <w:tc>
          <w:tcPr>
            <w:tcW w:type="dxa" w:w="3120"/>
            <w:shd w:fill="F9FAFB"/>
            <w:tcMar>
              <w:top w:w="100" w:type="dxa"/>
              <w:bottom w:w="100" w:type="dxa"/>
              <w:left w:w="140" w:type="dxa"/>
              <w:right w:w="140" w:type="dxa"/>
            </w:tcMar>
          </w:tcPr>
          <w:p>
            <w:pPr>
              <w:spacing w:before="60" w:after="60" w:line="260" w:lineRule="exact"/>
            </w:pPr>
            <w:r>
              <w:rPr>
                <w:b/>
                <w:sz w:val="19"/>
              </w:rPr>
              <w:t>Database Architecture</w:t>
            </w:r>
          </w:p>
        </w:tc>
        <w:tc>
          <w:tcPr>
            <w:tcW w:type="dxa" w:w="3120"/>
            <w:shd w:fill="F9FAFB"/>
            <w:tcMar>
              <w:top w:w="100" w:type="dxa"/>
              <w:bottom w:w="100" w:type="dxa"/>
              <w:left w:w="140" w:type="dxa"/>
              <w:right w:w="140" w:type="dxa"/>
            </w:tcMar>
          </w:tcPr>
          <w:p>
            <w:pPr>
              <w:spacing w:before="60" w:after="60" w:line="260" w:lineRule="exact"/>
            </w:pPr>
            <w:r>
              <w:rPr>
                <w:sz w:val="19"/>
              </w:rPr>
              <w:t>Monolithic RDBMS with join bottlenecks</w:t>
            </w:r>
          </w:p>
        </w:tc>
        <w:tc>
          <w:tcPr>
            <w:tcW w:type="dxa" w:w="3120"/>
            <w:shd w:fill="F9FAFB"/>
            <w:tcMar>
              <w:top w:w="100" w:type="dxa"/>
              <w:bottom w:w="100" w:type="dxa"/>
              <w:left w:w="140" w:type="dxa"/>
              <w:right w:w="140" w:type="dxa"/>
            </w:tcMar>
          </w:tcPr>
          <w:p>
            <w:pPr>
              <w:spacing w:before="60" w:after="60" w:line="260" w:lineRule="exact"/>
            </w:pPr>
            <w:r>
              <w:rPr>
                <w:sz w:val="19"/>
              </w:rPr>
              <w:t xml:space="preserve">High-throughput Pure MongoDB NoSQL with atomic </w:t>
            </w:r>
            <w:r>
              <w:rPr>
                <w:rFonts w:ascii="Consolas" w:hAnsi="Consolas"/>
                <w:color w:val="C7254E"/>
                <w:sz w:val="19"/>
              </w:rPr>
              <w:t>$inc</w:t>
            </w:r>
            <w:r>
              <w:rPr>
                <w:sz w:val="19"/>
              </w:rPr>
              <w:t xml:space="preserve"> updates</w:t>
            </w:r>
          </w:p>
        </w:tc>
      </w:tr>
      <w:tr>
        <w:tc>
          <w:tcPr>
            <w:tcW w:type="dxa" w:w="3120"/>
            <w:shd w:fill="FFFFFF"/>
            <w:tcMar>
              <w:top w:w="100" w:type="dxa"/>
              <w:bottom w:w="100" w:type="dxa"/>
              <w:left w:w="140" w:type="dxa"/>
              <w:right w:w="140" w:type="dxa"/>
            </w:tcMar>
          </w:tcPr>
          <w:p>
            <w:pPr>
              <w:spacing w:before="60" w:after="60" w:line="260" w:lineRule="exact"/>
            </w:pPr>
            <w:r>
              <w:rPr>
                <w:b/>
                <w:sz w:val="19"/>
              </w:rPr>
              <w:t>Asset Equity</w:t>
            </w:r>
          </w:p>
        </w:tc>
        <w:tc>
          <w:tcPr>
            <w:tcW w:type="dxa" w:w="3120"/>
            <w:shd w:fill="FFFFFF"/>
            <w:tcMar>
              <w:top w:w="100" w:type="dxa"/>
              <w:bottom w:w="100" w:type="dxa"/>
              <w:left w:w="140" w:type="dxa"/>
              <w:right w:w="140" w:type="dxa"/>
            </w:tcMar>
          </w:tcPr>
          <w:p>
            <w:pPr>
              <w:spacing w:before="60" w:after="60" w:line="260" w:lineRule="exact"/>
            </w:pPr>
            <w:r>
              <w:rPr>
                <w:sz w:val="19"/>
              </w:rPr>
              <w:t>100% sunk cost; no ownership path</w:t>
            </w:r>
          </w:p>
        </w:tc>
        <w:tc>
          <w:tcPr>
            <w:tcW w:type="dxa" w:w="3120"/>
            <w:shd w:fill="FFFFFF"/>
            <w:tcMar>
              <w:top w:w="100" w:type="dxa"/>
              <w:bottom w:w="100" w:type="dxa"/>
              <w:left w:w="140" w:type="dxa"/>
              <w:right w:w="140" w:type="dxa"/>
            </w:tcMar>
          </w:tcPr>
          <w:p>
            <w:pPr>
              <w:spacing w:before="60" w:after="60" w:line="260" w:lineRule="exact"/>
            </w:pPr>
            <w:r>
              <w:rPr>
                <w:sz w:val="19"/>
              </w:rPr>
              <w:t>Rent-to-Own Equity Builder: up to 70% rental fees converted into asset equity</w:t>
            </w:r>
          </w:p>
        </w:tc>
      </w:tr>
      <w:tr>
        <w:tc>
          <w:tcPr>
            <w:tcW w:type="dxa" w:w="3120"/>
            <w:shd w:fill="F9FAFB"/>
            <w:tcMar>
              <w:top w:w="100" w:type="dxa"/>
              <w:bottom w:w="100" w:type="dxa"/>
              <w:left w:w="140" w:type="dxa"/>
              <w:right w:w="140" w:type="dxa"/>
            </w:tcMar>
          </w:tcPr>
          <w:p>
            <w:pPr>
              <w:spacing w:before="60" w:after="60" w:line="260" w:lineRule="exact"/>
            </w:pPr>
            <w:r>
              <w:rPr>
                <w:b/>
                <w:sz w:val="19"/>
              </w:rPr>
              <w:t>Risk Mitigation</w:t>
            </w:r>
          </w:p>
        </w:tc>
        <w:tc>
          <w:tcPr>
            <w:tcW w:type="dxa" w:w="3120"/>
            <w:shd w:fill="F9FAFB"/>
            <w:tcMar>
              <w:top w:w="100" w:type="dxa"/>
              <w:bottom w:w="100" w:type="dxa"/>
              <w:left w:w="140" w:type="dxa"/>
              <w:right w:w="140" w:type="dxa"/>
            </w:tcMar>
          </w:tcPr>
          <w:p>
            <w:pPr>
              <w:spacing w:before="60" w:after="60" w:line="260" w:lineRule="exact"/>
            </w:pPr>
            <w:r>
              <w:rPr>
                <w:sz w:val="19"/>
              </w:rPr>
              <w:t>High security deposit or aggressive penalties</w:t>
            </w:r>
          </w:p>
        </w:tc>
        <w:tc>
          <w:tcPr>
            <w:tcW w:type="dxa" w:w="3120"/>
            <w:shd w:fill="F9FAFB"/>
            <w:tcMar>
              <w:top w:w="100" w:type="dxa"/>
              <w:bottom w:w="100" w:type="dxa"/>
              <w:left w:w="140" w:type="dxa"/>
              <w:right w:w="140" w:type="dxa"/>
            </w:tcMar>
          </w:tcPr>
          <w:p>
            <w:pPr>
              <w:spacing w:before="60" w:after="60" w:line="260" w:lineRule="exact"/>
            </w:pPr>
            <w:r>
              <w:rPr>
                <w:sz w:val="19"/>
              </w:rPr>
              <w:t>Rentora Shield (₹10,000 accidental damage waiver) + Mandatory automated KYC verification</w:t>
            </w:r>
          </w:p>
        </w:tc>
      </w:tr>
      <w:tr>
        <w:tc>
          <w:tcPr>
            <w:tcW w:type="dxa" w:w="3120"/>
            <w:shd w:fill="FFFFFF"/>
            <w:tcMar>
              <w:top w:w="100" w:type="dxa"/>
              <w:bottom w:w="100" w:type="dxa"/>
              <w:left w:w="140" w:type="dxa"/>
              <w:right w:w="140" w:type="dxa"/>
            </w:tcMar>
          </w:tcPr>
          <w:p>
            <w:pPr>
              <w:spacing w:before="60" w:after="60" w:line="260" w:lineRule="exact"/>
            </w:pPr>
            <w:r>
              <w:rPr>
                <w:b/>
                <w:sz w:val="19"/>
              </w:rPr>
              <w:t>Delivery Visibility</w:t>
            </w:r>
          </w:p>
        </w:tc>
        <w:tc>
          <w:tcPr>
            <w:tcW w:type="dxa" w:w="3120"/>
            <w:shd w:fill="FFFFFF"/>
            <w:tcMar>
              <w:top w:w="100" w:type="dxa"/>
              <w:bottom w:w="100" w:type="dxa"/>
              <w:left w:w="140" w:type="dxa"/>
              <w:right w:w="140" w:type="dxa"/>
            </w:tcMar>
          </w:tcPr>
          <w:p>
            <w:pPr>
              <w:spacing w:before="60" w:after="60" w:line="260" w:lineRule="exact"/>
            </w:pPr>
            <w:r>
              <w:rPr>
                <w:sz w:val="19"/>
              </w:rPr>
              <w:t>Static date estimates with manual calls</w:t>
            </w:r>
          </w:p>
        </w:tc>
        <w:tc>
          <w:tcPr>
            <w:tcW w:type="dxa" w:w="3120"/>
            <w:shd w:fill="FFFFFF"/>
            <w:tcMar>
              <w:top w:w="100" w:type="dxa"/>
              <w:bottom w:w="100" w:type="dxa"/>
              <w:left w:w="140" w:type="dxa"/>
              <w:right w:w="140" w:type="dxa"/>
            </w:tcMar>
          </w:tcPr>
          <w:p>
            <w:pPr>
              <w:spacing w:before="60" w:after="60" w:line="260" w:lineRule="exact"/>
            </w:pPr>
            <w:r>
              <w:rPr>
                <w:sz w:val="19"/>
              </w:rPr>
              <w:t>Live Socket.io WebSocket field tracker with stage-by-stage status</w:t>
            </w:r>
          </w:p>
        </w:tc>
      </w:tr>
      <w:tr>
        <w:tc>
          <w:tcPr>
            <w:tcW w:type="dxa" w:w="3120"/>
            <w:shd w:fill="F9FAFB"/>
            <w:tcMar>
              <w:top w:w="100" w:type="dxa"/>
              <w:bottom w:w="100" w:type="dxa"/>
              <w:left w:w="140" w:type="dxa"/>
              <w:right w:w="140" w:type="dxa"/>
            </w:tcMar>
          </w:tcPr>
          <w:p>
            <w:pPr>
              <w:spacing w:before="60" w:after="60" w:line="260" w:lineRule="exact"/>
            </w:pPr>
            <w:r>
              <w:rPr>
                <w:b/>
                <w:sz w:val="19"/>
              </w:rPr>
              <w:t>Customer Support</w:t>
            </w:r>
          </w:p>
        </w:tc>
        <w:tc>
          <w:tcPr>
            <w:tcW w:type="dxa" w:w="3120"/>
            <w:shd w:fill="F9FAFB"/>
            <w:tcMar>
              <w:top w:w="100" w:type="dxa"/>
              <w:bottom w:w="100" w:type="dxa"/>
              <w:left w:w="140" w:type="dxa"/>
              <w:right w:w="140" w:type="dxa"/>
            </w:tcMar>
          </w:tcPr>
          <w:p>
            <w:pPr>
              <w:spacing w:before="60" w:after="60" w:line="260" w:lineRule="exact"/>
            </w:pPr>
            <w:r>
              <w:rPr>
                <w:sz w:val="19"/>
              </w:rPr>
              <w:t>Email queues with multi-day turnaround</w:t>
            </w:r>
          </w:p>
        </w:tc>
        <w:tc>
          <w:tcPr>
            <w:tcW w:type="dxa" w:w="3120"/>
            <w:shd w:fill="F9FAFB"/>
            <w:tcMar>
              <w:top w:w="100" w:type="dxa"/>
              <w:bottom w:w="100" w:type="dxa"/>
              <w:left w:w="140" w:type="dxa"/>
              <w:right w:w="140" w:type="dxa"/>
            </w:tcMar>
          </w:tcPr>
          <w:p>
            <w:pPr>
              <w:spacing w:before="60" w:after="60" w:line="260" w:lineRule="exact"/>
            </w:pPr>
            <w:r>
              <w:rPr>
                <w:sz w:val="19"/>
              </w:rPr>
              <w:t>24/7 Rentora Concierge AI assistant with live action chips</w:t>
            </w:r>
          </w:p>
        </w:tc>
      </w:tr>
    </w:tbl>
    <w:p>
      <w:pPr>
        <w:spacing w:after="120"/>
      </w:pPr>
    </w:p>
    <w:p>
      <w:pPr>
        <w:spacing w:before="120" w:after="120"/>
        <w:pBdr>
          <w:bottom w:val="single" w:sz="6" w:space="1" w:color="D1D5DB"/>
        </w:pBdr>
      </w:pPr>
    </w:p>
    <w:p>
      <w:pPr>
        <w:keepNext/>
        <w:spacing w:before="280" w:after="120"/>
      </w:pPr>
      <w:r>
        <w:rPr>
          <w:b/>
          <w:color w:val="1E3A8A"/>
          <w:sz w:val="30"/>
        </w:rPr>
        <w:t>Chapter 3: System Requirements &amp; Feasibility</w:t>
      </w:r>
    </w:p>
    <w:p>
      <w:pPr>
        <w:keepNext/>
        <w:spacing w:before="200" w:after="80"/>
      </w:pPr>
      <w:r>
        <w:rPr>
          <w:b/>
          <w:color w:val="374151"/>
          <w:sz w:val="26"/>
        </w:rPr>
        <w:t>3.1 Functional Requirements (SRS IEEE 830)</w:t>
      </w:r>
    </w:p>
    <w:p>
      <w:pPr>
        <w:pStyle w:val="ListBullet"/>
        <w:spacing w:before="20" w:after="40" w:line="276" w:lineRule="auto"/>
      </w:pPr>
      <w:r>
        <w:rPr>
          <w:b/>
        </w:rPr>
        <w:t>FR-01: Authentication &amp; Token Lifecycle</w:t>
      </w:r>
      <w:r>
        <w:t>: Secure registration, login, and PBKDF2 password hashing with stateless custom JWT token issuance (Access: 60 min, Refresh: 7 days).</w:t>
      </w:r>
    </w:p>
    <w:p>
      <w:pPr>
        <w:pStyle w:val="ListBullet"/>
        <w:spacing w:before="20" w:after="40" w:line="276" w:lineRule="auto"/>
      </w:pPr>
      <w:r>
        <w:rPr>
          <w:b/>
        </w:rPr>
        <w:t>FR-02: Role-Based Access Control (RBAC)</w:t>
      </w:r>
      <w:r>
        <w:t xml:space="preserve">: Support for three distinct authorization scopes: </w:t>
      </w:r>
      <w:r>
        <w:rPr>
          <w:rFonts w:ascii="Consolas" w:hAnsi="Consolas"/>
          <w:color w:val="C7254E"/>
          <w:sz w:val="19"/>
        </w:rPr>
        <w:t>customer</w:t>
      </w:r>
      <w:r>
        <w:t xml:space="preserve">, </w:t>
      </w:r>
      <w:r>
        <w:rPr>
          <w:rFonts w:ascii="Consolas" w:hAnsi="Consolas"/>
          <w:color w:val="C7254E"/>
          <w:sz w:val="19"/>
        </w:rPr>
        <w:t>owner</w:t>
      </w:r>
      <w:r>
        <w:t xml:space="preserve">, and </w:t>
      </w:r>
      <w:r>
        <w:rPr>
          <w:rFonts w:ascii="Consolas" w:hAnsi="Consolas"/>
          <w:color w:val="C7254E"/>
          <w:sz w:val="19"/>
        </w:rPr>
        <w:t>admin</w:t>
      </w:r>
      <w:r>
        <w:t>.</w:t>
      </w:r>
    </w:p>
    <w:p>
      <w:pPr>
        <w:pStyle w:val="ListBullet"/>
        <w:spacing w:before="20" w:after="40" w:line="276" w:lineRule="auto"/>
      </w:pPr>
      <w:r>
        <w:rPr>
          <w:b/>
        </w:rPr>
        <w:t>FR-03: Dynamic Catalog &amp; Tenure Pricing</w:t>
      </w:r>
      <w:r>
        <w:t>: City-filtered catalog browsing with real-time recalculation across 3-month, 6-month, and 12-month tenure tiers.</w:t>
      </w:r>
    </w:p>
    <w:p>
      <w:pPr>
        <w:pStyle w:val="ListBullet"/>
        <w:spacing w:before="20" w:after="40" w:line="276" w:lineRule="auto"/>
      </w:pPr>
      <w:r>
        <w:rPr>
          <w:b/>
        </w:rPr>
        <w:t>FR-04: KYC Security Gateway</w:t>
      </w:r>
      <w:r>
        <w:t>: Mandatory ID proof (Aadhaar/PAN) and address proof verification; non-verified checkouts are rejected with HTTP 403.</w:t>
      </w:r>
    </w:p>
    <w:p>
      <w:pPr>
        <w:pStyle w:val="ListBullet"/>
        <w:spacing w:before="20" w:after="40" w:line="276" w:lineRule="auto"/>
      </w:pPr>
      <w:r>
        <w:rPr>
          <w:b/>
        </w:rPr>
        <w:t>FR-05: Atomic Booking &amp; Stock Reservation</w:t>
      </w:r>
      <w:r>
        <w:t>: Thread-safe stock decrement using MongoDB atomic operators preventing double-booking during concurrency.</w:t>
      </w:r>
    </w:p>
    <w:p>
      <w:pPr>
        <w:pStyle w:val="ListBullet"/>
        <w:spacing w:before="20" w:after="40" w:line="276" w:lineRule="auto"/>
      </w:pPr>
      <w:r>
        <w:rPr>
          <w:b/>
        </w:rPr>
        <w:t>FR-06: Rent-to-Own Equity Calculator</w:t>
      </w:r>
      <w:r>
        <w:t>: Automatic computation of accumulated monthly rental equity with buyout calculation and digital certificate issuance.</w:t>
      </w:r>
    </w:p>
    <w:p>
      <w:pPr>
        <w:pStyle w:val="ListBullet"/>
        <w:spacing w:before="20" w:after="40" w:line="276" w:lineRule="auto"/>
      </w:pPr>
      <w:r>
        <w:rPr>
          <w:b/>
        </w:rPr>
        <w:t>FR-07: Real-Time Field Logistics</w:t>
      </w:r>
      <w:r>
        <w:t>: WebSocket-driven tracking of delivery dispatch, field technician assignment, transit, and doorstep installation.</w:t>
      </w:r>
    </w:p>
    <w:p>
      <w:pPr>
        <w:pStyle w:val="ListBullet"/>
        <w:spacing w:before="20" w:after="40" w:line="276" w:lineRule="auto"/>
      </w:pPr>
      <w:r>
        <w:rPr>
          <w:b/>
        </w:rPr>
        <w:t>FR-08: AI-Powered Retention Analytics</w:t>
      </w:r>
      <w:r>
        <w:t>: Real-time admin dashboard displaying revenue KPIs, churn risk distributions, and individual customer SHAP reason codes.</w:t>
      </w:r>
    </w:p>
    <w:p>
      <w:pPr>
        <w:keepNext/>
        <w:spacing w:before="200" w:after="80"/>
      </w:pPr>
      <w:r>
        <w:rPr>
          <w:b/>
          <w:color w:val="374151"/>
          <w:sz w:val="26"/>
        </w:rPr>
        <w:t>3.2 Non-Functional Requirements &amp; Performance Targets</w:t>
      </w:r>
    </w:p>
    <w:p>
      <w:pPr>
        <w:pStyle w:val="ListBullet"/>
        <w:spacing w:before="20" w:after="40" w:line="276" w:lineRule="auto"/>
      </w:pPr>
      <w:r>
        <w:rPr>
          <w:b/>
        </w:rPr>
        <w:t>Response Latency</w:t>
      </w:r>
      <w:r>
        <w:t>: Core read/write API endpoints respond in under $100\text{ ms}$; ML churn score queries execute in under $20\text{ ms}$.</w:t>
      </w:r>
    </w:p>
    <w:p>
      <w:pPr>
        <w:pStyle w:val="ListBullet"/>
        <w:spacing w:before="20" w:after="40" w:line="276" w:lineRule="auto"/>
      </w:pPr>
      <w:r>
        <w:rPr>
          <w:b/>
        </w:rPr>
        <w:t>Availability &amp; Fault Tolerance</w:t>
      </w:r>
      <w:r>
        <w:t>: System architecture decouples background analytical compute (ETL and ML model training) from live transactional traffic.</w:t>
      </w:r>
    </w:p>
    <w:p>
      <w:pPr>
        <w:pStyle w:val="ListBullet"/>
        <w:spacing w:before="20" w:after="40" w:line="276" w:lineRule="auto"/>
      </w:pPr>
      <w:r>
        <w:rPr>
          <w:b/>
        </w:rPr>
        <w:t>Security &amp; Compliance</w:t>
      </w:r>
      <w:r>
        <w:t>: End-to-end CORS enforcement, PBKDF2 password hashing, and zero raw SQL/NoSQL injection vulnerability.</w:t>
      </w:r>
    </w:p>
    <w:p>
      <w:pPr>
        <w:spacing w:before="120" w:after="120"/>
        <w:pBdr>
          <w:bottom w:val="single" w:sz="6" w:space="1" w:color="D1D5DB"/>
        </w:pBdr>
      </w:pPr>
    </w:p>
    <w:p>
      <w:pPr>
        <w:keepNext/>
        <w:spacing w:before="280" w:after="120"/>
      </w:pPr>
      <w:r>
        <w:rPr>
          <w:b/>
          <w:color w:val="1E3A8A"/>
          <w:sz w:val="30"/>
        </w:rPr>
        <w:t>Chapter 4: System Architecture &amp; Technology Stack</w:t>
      </w:r>
    </w:p>
    <w:p>
      <w:pPr>
        <w:keepNext/>
        <w:spacing w:before="200" w:after="80"/>
      </w:pPr>
      <w:r>
        <w:rPr>
          <w:b/>
          <w:color w:val="374151"/>
          <w:sz w:val="26"/>
        </w:rPr>
        <w:t>4.1 High-Level Architectural Diagram</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after="80"/>
            </w:pPr>
            <w:r>
              <w:rPr>
                <w:b/>
                <w:color w:val="6C757D"/>
                <w:sz w:val="17"/>
              </w:rPr>
              <w:t>[MERMAID]</w:t>
            </w:r>
          </w:p>
          <w:p>
            <w:pPr>
              <w:spacing w:before="0" w:after="0" w:line="260" w:lineRule="exact"/>
            </w:pPr>
            <w:r>
              <w:rPr>
                <w:rFonts w:ascii="Consolas" w:hAnsi="Consolas"/>
                <w:color w:val="282C34"/>
                <w:sz w:val="19"/>
              </w:rPr>
              <w:t>graph TB</w:t>
              <w:br/>
              <w:t xml:space="preserve">    subgraph ClientTier [Presentation Tier - React 18 SPA]</w:t>
              <w:br/>
              <w:t xml:space="preserve">        ViteApp[React 18 Vite Client]</w:t>
              <w:br/>
              <w:t xml:space="preserve">        GlassUI[Glassmorphic UI / Lucide Icons]</w:t>
              <w:br/>
              <w:t xml:space="preserve">        SocketClient[Socket.io Real-Time Client]</w:t>
              <w:br/>
              <w:t xml:space="preserve">        R2OModal[Rent-to-Own Equity Modal]</w:t>
              <w:br/>
              <w:t xml:space="preserve">        Concierge[Rentora Concierge AI Chat]</w:t>
              <w:br/>
              <w:t xml:space="preserve">    end</w:t>
              <w:br/>
              <w:br/>
              <w:t xml:space="preserve">    subgraph GatewayTier [API &amp; Real-Time Gateway]</w:t>
              <w:br/>
              <w:t xml:space="preserve">        ExpressAPI[High-Performance REST Controllers]</w:t>
              <w:br/>
              <w:t xml:space="preserve">        SocketServer[Socket.io WebSocket Server]</w:t>
              <w:br/>
              <w:t xml:space="preserve">        JWTAuth[Custom MongoJWT Authentication]</w:t>
              <w:br/>
              <w:t xml:space="preserve">        RBACGate[RBAC Authorization Middleware]</w:t>
              <w:br/>
              <w:t xml:space="preserve">    end</w:t>
              <w:br/>
              <w:br/>
              <w:t xml:space="preserve">    subgraph DataTier [Operational Data Tier - Pure MongoDB]</w:t>
              <w:br/>
              <w:t xml:space="preserve">        Users[(users)]</w:t>
              <w:br/>
              <w:t xml:space="preserve">        Appliances[(appliances)]</w:t>
              <w:br/>
              <w:t xml:space="preserve">        Rentals[(rentals)]</w:t>
              <w:br/>
              <w:t xml:space="preserve">        Carts[(carts)]</w:t>
              <w:br/>
              <w:t xml:space="preserve">        Payments[(payments)]</w:t>
              <w:br/>
              <w:t xml:space="preserve">        Complaints[(complaints)]</w:t>
              <w:br/>
              <w:t xml:space="preserve">        ChurnScores[(user_churn_scores)]</w:t>
              <w:br/>
              <w:t xml:space="preserve">        Recs[(appliance_recommendations)]</w:t>
              <w:br/>
              <w:t xml:space="preserve">    end</w:t>
              <w:br/>
              <w:br/>
              <w:t xml:space="preserve">    subgraph MLOpsTier [Asynchronous Machine Learning Pipeline]</w:t>
              <w:br/>
              <w:t xml:space="preserve">        ETLEngine[etl_pipeline.py - Behavioral Extraction]</w:t>
              <w:br/>
              <w:t xml:space="preserve">        LightGBM[LightGBM GOSS Classifier]</w:t>
              <w:br/>
              <w:t xml:space="preserve">        TreeSHAP[TreeSHAP Reason Code Generator]</w:t>
              <w:br/>
              <w:t xml:space="preserve">        TFIDF[TF-IDF &amp; Cosine Similarity Engine]</w:t>
              <w:br/>
              <w:t xml:space="preserve">    end</w:t>
              <w:br/>
              <w:br/>
              <w:t xml:space="preserve">    ClientTier &lt;==&gt;|HTTPS REST &amp; WebSockets| GatewayTier</w:t>
              <w:br/>
              <w:t xml:space="preserve">    GatewayTier &lt;==&gt;|Native Connection Pool| DataTier</w:t>
              <w:br/>
              <w:t xml:space="preserve">    DataTier -.-&gt;|Asynchronous Batch Extraction| ETLEngine</w:t>
              <w:br/>
              <w:t xml:space="preserve">    ETLEngine --&gt; LightGBM &amp; TFIDF</w:t>
              <w:br/>
              <w:t xml:space="preserve">    LightGBM --&gt; TreeSHAP</w:t>
              <w:br/>
              <w:t xml:space="preserve">    TreeSHAP -.-&gt;|Bulk Upsert| ChurnScores</w:t>
              <w:br/>
              <w:t xml:space="preserve">    TFIDF -.-&gt;|Bulk Upsert| Recs</w:t>
              <w:br/>
              <w:t xml:space="preserve">    ChurnScores -.-&gt;|Instant Zero-Latency Read| GatewayTier</w:t>
              <w:br/>
              <w:t xml:space="preserve">    Recs -.-&gt;|Personalized Discovery| GatewayTier</w:t>
            </w:r>
          </w:p>
        </w:tc>
      </w:tr>
    </w:tbl>
    <w:p>
      <w:pPr>
        <w:spacing w:after="80"/>
      </w:pPr>
    </w:p>
    <w:p>
      <w:pPr>
        <w:keepNext/>
        <w:spacing w:before="200" w:after="80"/>
      </w:pPr>
      <w:r>
        <w:rPr>
          <w:b/>
          <w:color w:val="374151"/>
          <w:sz w:val="26"/>
        </w:rPr>
        <w:t>4.2 Technology Stack Matrix</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563EB"/>
            <w:tcMar>
              <w:top w:w="140" w:type="dxa"/>
              <w:bottom w:w="140" w:type="dxa"/>
              <w:left w:w="160" w:type="dxa"/>
              <w:right w:w="160" w:type="dxa"/>
            </w:tcMar>
          </w:tcPr>
          <w:p>
            <w:pPr>
              <w:spacing w:before="60" w:after="60" w:line="260" w:lineRule="exact"/>
            </w:pPr>
            <w:r>
              <w:rPr>
                <w:b/>
                <w:color w:val="FFFFFF"/>
                <w:sz w:val="20"/>
              </w:rPr>
              <w:t>Layer</w:t>
            </w:r>
          </w:p>
        </w:tc>
        <w:tc>
          <w:tcPr>
            <w:tcW w:type="dxa" w:w="2340"/>
            <w:shd w:fill="2563EB"/>
            <w:tcMar>
              <w:top w:w="140" w:type="dxa"/>
              <w:bottom w:w="140" w:type="dxa"/>
              <w:left w:w="160" w:type="dxa"/>
              <w:right w:w="160" w:type="dxa"/>
            </w:tcMar>
          </w:tcPr>
          <w:p>
            <w:pPr>
              <w:spacing w:before="60" w:after="60" w:line="260" w:lineRule="exact"/>
            </w:pPr>
            <w:r>
              <w:rPr>
                <w:b/>
                <w:color w:val="FFFFFF"/>
                <w:sz w:val="20"/>
              </w:rPr>
              <w:t>Technology</w:t>
            </w:r>
          </w:p>
        </w:tc>
        <w:tc>
          <w:tcPr>
            <w:tcW w:type="dxa" w:w="2340"/>
            <w:shd w:fill="2563EB"/>
            <w:tcMar>
              <w:top w:w="140" w:type="dxa"/>
              <w:bottom w:w="140" w:type="dxa"/>
              <w:left w:w="160" w:type="dxa"/>
              <w:right w:w="160" w:type="dxa"/>
            </w:tcMar>
          </w:tcPr>
          <w:p>
            <w:pPr>
              <w:spacing w:before="60" w:after="60" w:line="260" w:lineRule="exact"/>
            </w:pPr>
            <w:r>
              <w:rPr>
                <w:b/>
                <w:color w:val="FFFFFF"/>
                <w:sz w:val="20"/>
              </w:rPr>
              <w:t>Version</w:t>
            </w:r>
          </w:p>
        </w:tc>
        <w:tc>
          <w:tcPr>
            <w:tcW w:type="dxa" w:w="2340"/>
            <w:shd w:fill="2563EB"/>
            <w:tcMar>
              <w:top w:w="140" w:type="dxa"/>
              <w:bottom w:w="140" w:type="dxa"/>
              <w:left w:w="160" w:type="dxa"/>
              <w:right w:w="160" w:type="dxa"/>
            </w:tcMar>
          </w:tcPr>
          <w:p>
            <w:pPr>
              <w:spacing w:before="60" w:after="60" w:line="260" w:lineRule="exact"/>
            </w:pPr>
            <w:r>
              <w:rPr>
                <w:b/>
                <w:color w:val="FFFFFF"/>
                <w:sz w:val="20"/>
              </w:rPr>
              <w:t>Key Function &amp; Responsibility</w:t>
            </w:r>
          </w:p>
        </w:tc>
      </w:tr>
      <w:tr>
        <w:tc>
          <w:tcPr>
            <w:tcW w:type="dxa" w:w="2340"/>
            <w:shd w:fill="F9FAFB"/>
            <w:tcMar>
              <w:top w:w="100" w:type="dxa"/>
              <w:bottom w:w="100" w:type="dxa"/>
              <w:left w:w="140" w:type="dxa"/>
              <w:right w:w="140" w:type="dxa"/>
            </w:tcMar>
          </w:tcPr>
          <w:p>
            <w:pPr>
              <w:spacing w:before="60" w:after="60" w:line="260" w:lineRule="exact"/>
            </w:pPr>
            <w:r>
              <w:rPr>
                <w:b/>
                <w:sz w:val="19"/>
              </w:rPr>
              <w:t>Frontend SPA</w:t>
            </w:r>
          </w:p>
        </w:tc>
        <w:tc>
          <w:tcPr>
            <w:tcW w:type="dxa" w:w="2340"/>
            <w:shd w:fill="F9FAFB"/>
            <w:tcMar>
              <w:top w:w="100" w:type="dxa"/>
              <w:bottom w:w="100" w:type="dxa"/>
              <w:left w:w="140" w:type="dxa"/>
              <w:right w:w="140" w:type="dxa"/>
            </w:tcMar>
          </w:tcPr>
          <w:p>
            <w:pPr>
              <w:spacing w:before="60" w:after="60" w:line="260" w:lineRule="exact"/>
            </w:pPr>
            <w:r>
              <w:rPr>
                <w:sz w:val="19"/>
              </w:rPr>
              <w:t>React</w:t>
            </w:r>
          </w:p>
        </w:tc>
        <w:tc>
          <w:tcPr>
            <w:tcW w:type="dxa" w:w="2340"/>
            <w:shd w:fill="F9FAFB"/>
            <w:tcMar>
              <w:top w:w="100" w:type="dxa"/>
              <w:bottom w:w="100" w:type="dxa"/>
              <w:left w:w="140" w:type="dxa"/>
              <w:right w:w="140" w:type="dxa"/>
            </w:tcMar>
          </w:tcPr>
          <w:p>
            <w:pPr>
              <w:spacing w:before="60" w:after="60" w:line="260" w:lineRule="exact"/>
            </w:pPr>
            <w:r>
              <w:rPr>
                <w:sz w:val="19"/>
              </w:rPr>
              <w:t>18.2.0</w:t>
            </w:r>
          </w:p>
        </w:tc>
        <w:tc>
          <w:tcPr>
            <w:tcW w:type="dxa" w:w="2340"/>
            <w:shd w:fill="F9FAFB"/>
            <w:tcMar>
              <w:top w:w="100" w:type="dxa"/>
              <w:bottom w:w="100" w:type="dxa"/>
              <w:left w:w="140" w:type="dxa"/>
              <w:right w:w="140" w:type="dxa"/>
            </w:tcMar>
          </w:tcPr>
          <w:p>
            <w:pPr>
              <w:spacing w:before="60" w:after="60" w:line="260" w:lineRule="exact"/>
            </w:pPr>
            <w:r>
              <w:rPr>
                <w:sz w:val="19"/>
              </w:rPr>
              <w:t>Reactive component hierarchy, virtual DOM reconciliation, dynamic modals</w:t>
            </w:r>
          </w:p>
        </w:tc>
      </w:tr>
      <w:tr>
        <w:tc>
          <w:tcPr>
            <w:tcW w:type="dxa" w:w="2340"/>
            <w:shd w:fill="FFFFFF"/>
            <w:tcMar>
              <w:top w:w="100" w:type="dxa"/>
              <w:bottom w:w="100" w:type="dxa"/>
              <w:left w:w="140" w:type="dxa"/>
              <w:right w:w="140" w:type="dxa"/>
            </w:tcMar>
          </w:tcPr>
          <w:p>
            <w:pPr>
              <w:spacing w:before="60" w:after="60" w:line="260" w:lineRule="exact"/>
            </w:pPr>
            <w:r>
              <w:rPr>
                <w:b/>
                <w:sz w:val="19"/>
              </w:rPr>
              <w:t>Build Tooling</w:t>
            </w:r>
          </w:p>
        </w:tc>
        <w:tc>
          <w:tcPr>
            <w:tcW w:type="dxa" w:w="2340"/>
            <w:shd w:fill="FFFFFF"/>
            <w:tcMar>
              <w:top w:w="100" w:type="dxa"/>
              <w:bottom w:w="100" w:type="dxa"/>
              <w:left w:w="140" w:type="dxa"/>
              <w:right w:w="140" w:type="dxa"/>
            </w:tcMar>
          </w:tcPr>
          <w:p>
            <w:pPr>
              <w:spacing w:before="60" w:after="60" w:line="260" w:lineRule="exact"/>
            </w:pPr>
            <w:r>
              <w:rPr>
                <w:sz w:val="19"/>
              </w:rPr>
              <w:t>Vite</w:t>
            </w:r>
          </w:p>
        </w:tc>
        <w:tc>
          <w:tcPr>
            <w:tcW w:type="dxa" w:w="2340"/>
            <w:shd w:fill="FFFFFF"/>
            <w:tcMar>
              <w:top w:w="100" w:type="dxa"/>
              <w:bottom w:w="100" w:type="dxa"/>
              <w:left w:w="140" w:type="dxa"/>
              <w:right w:w="140" w:type="dxa"/>
            </w:tcMar>
          </w:tcPr>
          <w:p>
            <w:pPr>
              <w:spacing w:before="60" w:after="60" w:line="260" w:lineRule="exact"/>
            </w:pPr>
            <w:r>
              <w:rPr>
                <w:sz w:val="19"/>
              </w:rPr>
              <w:t>8.2.2</w:t>
            </w:r>
          </w:p>
        </w:tc>
        <w:tc>
          <w:tcPr>
            <w:tcW w:type="dxa" w:w="2340"/>
            <w:shd w:fill="FFFFFF"/>
            <w:tcMar>
              <w:top w:w="100" w:type="dxa"/>
              <w:bottom w:w="100" w:type="dxa"/>
              <w:left w:w="140" w:type="dxa"/>
              <w:right w:w="140" w:type="dxa"/>
            </w:tcMar>
          </w:tcPr>
          <w:p>
            <w:pPr>
              <w:spacing w:before="60" w:after="60" w:line="260" w:lineRule="exact"/>
            </w:pPr>
            <w:r>
              <w:rPr>
                <w:sz w:val="19"/>
              </w:rPr>
              <w:t>Fast HMR (Hot Module Replacement) and optimized production rollup bundling</w:t>
            </w:r>
          </w:p>
        </w:tc>
      </w:tr>
      <w:tr>
        <w:tc>
          <w:tcPr>
            <w:tcW w:type="dxa" w:w="2340"/>
            <w:shd w:fill="F9FAFB"/>
            <w:tcMar>
              <w:top w:w="100" w:type="dxa"/>
              <w:bottom w:w="100" w:type="dxa"/>
              <w:left w:w="140" w:type="dxa"/>
              <w:right w:w="140" w:type="dxa"/>
            </w:tcMar>
          </w:tcPr>
          <w:p>
            <w:pPr>
              <w:spacing w:before="60" w:after="60" w:line="260" w:lineRule="exact"/>
            </w:pPr>
            <w:r>
              <w:rPr>
                <w:b/>
                <w:sz w:val="19"/>
              </w:rPr>
              <w:t>Real-Time Layer</w:t>
            </w:r>
          </w:p>
        </w:tc>
        <w:tc>
          <w:tcPr>
            <w:tcW w:type="dxa" w:w="2340"/>
            <w:shd w:fill="F9FAFB"/>
            <w:tcMar>
              <w:top w:w="100" w:type="dxa"/>
              <w:bottom w:w="100" w:type="dxa"/>
              <w:left w:w="140" w:type="dxa"/>
              <w:right w:w="140" w:type="dxa"/>
            </w:tcMar>
          </w:tcPr>
          <w:p>
            <w:pPr>
              <w:spacing w:before="60" w:after="60" w:line="260" w:lineRule="exact"/>
            </w:pPr>
            <w:r>
              <w:rPr>
                <w:sz w:val="19"/>
              </w:rPr>
              <w:t>Socket.io</w:t>
            </w:r>
          </w:p>
        </w:tc>
        <w:tc>
          <w:tcPr>
            <w:tcW w:type="dxa" w:w="2340"/>
            <w:shd w:fill="F9FAFB"/>
            <w:tcMar>
              <w:top w:w="100" w:type="dxa"/>
              <w:bottom w:w="100" w:type="dxa"/>
              <w:left w:w="140" w:type="dxa"/>
              <w:right w:w="140" w:type="dxa"/>
            </w:tcMar>
          </w:tcPr>
          <w:p>
            <w:pPr>
              <w:spacing w:before="60" w:after="60" w:line="260" w:lineRule="exact"/>
            </w:pPr>
            <w:r>
              <w:rPr>
                <w:sz w:val="19"/>
              </w:rPr>
              <w:t>4.8.1</w:t>
            </w:r>
          </w:p>
        </w:tc>
        <w:tc>
          <w:tcPr>
            <w:tcW w:type="dxa" w:w="2340"/>
            <w:shd w:fill="F9FAFB"/>
            <w:tcMar>
              <w:top w:w="100" w:type="dxa"/>
              <w:bottom w:w="100" w:type="dxa"/>
              <w:left w:w="140" w:type="dxa"/>
              <w:right w:w="140" w:type="dxa"/>
            </w:tcMar>
          </w:tcPr>
          <w:p>
            <w:pPr>
              <w:spacing w:before="60" w:after="60" w:line="260" w:lineRule="exact"/>
            </w:pPr>
            <w:r>
              <w:rPr>
                <w:sz w:val="19"/>
              </w:rPr>
              <w:t>Bi-directional event communication for live technician delivery tracking</w:t>
            </w:r>
          </w:p>
        </w:tc>
      </w:tr>
      <w:tr>
        <w:tc>
          <w:tcPr>
            <w:tcW w:type="dxa" w:w="2340"/>
            <w:shd w:fill="FFFFFF"/>
            <w:tcMar>
              <w:top w:w="100" w:type="dxa"/>
              <w:bottom w:w="100" w:type="dxa"/>
              <w:left w:w="140" w:type="dxa"/>
              <w:right w:w="140" w:type="dxa"/>
            </w:tcMar>
          </w:tcPr>
          <w:p>
            <w:pPr>
              <w:spacing w:before="60" w:after="60" w:line="260" w:lineRule="exact"/>
            </w:pPr>
            <w:r>
              <w:rPr>
                <w:b/>
                <w:sz w:val="19"/>
              </w:rPr>
              <w:t>Backend API</w:t>
            </w:r>
          </w:p>
        </w:tc>
        <w:tc>
          <w:tcPr>
            <w:tcW w:type="dxa" w:w="2340"/>
            <w:shd w:fill="FFFFFF"/>
            <w:tcMar>
              <w:top w:w="100" w:type="dxa"/>
              <w:bottom w:w="100" w:type="dxa"/>
              <w:left w:w="140" w:type="dxa"/>
              <w:right w:w="140" w:type="dxa"/>
            </w:tcMar>
          </w:tcPr>
          <w:p>
            <w:pPr>
              <w:spacing w:before="60" w:after="60" w:line="260" w:lineRule="exact"/>
            </w:pPr>
            <w:r>
              <w:rPr>
                <w:sz w:val="19"/>
              </w:rPr>
              <w:t>Node.js / Express</w:t>
            </w:r>
          </w:p>
        </w:tc>
        <w:tc>
          <w:tcPr>
            <w:tcW w:type="dxa" w:w="2340"/>
            <w:shd w:fill="FFFFFF"/>
            <w:tcMar>
              <w:top w:w="100" w:type="dxa"/>
              <w:bottom w:w="100" w:type="dxa"/>
              <w:left w:w="140" w:type="dxa"/>
              <w:right w:w="140" w:type="dxa"/>
            </w:tcMar>
          </w:tcPr>
          <w:p>
            <w:pPr>
              <w:spacing w:before="60" w:after="60" w:line="260" w:lineRule="exact"/>
            </w:pPr>
            <w:r>
              <w:rPr>
                <w:sz w:val="19"/>
              </w:rPr>
              <w:t>20.x / 4.19</w:t>
            </w:r>
          </w:p>
        </w:tc>
        <w:tc>
          <w:tcPr>
            <w:tcW w:type="dxa" w:w="2340"/>
            <w:shd w:fill="FFFFFF"/>
            <w:tcMar>
              <w:top w:w="100" w:type="dxa"/>
              <w:bottom w:w="100" w:type="dxa"/>
              <w:left w:w="140" w:type="dxa"/>
              <w:right w:w="140" w:type="dxa"/>
            </w:tcMar>
          </w:tcPr>
          <w:p>
            <w:pPr>
              <w:spacing w:before="60" w:after="60" w:line="260" w:lineRule="exact"/>
            </w:pPr>
            <w:r>
              <w:rPr>
                <w:sz w:val="19"/>
              </w:rPr>
              <w:t>REST API endpoints, transaction coordination, and business logic</w:t>
            </w:r>
          </w:p>
        </w:tc>
      </w:tr>
      <w:tr>
        <w:tc>
          <w:tcPr>
            <w:tcW w:type="dxa" w:w="2340"/>
            <w:shd w:fill="F9FAFB"/>
            <w:tcMar>
              <w:top w:w="100" w:type="dxa"/>
              <w:bottom w:w="100" w:type="dxa"/>
              <w:left w:w="140" w:type="dxa"/>
              <w:right w:w="140" w:type="dxa"/>
            </w:tcMar>
          </w:tcPr>
          <w:p>
            <w:pPr>
              <w:spacing w:before="60" w:after="60" w:line="260" w:lineRule="exact"/>
            </w:pPr>
            <w:r>
              <w:rPr>
                <w:b/>
                <w:sz w:val="19"/>
              </w:rPr>
              <w:t>Database</w:t>
            </w:r>
          </w:p>
        </w:tc>
        <w:tc>
          <w:tcPr>
            <w:tcW w:type="dxa" w:w="2340"/>
            <w:shd w:fill="F9FAFB"/>
            <w:tcMar>
              <w:top w:w="100" w:type="dxa"/>
              <w:bottom w:w="100" w:type="dxa"/>
              <w:left w:w="140" w:type="dxa"/>
              <w:right w:w="140" w:type="dxa"/>
            </w:tcMar>
          </w:tcPr>
          <w:p>
            <w:pPr>
              <w:spacing w:before="60" w:after="60" w:line="260" w:lineRule="exact"/>
            </w:pPr>
            <w:r>
              <w:rPr>
                <w:sz w:val="19"/>
              </w:rPr>
              <w:t>MongoDB NoSQL</w:t>
            </w:r>
          </w:p>
        </w:tc>
        <w:tc>
          <w:tcPr>
            <w:tcW w:type="dxa" w:w="2340"/>
            <w:shd w:fill="F9FAFB"/>
            <w:tcMar>
              <w:top w:w="100" w:type="dxa"/>
              <w:bottom w:w="100" w:type="dxa"/>
              <w:left w:w="140" w:type="dxa"/>
              <w:right w:w="140" w:type="dxa"/>
            </w:tcMar>
          </w:tcPr>
          <w:p>
            <w:pPr>
              <w:spacing w:before="60" w:after="60" w:line="260" w:lineRule="exact"/>
            </w:pPr>
            <w:r>
              <w:rPr>
                <w:sz w:val="19"/>
              </w:rPr>
              <w:t>6.0+</w:t>
            </w:r>
          </w:p>
        </w:tc>
        <w:tc>
          <w:tcPr>
            <w:tcW w:type="dxa" w:w="2340"/>
            <w:shd w:fill="F9FAFB"/>
            <w:tcMar>
              <w:top w:w="100" w:type="dxa"/>
              <w:bottom w:w="100" w:type="dxa"/>
              <w:left w:w="140" w:type="dxa"/>
              <w:right w:w="140" w:type="dxa"/>
            </w:tcMar>
          </w:tcPr>
          <w:p>
            <w:pPr>
              <w:spacing w:before="60" w:after="60" w:line="260" w:lineRule="exact"/>
            </w:pPr>
            <w:r>
              <w:rPr>
                <w:sz w:val="19"/>
              </w:rPr>
              <w:t>Document database providing high write-throughput, dynamic schemas, and atomic operations</w:t>
            </w:r>
          </w:p>
        </w:tc>
      </w:tr>
      <w:tr>
        <w:tc>
          <w:tcPr>
            <w:tcW w:type="dxa" w:w="2340"/>
            <w:shd w:fill="FFFFFF"/>
            <w:tcMar>
              <w:top w:w="100" w:type="dxa"/>
              <w:bottom w:w="100" w:type="dxa"/>
              <w:left w:w="140" w:type="dxa"/>
              <w:right w:w="140" w:type="dxa"/>
            </w:tcMar>
          </w:tcPr>
          <w:p>
            <w:pPr>
              <w:spacing w:before="60" w:after="60" w:line="260" w:lineRule="exact"/>
            </w:pPr>
            <w:r>
              <w:rPr>
                <w:b/>
                <w:sz w:val="19"/>
              </w:rPr>
              <w:t>Machine Learning</w:t>
            </w:r>
          </w:p>
        </w:tc>
        <w:tc>
          <w:tcPr>
            <w:tcW w:type="dxa" w:w="2340"/>
            <w:shd w:fill="FFFFFF"/>
            <w:tcMar>
              <w:top w:w="100" w:type="dxa"/>
              <w:bottom w:w="100" w:type="dxa"/>
              <w:left w:w="140" w:type="dxa"/>
              <w:right w:w="140" w:type="dxa"/>
            </w:tcMar>
          </w:tcPr>
          <w:p>
            <w:pPr>
              <w:spacing w:before="60" w:after="60" w:line="260" w:lineRule="exact"/>
            </w:pPr>
            <w:r>
              <w:rPr>
                <w:sz w:val="19"/>
              </w:rPr>
              <w:t>LightGBM</w:t>
            </w:r>
          </w:p>
        </w:tc>
        <w:tc>
          <w:tcPr>
            <w:tcW w:type="dxa" w:w="2340"/>
            <w:shd w:fill="FFFFFF"/>
            <w:tcMar>
              <w:top w:w="100" w:type="dxa"/>
              <w:bottom w:w="100" w:type="dxa"/>
              <w:left w:w="140" w:type="dxa"/>
              <w:right w:w="140" w:type="dxa"/>
            </w:tcMar>
          </w:tcPr>
          <w:p>
            <w:pPr>
              <w:spacing w:before="60" w:after="60" w:line="260" w:lineRule="exact"/>
            </w:pPr>
            <w:r>
              <w:rPr>
                <w:sz w:val="19"/>
              </w:rPr>
              <w:t>4.3.0</w:t>
            </w:r>
          </w:p>
        </w:tc>
        <w:tc>
          <w:tcPr>
            <w:tcW w:type="dxa" w:w="2340"/>
            <w:shd w:fill="FFFFFF"/>
            <w:tcMar>
              <w:top w:w="100" w:type="dxa"/>
              <w:bottom w:w="100" w:type="dxa"/>
              <w:left w:w="140" w:type="dxa"/>
              <w:right w:w="140" w:type="dxa"/>
            </w:tcMar>
          </w:tcPr>
          <w:p>
            <w:pPr>
              <w:spacing w:before="60" w:after="60" w:line="260" w:lineRule="exact"/>
            </w:pPr>
            <w:r>
              <w:rPr>
                <w:sz w:val="19"/>
              </w:rPr>
              <w:t>Fast gradient-boosted decision trees for binary churn prediction</w:t>
            </w:r>
          </w:p>
        </w:tc>
      </w:tr>
      <w:tr>
        <w:tc>
          <w:tcPr>
            <w:tcW w:type="dxa" w:w="2340"/>
            <w:shd w:fill="F9FAFB"/>
            <w:tcMar>
              <w:top w:w="100" w:type="dxa"/>
              <w:bottom w:w="100" w:type="dxa"/>
              <w:left w:w="140" w:type="dxa"/>
              <w:right w:w="140" w:type="dxa"/>
            </w:tcMar>
          </w:tcPr>
          <w:p>
            <w:pPr>
              <w:spacing w:before="60" w:after="60" w:line="260" w:lineRule="exact"/>
            </w:pPr>
            <w:r>
              <w:rPr>
                <w:b/>
                <w:sz w:val="19"/>
              </w:rPr>
              <w:t>Explainable AI</w:t>
            </w:r>
          </w:p>
        </w:tc>
        <w:tc>
          <w:tcPr>
            <w:tcW w:type="dxa" w:w="2340"/>
            <w:shd w:fill="F9FAFB"/>
            <w:tcMar>
              <w:top w:w="100" w:type="dxa"/>
              <w:bottom w:w="100" w:type="dxa"/>
              <w:left w:w="140" w:type="dxa"/>
              <w:right w:w="140" w:type="dxa"/>
            </w:tcMar>
          </w:tcPr>
          <w:p>
            <w:pPr>
              <w:spacing w:before="60" w:after="60" w:line="260" w:lineRule="exact"/>
            </w:pPr>
            <w:r>
              <w:rPr>
                <w:sz w:val="19"/>
              </w:rPr>
              <w:t>SHAP (TreeSHAP)</w:t>
            </w:r>
          </w:p>
        </w:tc>
        <w:tc>
          <w:tcPr>
            <w:tcW w:type="dxa" w:w="2340"/>
            <w:shd w:fill="F9FAFB"/>
            <w:tcMar>
              <w:top w:w="100" w:type="dxa"/>
              <w:bottom w:w="100" w:type="dxa"/>
              <w:left w:w="140" w:type="dxa"/>
              <w:right w:w="140" w:type="dxa"/>
            </w:tcMar>
          </w:tcPr>
          <w:p>
            <w:pPr>
              <w:spacing w:before="60" w:after="60" w:line="260" w:lineRule="exact"/>
            </w:pPr>
            <w:r>
              <w:rPr>
                <w:sz w:val="19"/>
              </w:rPr>
              <w:t>0.45.0</w:t>
            </w:r>
          </w:p>
        </w:tc>
        <w:tc>
          <w:tcPr>
            <w:tcW w:type="dxa" w:w="2340"/>
            <w:shd w:fill="F9FAFB"/>
            <w:tcMar>
              <w:top w:w="100" w:type="dxa"/>
              <w:bottom w:w="100" w:type="dxa"/>
              <w:left w:w="140" w:type="dxa"/>
              <w:right w:w="140" w:type="dxa"/>
            </w:tcMar>
          </w:tcPr>
          <w:p>
            <w:pPr>
              <w:spacing w:before="60" w:after="60" w:line="260" w:lineRule="exact"/>
            </w:pPr>
            <w:r>
              <w:rPr>
                <w:sz w:val="19"/>
              </w:rPr>
              <w:t>Shapley value game-theoretic feature attribution and plain-language reason decoding</w:t>
            </w:r>
          </w:p>
        </w:tc>
      </w:tr>
      <w:tr>
        <w:tc>
          <w:tcPr>
            <w:tcW w:type="dxa" w:w="2340"/>
            <w:shd w:fill="FFFFFF"/>
            <w:tcMar>
              <w:top w:w="100" w:type="dxa"/>
              <w:bottom w:w="100" w:type="dxa"/>
              <w:left w:w="140" w:type="dxa"/>
              <w:right w:w="140" w:type="dxa"/>
            </w:tcMar>
          </w:tcPr>
          <w:p>
            <w:pPr>
              <w:spacing w:before="60" w:after="60" w:line="260" w:lineRule="exact"/>
            </w:pPr>
            <w:r>
              <w:rPr>
                <w:b/>
                <w:sz w:val="19"/>
              </w:rPr>
              <w:t>NLP &amp; Recs</w:t>
            </w:r>
          </w:p>
        </w:tc>
        <w:tc>
          <w:tcPr>
            <w:tcW w:type="dxa" w:w="2340"/>
            <w:shd w:fill="FFFFFF"/>
            <w:tcMar>
              <w:top w:w="100" w:type="dxa"/>
              <w:bottom w:w="100" w:type="dxa"/>
              <w:left w:w="140" w:type="dxa"/>
              <w:right w:w="140" w:type="dxa"/>
            </w:tcMar>
          </w:tcPr>
          <w:p>
            <w:pPr>
              <w:spacing w:before="60" w:after="60" w:line="260" w:lineRule="exact"/>
            </w:pPr>
            <w:r>
              <w:rPr>
                <w:sz w:val="19"/>
              </w:rPr>
              <w:t>Scikit-Learn</w:t>
            </w:r>
          </w:p>
        </w:tc>
        <w:tc>
          <w:tcPr>
            <w:tcW w:type="dxa" w:w="2340"/>
            <w:shd w:fill="FFFFFF"/>
            <w:tcMar>
              <w:top w:w="100" w:type="dxa"/>
              <w:bottom w:w="100" w:type="dxa"/>
              <w:left w:w="140" w:type="dxa"/>
              <w:right w:w="140" w:type="dxa"/>
            </w:tcMar>
          </w:tcPr>
          <w:p>
            <w:pPr>
              <w:spacing w:before="60" w:after="60" w:line="260" w:lineRule="exact"/>
            </w:pPr>
            <w:r>
              <w:rPr>
                <w:sz w:val="19"/>
              </w:rPr>
              <w:t>1.4.2</w:t>
            </w:r>
          </w:p>
        </w:tc>
        <w:tc>
          <w:tcPr>
            <w:tcW w:type="dxa" w:w="2340"/>
            <w:shd w:fill="FFFFFF"/>
            <w:tcMar>
              <w:top w:w="100" w:type="dxa"/>
              <w:bottom w:w="100" w:type="dxa"/>
              <w:left w:w="140" w:type="dxa"/>
              <w:right w:w="140" w:type="dxa"/>
            </w:tcMar>
          </w:tcPr>
          <w:p>
            <w:pPr>
              <w:spacing w:before="60" w:after="60" w:line="260" w:lineRule="exact"/>
            </w:pPr>
            <w:r>
              <w:rPr>
                <w:sz w:val="19"/>
              </w:rPr>
              <w:t>Sublinear TF-IDF vectorization and cosine similarity distance computation</w:t>
            </w:r>
          </w:p>
        </w:tc>
      </w:tr>
      <w:tr>
        <w:tc>
          <w:tcPr>
            <w:tcW w:type="dxa" w:w="2340"/>
            <w:shd w:fill="F9FAFB"/>
            <w:tcMar>
              <w:top w:w="100" w:type="dxa"/>
              <w:bottom w:w="100" w:type="dxa"/>
              <w:left w:w="140" w:type="dxa"/>
              <w:right w:w="140" w:type="dxa"/>
            </w:tcMar>
          </w:tcPr>
          <w:p>
            <w:pPr>
              <w:spacing w:before="60" w:after="60" w:line="260" w:lineRule="exact"/>
            </w:pPr>
            <w:r>
              <w:rPr>
                <w:b/>
                <w:sz w:val="19"/>
              </w:rPr>
              <w:t>Data Processing</w:t>
            </w:r>
          </w:p>
        </w:tc>
        <w:tc>
          <w:tcPr>
            <w:tcW w:type="dxa" w:w="2340"/>
            <w:shd w:fill="F9FAFB"/>
            <w:tcMar>
              <w:top w:w="100" w:type="dxa"/>
              <w:bottom w:w="100" w:type="dxa"/>
              <w:left w:w="140" w:type="dxa"/>
              <w:right w:w="140" w:type="dxa"/>
            </w:tcMar>
          </w:tcPr>
          <w:p>
            <w:pPr>
              <w:spacing w:before="60" w:after="60" w:line="260" w:lineRule="exact"/>
            </w:pPr>
            <w:r>
              <w:rPr>
                <w:sz w:val="19"/>
              </w:rPr>
              <w:t>Pandas &amp; NumPy</w:t>
            </w:r>
          </w:p>
        </w:tc>
        <w:tc>
          <w:tcPr>
            <w:tcW w:type="dxa" w:w="2340"/>
            <w:shd w:fill="F9FAFB"/>
            <w:tcMar>
              <w:top w:w="100" w:type="dxa"/>
              <w:bottom w:w="100" w:type="dxa"/>
              <w:left w:w="140" w:type="dxa"/>
              <w:right w:w="140" w:type="dxa"/>
            </w:tcMar>
          </w:tcPr>
          <w:p>
            <w:pPr>
              <w:spacing w:before="60" w:after="60" w:line="260" w:lineRule="exact"/>
            </w:pPr>
            <w:r>
              <w:rPr>
                <w:sz w:val="19"/>
              </w:rPr>
              <w:t>2.2.2 / 1.26</w:t>
            </w:r>
          </w:p>
        </w:tc>
        <w:tc>
          <w:tcPr>
            <w:tcW w:type="dxa" w:w="2340"/>
            <w:shd w:fill="F9FAFB"/>
            <w:tcMar>
              <w:top w:w="100" w:type="dxa"/>
              <w:bottom w:w="100" w:type="dxa"/>
              <w:left w:w="140" w:type="dxa"/>
              <w:right w:w="140" w:type="dxa"/>
            </w:tcMar>
          </w:tcPr>
          <w:p>
            <w:pPr>
              <w:spacing w:before="60" w:after="60" w:line="260" w:lineRule="exact"/>
            </w:pPr>
            <w:r>
              <w:rPr>
                <w:sz w:val="19"/>
              </w:rPr>
              <w:t>Structured tabular manipulation and numerical feature vector aggregation</w:t>
            </w:r>
          </w:p>
        </w:tc>
      </w:tr>
      <w:tr>
        <w:tc>
          <w:tcPr>
            <w:tcW w:type="dxa" w:w="2340"/>
            <w:shd w:fill="FFFFFF"/>
            <w:tcMar>
              <w:top w:w="100" w:type="dxa"/>
              <w:bottom w:w="100" w:type="dxa"/>
              <w:left w:w="140" w:type="dxa"/>
              <w:right w:w="140" w:type="dxa"/>
            </w:tcMar>
          </w:tcPr>
          <w:p>
            <w:pPr>
              <w:spacing w:before="60" w:after="60" w:line="260" w:lineRule="exact"/>
            </w:pPr>
            <w:r>
              <w:rPr>
                <w:b/>
                <w:sz w:val="19"/>
              </w:rPr>
              <w:t>Styling</w:t>
            </w:r>
          </w:p>
        </w:tc>
        <w:tc>
          <w:tcPr>
            <w:tcW w:type="dxa" w:w="2340"/>
            <w:shd w:fill="FFFFFF"/>
            <w:tcMar>
              <w:top w:w="100" w:type="dxa"/>
              <w:bottom w:w="100" w:type="dxa"/>
              <w:left w:w="140" w:type="dxa"/>
              <w:right w:w="140" w:type="dxa"/>
            </w:tcMar>
          </w:tcPr>
          <w:p>
            <w:pPr>
              <w:spacing w:before="60" w:after="60" w:line="260" w:lineRule="exact"/>
            </w:pPr>
            <w:r>
              <w:rPr>
                <w:sz w:val="19"/>
              </w:rPr>
              <w:t>Vanilla Modern CSS</w:t>
            </w:r>
          </w:p>
        </w:tc>
        <w:tc>
          <w:tcPr>
            <w:tcW w:type="dxa" w:w="2340"/>
            <w:shd w:fill="FFFFFF"/>
            <w:tcMar>
              <w:top w:w="100" w:type="dxa"/>
              <w:bottom w:w="100" w:type="dxa"/>
              <w:left w:w="140" w:type="dxa"/>
              <w:right w:w="140" w:type="dxa"/>
            </w:tcMar>
          </w:tcPr>
          <w:p>
            <w:pPr>
              <w:spacing w:before="60" w:after="60" w:line="260" w:lineRule="exact"/>
            </w:pPr>
            <w:r>
              <w:rPr>
                <w:sz w:val="19"/>
              </w:rPr>
              <w:t>CSS3</w:t>
            </w:r>
          </w:p>
        </w:tc>
        <w:tc>
          <w:tcPr>
            <w:tcW w:type="dxa" w:w="2340"/>
            <w:shd w:fill="FFFFFF"/>
            <w:tcMar>
              <w:top w:w="100" w:type="dxa"/>
              <w:bottom w:w="100" w:type="dxa"/>
              <w:left w:w="140" w:type="dxa"/>
              <w:right w:w="140" w:type="dxa"/>
            </w:tcMar>
          </w:tcPr>
          <w:p>
            <w:pPr>
              <w:spacing w:before="60" w:after="60" w:line="260" w:lineRule="exact"/>
            </w:pPr>
            <w:r>
              <w:rPr>
                <w:sz w:val="19"/>
              </w:rPr>
              <w:t>Custom design system with glassmorphism, fluid responsive grid, and zero external CSS bloat</w:t>
            </w:r>
          </w:p>
        </w:tc>
      </w:tr>
    </w:tbl>
    <w:p>
      <w:pPr>
        <w:spacing w:after="120"/>
      </w:pPr>
    </w:p>
    <w:p>
      <w:pPr>
        <w:spacing w:before="120" w:after="120"/>
        <w:pBdr>
          <w:bottom w:val="single" w:sz="6" w:space="1" w:color="D1D5DB"/>
        </w:pBdr>
      </w:pPr>
    </w:p>
    <w:p>
      <w:pPr>
        <w:keepNext/>
        <w:spacing w:before="280" w:after="120"/>
      </w:pPr>
      <w:r>
        <w:rPr>
          <w:b/>
          <w:color w:val="1E3A8A"/>
          <w:sz w:val="30"/>
        </w:rPr>
        <w:t>Chapter 5: Detailed Module Implementation (15 Core Modules)</w:t>
      </w:r>
    </w:p>
    <w:p>
      <w:pPr>
        <w:keepNext/>
        <w:spacing w:before="200" w:after="80"/>
      </w:pPr>
      <w:r>
        <w:rPr>
          <w:b/>
          <w:color w:val="374151"/>
          <w:sz w:val="26"/>
        </w:rPr>
        <w:t>Module 1: User Authentication &amp; Security</w:t>
      </w:r>
    </w:p>
    <w:p>
      <w:pPr>
        <w:pStyle w:val="ListBullet"/>
        <w:spacing w:before="20" w:after="40" w:line="276" w:lineRule="auto"/>
      </w:pPr>
      <w:r>
        <w:rPr>
          <w:b/>
        </w:rPr>
        <w:t>Endpoints</w:t>
      </w:r>
      <w:r>
        <w:t xml:space="preserve">: </w:t>
      </w:r>
      <w:r>
        <w:rPr>
          <w:rFonts w:ascii="Consolas" w:hAnsi="Consolas"/>
          <w:color w:val="C7254E"/>
          <w:sz w:val="19"/>
        </w:rPr>
        <w:t>/api/users/</w:t>
      </w:r>
      <w:r>
        <w:t xml:space="preserve">, </w:t>
      </w:r>
      <w:r>
        <w:rPr>
          <w:rFonts w:ascii="Consolas" w:hAnsi="Consolas"/>
          <w:color w:val="C7254E"/>
          <w:sz w:val="19"/>
        </w:rPr>
        <w:t>/api/token/</w:t>
      </w:r>
      <w:r>
        <w:t xml:space="preserve">, </w:t>
      </w:r>
      <w:r>
        <w:rPr>
          <w:rFonts w:ascii="Consolas" w:hAnsi="Consolas"/>
          <w:color w:val="C7254E"/>
          <w:sz w:val="19"/>
        </w:rPr>
        <w:t>/api/token/refresh/</w:t>
      </w:r>
      <w:r>
        <w:t xml:space="preserve">, </w:t>
      </w:r>
      <w:r>
        <w:rPr>
          <w:rFonts w:ascii="Consolas" w:hAnsi="Consolas"/>
          <w:color w:val="C7254E"/>
          <w:sz w:val="19"/>
        </w:rPr>
        <w:t>/api/auth/me/</w:t>
      </w:r>
      <w:r>
        <w:t xml:space="preserve">, </w:t>
      </w:r>
      <w:r>
        <w:rPr>
          <w:rFonts w:ascii="Consolas" w:hAnsi="Consolas"/>
          <w:color w:val="C7254E"/>
          <w:sz w:val="19"/>
        </w:rPr>
        <w:t>/api/auth/password-reset-request/</w:t>
      </w:r>
    </w:p>
    <w:p>
      <w:pPr>
        <w:pStyle w:val="ListBullet"/>
        <w:spacing w:before="20" w:after="40" w:line="276" w:lineRule="auto"/>
      </w:pPr>
      <w:r>
        <w:t>Implements secure registration with PBKDF2 password hashing. Generates cryptographically signed JWT token pairs (60-minute access token, 7-day refresh token). Includes an automated 6-digit mock OTP password recovery pipeline.</w:t>
      </w:r>
    </w:p>
    <w:p>
      <w:pPr>
        <w:keepNext/>
        <w:spacing w:before="200" w:after="80"/>
      </w:pPr>
      <w:r>
        <w:rPr>
          <w:b/>
          <w:color w:val="374151"/>
          <w:sz w:val="26"/>
        </w:rPr>
        <w:t>Module 2: Multi-Role Access Control (RBAC)</w:t>
      </w:r>
    </w:p>
    <w:p>
      <w:pPr>
        <w:pStyle w:val="ListBullet"/>
        <w:spacing w:before="20" w:after="40" w:line="276" w:lineRule="auto"/>
      </w:pPr>
      <w:r>
        <w:t>Enforces three distinct application roles across endpoints and frontend routes:</w:t>
      </w:r>
    </w:p>
    <w:p>
      <w:pPr>
        <w:pStyle w:val="ListNumber"/>
        <w:spacing w:before="20" w:after="40" w:line="276" w:lineRule="auto"/>
      </w:pPr>
      <w:r>
        <w:rPr>
          <w:b/>
        </w:rPr>
        <w:t>Customer</w:t>
      </w:r>
      <w:r>
        <w:t>: Browses catalog, books items, manages subscriptions, tracks deliveries, accesses Rent-to-Own.</w:t>
      </w:r>
    </w:p>
    <w:p>
      <w:pPr>
        <w:pStyle w:val="ListNumber"/>
        <w:spacing w:before="20" w:after="40" w:line="276" w:lineRule="auto"/>
      </w:pPr>
      <w:r>
        <w:rPr>
          <w:b/>
        </w:rPr>
        <w:t>Owner / Vendor</w:t>
      </w:r>
      <w:r>
        <w:t xml:space="preserve">: Lists inventory for peer-to-peer leasing, views rental revenues, and fulfills customer orders via </w:t>
      </w:r>
      <w:r>
        <w:rPr>
          <w:color w:val="1A73E8"/>
          <w:u w:val="single"/>
        </w:rPr>
        <w:t>OwnerDashboard.jsx (file:///c:/Users/dhran/Desktop/RentAI/frontend/src/OwnerDashboard.jsx)</w:t>
      </w:r>
      <w:r>
        <w:t>.</w:t>
      </w:r>
    </w:p>
    <w:p>
      <w:pPr>
        <w:pStyle w:val="ListNumber"/>
        <w:spacing w:before="20" w:after="40" w:line="276" w:lineRule="auto"/>
      </w:pPr>
      <w:r>
        <w:rPr>
          <w:b/>
        </w:rPr>
        <w:t>Platform Administrator</w:t>
      </w:r>
      <w:r>
        <w:t xml:space="preserve">: Monitors financial analytics, audits KYC submissions, inspects at-risk churn accounts with SHAP reason codes, and manages user tickets via </w:t>
      </w:r>
      <w:r>
        <w:rPr>
          <w:color w:val="1A73E8"/>
          <w:u w:val="single"/>
        </w:rPr>
        <w:t>AdminDashboard.jsx (file:///c:/Users/dhran/Desktop/RentAI/frontend/src/AdminDashboard.jsx)</w:t>
      </w:r>
      <w:r>
        <w:t>.</w:t>
      </w:r>
    </w:p>
    <w:p>
      <w:pPr>
        <w:keepNext/>
        <w:spacing w:before="200" w:after="80"/>
      </w:pPr>
      <w:r>
        <w:rPr>
          <w:b/>
          <w:color w:val="374151"/>
          <w:sz w:val="26"/>
        </w:rPr>
        <w:t>Module 3: Dynamic City-Filtered Catalog &amp; Inventory Management</w:t>
      </w:r>
    </w:p>
    <w:p>
      <w:pPr>
        <w:pStyle w:val="ListBullet"/>
        <w:spacing w:before="20" w:after="40" w:line="276" w:lineRule="auto"/>
      </w:pPr>
      <w:r>
        <w:rPr>
          <w:b/>
        </w:rPr>
        <w:t>Endpoints</w:t>
      </w:r>
      <w:r>
        <w:t xml:space="preserve">: </w:t>
      </w:r>
      <w:r>
        <w:rPr>
          <w:rFonts w:ascii="Consolas" w:hAnsi="Consolas"/>
          <w:color w:val="C7254E"/>
          <w:sz w:val="19"/>
        </w:rPr>
        <w:t>/api/appliances/</w:t>
      </w:r>
      <w:r>
        <w:t xml:space="preserve">, </w:t>
      </w:r>
      <w:r>
        <w:rPr>
          <w:rFonts w:ascii="Consolas" w:hAnsi="Consolas"/>
          <w:color w:val="C7254E"/>
          <w:sz w:val="19"/>
        </w:rPr>
        <w:t>/api/appliances/&lt;id&gt;/</w:t>
      </w:r>
    </w:p>
    <w:p>
      <w:pPr>
        <w:pStyle w:val="ListBullet"/>
        <w:spacing w:before="20" w:after="40" w:line="276" w:lineRule="auto"/>
      </w:pPr>
      <w:r>
        <w:t>Manages 84+ appliances and furniture items with multi-city distribution across Bangalore, Mumbai, Delhi-NCR, Hyderabad, and Pune. Schemas encapsulate high-resolution imagery, detailed specifications, stock counters, and category tags.</w:t>
      </w:r>
    </w:p>
    <w:p>
      <w:pPr>
        <w:keepNext/>
        <w:spacing w:before="200" w:after="80"/>
      </w:pPr>
      <w:r>
        <w:rPr>
          <w:b/>
          <w:color w:val="374151"/>
          <w:sz w:val="26"/>
        </w:rPr>
        <w:t>Module 4: Multi-Tier Tenure Pricing Engine</w:t>
      </w:r>
    </w:p>
    <w:p>
      <w:pPr>
        <w:pStyle w:val="ListBullet"/>
        <w:spacing w:before="20" w:after="40" w:line="276" w:lineRule="auto"/>
      </w:pPr>
      <w:r>
        <w:t>Computes discounted monthly rental pricing depending on committed contract duration:</w:t>
      </w:r>
    </w:p>
    <w:p>
      <w:pPr>
        <w:spacing w:after="120" w:before="0" w:line="276" w:lineRule="auto"/>
      </w:pPr>
      <w:r>
        <w:t>$$\text{Monthly Fee} = \begin{cases} P_3 &amp; \text{for 3 months (Standard)} \\ P_6 &amp; \text{for 6 months (8–12\% discount)} \\ P_{12} &amp; \text{for 12 months (18–25\% discount)} \end{cases}$$</w:t>
      </w:r>
    </w:p>
    <w:p>
      <w:pPr>
        <w:pStyle w:val="ListBullet"/>
        <w:spacing w:before="20" w:after="40" w:line="276" w:lineRule="auto"/>
      </w:pPr>
      <w:r>
        <w:t>Dynamic frontend calculators update monthly costs, refundable security deposits, and upfront delivery charges in real time.</w:t>
      </w:r>
    </w:p>
    <w:p>
      <w:pPr>
        <w:keepNext/>
        <w:spacing w:before="200" w:after="80"/>
      </w:pPr>
      <w:r>
        <w:rPr>
          <w:b/>
          <w:color w:val="374151"/>
          <w:sz w:val="26"/>
        </w:rPr>
        <w:t>Module 5: Mandatory KYC Security Gateway</w:t>
      </w:r>
    </w:p>
    <w:p>
      <w:pPr>
        <w:pStyle w:val="ListBullet"/>
        <w:spacing w:before="20" w:after="40" w:line="276" w:lineRule="auto"/>
      </w:pPr>
      <w:r>
        <w:rPr>
          <w:b/>
        </w:rPr>
        <w:t>Endpoints</w:t>
      </w:r>
      <w:r>
        <w:t xml:space="preserve">: </w:t>
      </w:r>
      <w:r>
        <w:rPr>
          <w:rFonts w:ascii="Consolas" w:hAnsi="Consolas"/>
          <w:color w:val="C7254E"/>
          <w:sz w:val="19"/>
        </w:rPr>
        <w:t>/api/kyc/</w:t>
      </w:r>
    </w:p>
    <w:p>
      <w:pPr>
        <w:pStyle w:val="ListBullet"/>
        <w:spacing w:before="20" w:after="40" w:line="276" w:lineRule="auto"/>
      </w:pPr>
      <w:r>
        <w:t>Prevents fraud by strictly gating checkout behind identity proof (Aadhaar/Passport/Driving License) and address proof submission. Unverified customers attempting to initiate checkout receive an immediate HTTP 403 Forbidden response.</w:t>
      </w:r>
    </w:p>
    <w:p>
      <w:pPr>
        <w:keepNext/>
        <w:spacing w:before="200" w:after="80"/>
      </w:pPr>
      <w:r>
        <w:rPr>
          <w:b/>
          <w:color w:val="374151"/>
          <w:sz w:val="26"/>
        </w:rPr>
        <w:t>Module 6: Booking Engine, Cart State &amp; Atomic Stock Management</w:t>
      </w:r>
    </w:p>
    <w:p>
      <w:pPr>
        <w:pStyle w:val="ListBullet"/>
        <w:spacing w:before="20" w:after="40" w:line="276" w:lineRule="auto"/>
      </w:pPr>
      <w:r>
        <w:rPr>
          <w:b/>
        </w:rPr>
        <w:t>Endpoints</w:t>
      </w:r>
      <w:r>
        <w:t xml:space="preserve">: </w:t>
      </w:r>
      <w:r>
        <w:rPr>
          <w:rFonts w:ascii="Consolas" w:hAnsi="Consolas"/>
          <w:color w:val="C7254E"/>
          <w:sz w:val="19"/>
        </w:rPr>
        <w:t>/api/cart/</w:t>
      </w:r>
      <w:r>
        <w:t xml:space="preserve">, </w:t>
      </w:r>
      <w:r>
        <w:rPr>
          <w:rFonts w:ascii="Consolas" w:hAnsi="Consolas"/>
          <w:color w:val="C7254E"/>
          <w:sz w:val="19"/>
        </w:rPr>
        <w:t>/api/checkout/</w:t>
      </w:r>
    </w:p>
    <w:p>
      <w:pPr>
        <w:pStyle w:val="ListBullet"/>
        <w:spacing w:before="20" w:after="40" w:line="276" w:lineRule="auto"/>
      </w:pPr>
      <w:r>
        <w:t xml:space="preserve">Maintains persistent cart state per customer. Upon checkout execution, the system employs MongoDB's atomic operator </w:t>
      </w:r>
      <w:r>
        <w:rPr>
          <w:rFonts w:ascii="Consolas" w:hAnsi="Consolas"/>
          <w:color w:val="C7254E"/>
          <w:sz w:val="19"/>
        </w:rPr>
        <w:t>$inc: {"stock_quantity": -1}</w:t>
      </w:r>
      <w:r>
        <w:t xml:space="preserve"> to ensure concurrency-safe inventory decrements.</w:t>
      </w:r>
    </w:p>
    <w:p>
      <w:pPr>
        <w:keepNext/>
        <w:spacing w:before="200" w:after="80"/>
      </w:pPr>
      <w:r>
        <w:rPr>
          <w:b/>
          <w:color w:val="374151"/>
          <w:sz w:val="26"/>
        </w:rPr>
        <w:t>Module 7: Rentora Shield (Damage Waiver &amp; Escrow Guarantee)</w:t>
      </w:r>
    </w:p>
    <w:p>
      <w:pPr>
        <w:pStyle w:val="ListBullet"/>
        <w:spacing w:before="20" w:after="40" w:line="276" w:lineRule="auto"/>
      </w:pPr>
      <w:r>
        <w:t xml:space="preserve">Integrates a ₹0-cost </w:t>
      </w:r>
      <w:r>
        <w:rPr>
          <w:b/>
        </w:rPr>
        <w:t>₹10,000 Accidental Damage Waiver</w:t>
      </w:r>
      <w:r>
        <w:t xml:space="preserve"> into every rental order. Minor cosmetic scratches, regular operational wear-and-tear, or minor accidental spills incur ₹0 deductions from the customer's refundable security deposit.</w:t>
      </w:r>
    </w:p>
    <w:p>
      <w:pPr>
        <w:keepNext/>
        <w:spacing w:before="200" w:after="80"/>
      </w:pPr>
      <w:r>
        <w:rPr>
          <w:b/>
          <w:color w:val="374151"/>
          <w:sz w:val="26"/>
        </w:rPr>
        <w:t>Module 8: Asset Return Processing &amp; Refurbishment</w:t>
      </w:r>
    </w:p>
    <w:p>
      <w:pPr>
        <w:pStyle w:val="ListBullet"/>
        <w:spacing w:before="20" w:after="40" w:line="276" w:lineRule="auto"/>
      </w:pPr>
      <w:r>
        <w:rPr>
          <w:b/>
        </w:rPr>
        <w:t>Endpoints</w:t>
      </w:r>
      <w:r>
        <w:t xml:space="preserve">: </w:t>
      </w:r>
      <w:r>
        <w:rPr>
          <w:rFonts w:ascii="Consolas" w:hAnsi="Consolas"/>
          <w:color w:val="C7254E"/>
          <w:sz w:val="19"/>
        </w:rPr>
        <w:t>/api/rentals/</w:t>
      </w:r>
      <w:r>
        <w:t xml:space="preserve"> (PATCH)</w:t>
      </w:r>
    </w:p>
    <w:p>
      <w:pPr>
        <w:pStyle w:val="ListBullet"/>
        <w:spacing w:before="20" w:after="40" w:line="276" w:lineRule="auto"/>
      </w:pPr>
      <w:r>
        <w:t>Coordinates appliance returns at lease expiry. Upon inspection approval, the security deposit is automatically refunded, and inventory counters are incremented back into active stock (</w:t>
      </w:r>
      <w:r>
        <w:rPr>
          <w:rFonts w:ascii="Consolas" w:hAnsi="Consolas"/>
          <w:color w:val="C7254E"/>
          <w:sz w:val="19"/>
        </w:rPr>
        <w:t>$inc: {"stock_quantity": 1}</w:t>
      </w:r>
      <w:r>
        <w:t>).</w:t>
      </w:r>
    </w:p>
    <w:p>
      <w:pPr>
        <w:keepNext/>
        <w:spacing w:before="200" w:after="80"/>
      </w:pPr>
      <w:r>
        <w:rPr>
          <w:b/>
          <w:color w:val="374151"/>
          <w:sz w:val="26"/>
        </w:rPr>
        <w:t>Module 9: Pure MongoDB Asynchronous ETL Pipeline</w:t>
      </w:r>
    </w:p>
    <w:p>
      <w:pPr>
        <w:pStyle w:val="ListBullet"/>
        <w:spacing w:before="20" w:after="40" w:line="276" w:lineRule="auto"/>
      </w:pPr>
      <w:r>
        <w:t xml:space="preserve">Implemented in </w:t>
      </w:r>
      <w:r>
        <w:rPr>
          <w:color w:val="1A73E8"/>
          <w:u w:val="single"/>
        </w:rPr>
        <w:t>ml_pipeline/etl_pipeline.py (file:///c:/Users/dhran/Desktop/RentAI/ml_pipeline/etl_pipeline.py)</w:t>
      </w:r>
      <w:r>
        <w:t>. Extracts raw behavioral metrics from MongoDB collections (</w:t>
      </w:r>
      <w:r>
        <w:rPr>
          <w:rFonts w:ascii="Consolas" w:hAnsi="Consolas"/>
          <w:color w:val="C7254E"/>
          <w:sz w:val="19"/>
        </w:rPr>
        <w:t>users</w:t>
      </w:r>
      <w:r>
        <w:t xml:space="preserve">, </w:t>
      </w:r>
      <w:r>
        <w:rPr>
          <w:rFonts w:ascii="Consolas" w:hAnsi="Consolas"/>
          <w:color w:val="C7254E"/>
          <w:sz w:val="19"/>
        </w:rPr>
        <w:t>rentals</w:t>
      </w:r>
      <w:r>
        <w:t xml:space="preserve">, </w:t>
      </w:r>
      <w:r>
        <w:rPr>
          <w:rFonts w:ascii="Consolas" w:hAnsi="Consolas"/>
          <w:color w:val="C7254E"/>
          <w:sz w:val="19"/>
        </w:rPr>
        <w:t>carts</w:t>
      </w:r>
      <w:r>
        <w:t>), calculates engagement aggregates, and prepares clean feature matrices for machine learning without impacting live transactions.</w:t>
      </w:r>
    </w:p>
    <w:p>
      <w:pPr>
        <w:keepNext/>
        <w:spacing w:before="200" w:after="80"/>
      </w:pPr>
      <w:r>
        <w:rPr>
          <w:b/>
          <w:color w:val="374151"/>
          <w:sz w:val="26"/>
        </w:rPr>
        <w:t>Module 10: Predictive Churn AI Engine (LightGBM)</w:t>
      </w:r>
    </w:p>
    <w:p>
      <w:pPr>
        <w:pStyle w:val="ListBullet"/>
        <w:spacing w:before="20" w:after="40" w:line="276" w:lineRule="auto"/>
      </w:pPr>
      <w:r>
        <w:t xml:space="preserve">Evaluates customer attrition probability using LightGBM. Utilizes Gradient-based One-Side Sampling (GOSS) and Exclusive Feature Bundling (EFB) to achieve industry-leading prediction accuracy of </w:t>
      </w:r>
      <w:r>
        <w:rPr>
          <w:b/>
        </w:rPr>
        <w:t>95.33%</w:t>
      </w:r>
      <w:r>
        <w:t xml:space="preserve"> and ROC-AUC of </w:t>
      </w:r>
      <w:r>
        <w:rPr>
          <w:b/>
        </w:rPr>
        <w:t>99.10%</w:t>
      </w:r>
      <w:r>
        <w:t>.</w:t>
      </w:r>
    </w:p>
    <w:p>
      <w:pPr>
        <w:keepNext/>
        <w:spacing w:before="200" w:after="80"/>
      </w:pPr>
      <w:r>
        <w:rPr>
          <w:b/>
          <w:color w:val="374151"/>
          <w:sz w:val="26"/>
        </w:rPr>
        <w:t>Module 11: Explainable AI (TreeSHAP Reason Code Generator)</w:t>
      </w:r>
    </w:p>
    <w:p>
      <w:pPr>
        <w:pStyle w:val="ListBullet"/>
        <w:spacing w:before="20" w:after="40" w:line="276" w:lineRule="auto"/>
      </w:pPr>
      <w:r>
        <w:t xml:space="preserve">Computes local Shapley values for each individual customer prediction. Ranks top feature contributions and translates them into plain-language business insights (e.g., </w:t>
      </w:r>
      <w:r>
        <w:rPr>
          <w:i/>
        </w:rPr>
        <w:t>"3 consecutive late billing cycles"</w:t>
      </w:r>
      <w:r>
        <w:t xml:space="preserve">, </w:t>
      </w:r>
      <w:r>
        <w:rPr>
          <w:i/>
        </w:rPr>
        <w:t>"Significant drop in monthly browsing frequency"</w:t>
      </w:r>
      <w:r>
        <w:t>).</w:t>
      </w:r>
    </w:p>
    <w:p>
      <w:pPr>
        <w:keepNext/>
        <w:spacing w:before="200" w:after="80"/>
      </w:pPr>
      <w:r>
        <w:rPr>
          <w:b/>
          <w:color w:val="374151"/>
          <w:sz w:val="26"/>
        </w:rPr>
        <w:t>Module 12: Personalized Catalog Recommender</w:t>
      </w:r>
    </w:p>
    <w:p>
      <w:pPr>
        <w:pStyle w:val="ListBullet"/>
        <w:spacing w:before="20" w:after="40" w:line="276" w:lineRule="auto"/>
      </w:pPr>
      <w:r>
        <w:rPr>
          <w:b/>
        </w:rPr>
        <w:t>Endpoints</w:t>
      </w:r>
      <w:r>
        <w:t xml:space="preserve">: </w:t>
      </w:r>
      <w:r>
        <w:rPr>
          <w:rFonts w:ascii="Consolas" w:hAnsi="Consolas"/>
          <w:color w:val="C7254E"/>
          <w:sz w:val="19"/>
        </w:rPr>
        <w:t>/api/recommendations/</w:t>
      </w:r>
    </w:p>
    <w:p>
      <w:pPr>
        <w:pStyle w:val="ListBullet"/>
        <w:spacing w:before="20" w:after="40" w:line="276" w:lineRule="auto"/>
      </w:pPr>
      <w:r>
        <w:t>Uses sublinear TF-IDF vectorization and Cosine Similarity matrices to compute cross-selling affinities between rented durables and unrented catalog items, delivering instant Top-6 recommendations.</w:t>
      </w:r>
    </w:p>
    <w:p>
      <w:pPr>
        <w:keepNext/>
        <w:spacing w:before="200" w:after="80"/>
      </w:pPr>
      <w:r>
        <w:rPr>
          <w:b/>
          <w:color w:val="374151"/>
          <w:sz w:val="26"/>
        </w:rPr>
        <w:t>Module 13: Rent-to-Own Equity Builder &amp; Ownership Certificates</w:t>
      </w:r>
    </w:p>
    <w:p>
      <w:pPr>
        <w:pStyle w:val="ListBullet"/>
        <w:spacing w:before="20" w:after="40" w:line="276" w:lineRule="auto"/>
      </w:pPr>
      <w:r>
        <w:t>Allows customers on 12–36 month contracts to accrue up to 70% of rental payments towards outright asset buyout.</w:t>
      </w:r>
    </w:p>
    <w:p>
      <w:pPr>
        <w:pStyle w:val="ListBullet"/>
        <w:spacing w:before="20" w:after="40" w:line="276" w:lineRule="auto"/>
      </w:pPr>
      <w:r>
        <w:t xml:space="preserve">Features a real-time buyout calculator and an </w:t>
      </w:r>
      <w:r>
        <w:rPr>
          <w:color w:val="1A73E8"/>
          <w:u w:val="single"/>
        </w:rPr>
        <w:t>OwnershipCertificateModal.jsx (file:///c:/Users/dhran/Desktop/RentAI/frontend/src/OwnershipCertificateModal.jsx)</w:t>
      </w:r>
      <w:r>
        <w:t xml:space="preserve"> that generates tamper-evident, printable digital ownership certificates upon contract completion.</w:t>
      </w:r>
    </w:p>
    <w:p>
      <w:pPr>
        <w:keepNext/>
        <w:spacing w:before="200" w:after="80"/>
      </w:pPr>
      <w:r>
        <w:rPr>
          <w:b/>
          <w:color w:val="374151"/>
          <w:sz w:val="26"/>
        </w:rPr>
        <w:t>Module 14: UNLMTD Whole-Home Subscriptions &amp; Curated Combos</w:t>
      </w:r>
    </w:p>
    <w:p>
      <w:pPr>
        <w:pStyle w:val="ListBullet"/>
        <w:spacing w:before="20" w:after="40" w:line="276" w:lineRule="auto"/>
      </w:pPr>
      <w:r>
        <w:t>Provides curated zero-deposit 1 BHK, 2 BHK, and 3 BHK packages with free annual upgrades and 1-click room combos (Living Room, Work-From-Home, Modular Kitchen).</w:t>
      </w:r>
    </w:p>
    <w:p>
      <w:pPr>
        <w:keepNext/>
        <w:spacing w:before="200" w:after="80"/>
      </w:pPr>
      <w:r>
        <w:rPr>
          <w:b/>
          <w:color w:val="374151"/>
          <w:sz w:val="26"/>
        </w:rPr>
        <w:t>Module 15: Real-Time Field Logistics Tracker &amp; Rentora Concierge AI</w:t>
      </w:r>
    </w:p>
    <w:p>
      <w:pPr>
        <w:pStyle w:val="ListBullet"/>
        <w:spacing w:before="20" w:after="40" w:line="276" w:lineRule="auto"/>
      </w:pPr>
      <w:r>
        <w:rPr>
          <w:b/>
        </w:rPr>
        <w:t>Delivery Tracker</w:t>
      </w:r>
      <w:r>
        <w:t>: Utilizes Socket.io to stream real-time technician movement across 5 key fulfillment stages (Order Placed $\rightarrow$ Warehouse Dispatched $\rightarrow$ Technician in Transit $\rightarrow$ Doorstep Delivery $\rightarrow$ Professional Assembly).</w:t>
      </w:r>
    </w:p>
    <w:p>
      <w:pPr>
        <w:pStyle w:val="ListBullet"/>
        <w:spacing w:before="20" w:after="40" w:line="276" w:lineRule="auto"/>
      </w:pPr>
      <w:r>
        <w:rPr>
          <w:b/>
        </w:rPr>
        <w:t>Rentora Concierge</w:t>
      </w:r>
      <w:r>
        <w:t>: Interactive chatbot providing instant assistance with order tracking, tenure extensions, damage waiver claims, and style swap requests.</w:t>
      </w:r>
    </w:p>
    <w:p>
      <w:pPr>
        <w:spacing w:before="120" w:after="120"/>
        <w:pBdr>
          <w:bottom w:val="single" w:sz="6" w:space="1" w:color="D1D5DB"/>
        </w:pBdr>
      </w:pPr>
    </w:p>
    <w:p>
      <w:pPr>
        <w:keepNext/>
        <w:spacing w:before="280" w:after="120"/>
      </w:pPr>
      <w:r>
        <w:rPr>
          <w:b/>
          <w:color w:val="1E3A8A"/>
          <w:sz w:val="30"/>
        </w:rPr>
        <w:t>Chapter 6: Artificial Intelligence &amp; Machine Learning Pipeline</w:t>
      </w:r>
    </w:p>
    <w:p>
      <w:pPr>
        <w:keepNext/>
        <w:spacing w:before="200" w:after="80"/>
      </w:pPr>
      <w:r>
        <w:rPr>
          <w:b/>
          <w:color w:val="374151"/>
          <w:sz w:val="26"/>
        </w:rPr>
        <w:t>6.1 LightGBM Churn Prediction Architecture</w:t>
      </w:r>
    </w:p>
    <w:p>
      <w:pPr>
        <w:spacing w:after="120" w:before="0" w:line="276" w:lineRule="auto"/>
      </w:pPr>
      <w:r>
        <w:t>LightGBM was selected over standard Decision Trees and Random Forests due to its histogram-based decision tree construction and Gradient-based One-Side Sampling (GOSS).</w:t>
      </w:r>
    </w:p>
    <w:p>
      <w:pPr>
        <w:keepNext/>
        <w:spacing w:before="160" w:after="60"/>
      </w:pPr>
      <w:r>
        <w:rPr>
          <w:b/>
          <w:color w:val="4B5563"/>
          <w:sz w:val="23"/>
        </w:rPr>
        <w:t>Mathematical Formulation</w:t>
      </w:r>
    </w:p>
    <w:p>
      <w:pPr>
        <w:spacing w:after="120" w:before="0" w:line="276" w:lineRule="auto"/>
      </w:pPr>
      <w:r>
        <w:t>Given an instance feature vector $\mathbf{x}_i \in \mathbb{R}^d$ and true label $y_i \in \{0, 1\}$, LightGBM minimizes the objective:</w:t>
      </w:r>
    </w:p>
    <w:p>
      <w:pPr>
        <w:spacing w:after="120" w:before="0" w:line="276" w:lineRule="auto"/>
      </w:pPr>
      <w:r>
        <w:t>$$\mathcal{L}^{(t)} = \sum_{i=1}^n l\left(y_i, \hat{y}_i^{(t-1)} + f_t(\mathbf{x}_i)\right) + \Omega(f_t)$$</w:t>
      </w:r>
    </w:p>
    <w:p>
      <w:pPr>
        <w:spacing w:after="120" w:before="0" w:line="276" w:lineRule="auto"/>
      </w:pPr>
      <w:r>
        <w:t>where $l(\cdot)$ is the binary cross-entropy loss function, $\Omega(f_t) = \gamma T + \frac{1}{2}\lambda \sum_{j=1}^T w_j^2$ is the tree complexity regularization term, and $f_t$ is the new decision tree added at iteration $t$.</w:t>
      </w:r>
    </w:p>
    <w:p>
      <w:pPr>
        <w:keepNext/>
        <w:spacing w:before="200" w:after="80"/>
      </w:pPr>
      <w:r>
        <w:rPr>
          <w:b/>
          <w:color w:val="374151"/>
          <w:sz w:val="26"/>
        </w:rPr>
        <w:t>6.2 TreeSHAP Interpretability Formulation</w:t>
      </w:r>
    </w:p>
    <w:p>
      <w:pPr>
        <w:spacing w:after="120" w:before="0" w:line="276" w:lineRule="auto"/>
      </w:pPr>
      <w:r>
        <w:t>For any customer prediction $f(\mathbf{x})$, TreeSHAP computes the additive contribution $\phi_j$ of each feature $j$:</w:t>
      </w:r>
    </w:p>
    <w:p>
      <w:pPr>
        <w:spacing w:after="120" w:before="0" w:line="276" w:lineRule="auto"/>
      </w:pPr>
      <w:r>
        <w:t>$$f(\mathbf{x}) = \phi_0 + \sum_{j=1}^M \phi_j(\mathbf{x})$$</w:t>
      </w:r>
    </w:p>
    <w:p>
      <w:pPr>
        <w:spacing w:after="120" w:before="0" w:line="276" w:lineRule="auto"/>
      </w:pPr>
      <w:r>
        <w:t xml:space="preserve">where $\phi_0 = \mathbb{E}[f(\mathbf{x})]$ represents the base expected value. The operational system converts the top positive Shapley contributors into prioritized reason codes stored in MongoDB collection </w:t>
      </w:r>
      <w:r>
        <w:rPr>
          <w:rFonts w:ascii="Consolas" w:hAnsi="Consolas"/>
          <w:color w:val="C7254E"/>
          <w:sz w:val="19"/>
        </w:rPr>
        <w:t>user_churn_scores</w:t>
      </w:r>
      <w:r>
        <w:t>.</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after="80"/>
            </w:pPr>
            <w:r>
              <w:rPr>
                <w:b/>
                <w:color w:val="6C757D"/>
                <w:sz w:val="17"/>
              </w:rPr>
              <w:t>[MERMAID]</w:t>
            </w:r>
          </w:p>
          <w:p>
            <w:pPr>
              <w:spacing w:before="0" w:after="0" w:line="260" w:lineRule="exact"/>
            </w:pPr>
            <w:r>
              <w:rPr>
                <w:rFonts w:ascii="Consolas" w:hAnsi="Consolas"/>
                <w:color w:val="282C34"/>
                <w:sz w:val="19"/>
              </w:rPr>
              <w:t>flowchart LR</w:t>
              <w:br/>
              <w:t xml:space="preserve">    A[Customer Behavioral Vector] --&gt; B[LightGBM Model]</w:t>
              <w:br/>
              <w:t xml:space="preserve">    B --&gt; C[Churn Probability Score: 0.93]</w:t>
              <w:br/>
              <w:t xml:space="preserve">    B --&gt; D[TreeSHAP Explainer]</w:t>
              <w:br/>
              <w:t xml:space="preserve">    D --&gt; E[Feature Contributions]</w:t>
              <w:br/>
              <w:t xml:space="preserve">    E --&gt; F["Reason Code: Competitor pricing sensitivity &amp; late payment history"]</w:t>
              <w:br/>
              <w:t xml:space="preserve">    C &amp; F --&gt; G[(MongoDB user_churn_scores)]</w:t>
              <w:br/>
              <w:t xml:space="preserve">    G --&gt; H[Admin Retention Dashboard]</w:t>
            </w:r>
          </w:p>
        </w:tc>
      </w:tr>
    </w:tbl>
    <w:p>
      <w:pPr>
        <w:spacing w:after="80"/>
      </w:pPr>
    </w:p>
    <w:p>
      <w:pPr>
        <w:keepNext/>
        <w:spacing w:before="200" w:after="80"/>
      </w:pPr>
      <w:r>
        <w:rPr>
          <w:b/>
          <w:color w:val="374151"/>
          <w:sz w:val="26"/>
        </w:rPr>
        <w:t>6.3 Recommender Engine: Sublinear TF-IDF &amp; Cosine Similarity</w:t>
      </w:r>
    </w:p>
    <w:p>
      <w:pPr>
        <w:spacing w:after="120" w:before="0" w:line="276" w:lineRule="auto"/>
      </w:pPr>
      <w:r>
        <w:t>Catalog textual metadata (names, descriptions, categories, specifications) is transformed into term-frequency inverse-document-frequency vectors with sublinear scaling:</w:t>
      </w:r>
    </w:p>
    <w:p>
      <w:pPr>
        <w:spacing w:after="120" w:before="0" w:line="276" w:lineRule="auto"/>
      </w:pPr>
      <w:r>
        <w:t>$$\text{TF-IDF}(t, d, D) = \left(1 + \log(\text{TF}(t, d))\right) \times \log\left(\frac{1 + |D|}{1 + |\{d \in D : t \in d\}|}\right) + 1$$</w:t>
      </w:r>
    </w:p>
    <w:p>
      <w:pPr>
        <w:spacing w:after="120" w:before="0" w:line="276" w:lineRule="auto"/>
      </w:pPr>
      <w:r>
        <w:t>Cosine similarity between rented product vector $\mathbf{u}$ and candidate item vector $\mathbf{v}$ is evaluated:</w:t>
      </w:r>
    </w:p>
    <w:p>
      <w:pPr>
        <w:spacing w:after="120" w:before="0" w:line="276" w:lineRule="auto"/>
      </w:pPr>
      <w:r>
        <w:t>$$\text{Similarity}(\mathbf{u}, \mathbf{v}) = \frac{\mathbf{u} \cdot \mathbf{v}}{\|\mathbf{u}\|_2 \|\mathbf{v}\|_2}$$</w:t>
      </w:r>
    </w:p>
    <w:p>
      <w:pPr>
        <w:spacing w:before="120" w:after="120"/>
        <w:pBdr>
          <w:bottom w:val="single" w:sz="6" w:space="1" w:color="D1D5DB"/>
        </w:pBdr>
      </w:pPr>
    </w:p>
    <w:p>
      <w:pPr>
        <w:keepNext/>
        <w:spacing w:before="280" w:after="120"/>
      </w:pPr>
      <w:r>
        <w:rPr>
          <w:b/>
          <w:color w:val="1E3A8A"/>
          <w:sz w:val="30"/>
        </w:rPr>
        <w:t>Chapter 7: Experimental Benchmarks &amp; Performance Results</w:t>
      </w:r>
    </w:p>
    <w:p>
      <w:pPr>
        <w:keepNext/>
        <w:spacing w:before="200" w:after="80"/>
      </w:pPr>
      <w:r>
        <w:rPr>
          <w:b/>
          <w:color w:val="374151"/>
          <w:sz w:val="26"/>
        </w:rPr>
        <w:t>7.1 Machine Learning Comparative Benchmark</w:t>
      </w:r>
    </w:p>
    <w:p>
      <w:pPr>
        <w:spacing w:after="120" w:before="0" w:line="276" w:lineRule="auto"/>
      </w:pPr>
      <w:r>
        <w:t xml:space="preserve">An exhaustive evaluation was conducted comparing the </w:t>
      </w:r>
      <w:r>
        <w:rPr>
          <w:b/>
        </w:rPr>
        <w:t>LightGBM Churn Engine</w:t>
      </w:r>
      <w:r>
        <w:t xml:space="preserve"> against a </w:t>
      </w:r>
      <w:r>
        <w:rPr>
          <w:b/>
        </w:rPr>
        <w:t>Random Forest Classifier</w:t>
      </w:r>
      <w:r>
        <w:t xml:space="preserve"> and a </w:t>
      </w:r>
      <w:r>
        <w:rPr>
          <w:b/>
        </w:rPr>
        <w:t>Logistic Regression</w:t>
      </w:r>
      <w:r>
        <w:t xml:space="preserve"> baseline on a benchmark cohort of 1,500 rental customer profiles: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2563EB"/>
            <w:tcMar>
              <w:top w:w="140" w:type="dxa"/>
              <w:bottom w:w="140" w:type="dxa"/>
              <w:left w:w="160" w:type="dxa"/>
              <w:right w:w="160" w:type="dxa"/>
            </w:tcMar>
          </w:tcPr>
          <w:p>
            <w:pPr>
              <w:spacing w:before="60" w:after="60" w:line="260" w:lineRule="exact"/>
            </w:pPr>
            <w:r>
              <w:rPr>
                <w:b/>
                <w:color w:val="FFFFFF"/>
                <w:sz w:val="20"/>
              </w:rPr>
              <w:t>Evaluation Metric</w:t>
            </w:r>
          </w:p>
        </w:tc>
        <w:tc>
          <w:tcPr>
            <w:tcW w:type="dxa" w:w="1872"/>
            <w:shd w:fill="2563EB"/>
            <w:tcMar>
              <w:top w:w="140" w:type="dxa"/>
              <w:bottom w:w="140" w:type="dxa"/>
              <w:left w:w="160" w:type="dxa"/>
              <w:right w:w="160" w:type="dxa"/>
            </w:tcMar>
          </w:tcPr>
          <w:p>
            <w:pPr>
              <w:spacing w:before="60" w:after="60" w:line="260" w:lineRule="exact"/>
            </w:pPr>
            <w:r>
              <w:rPr>
                <w:b/>
                <w:color w:val="FFFFFF"/>
                <w:sz w:val="20"/>
              </w:rPr>
              <w:t>LightGBM Classifier (Rentora Core)</w:t>
            </w:r>
          </w:p>
        </w:tc>
        <w:tc>
          <w:tcPr>
            <w:tcW w:type="dxa" w:w="1872"/>
            <w:shd w:fill="2563EB"/>
            <w:tcMar>
              <w:top w:w="140" w:type="dxa"/>
              <w:bottom w:w="140" w:type="dxa"/>
              <w:left w:w="160" w:type="dxa"/>
              <w:right w:w="160" w:type="dxa"/>
            </w:tcMar>
          </w:tcPr>
          <w:p>
            <w:pPr>
              <w:spacing w:before="60" w:after="60" w:line="260" w:lineRule="exact"/>
            </w:pPr>
            <w:r>
              <w:rPr>
                <w:b/>
                <w:color w:val="FFFFFF"/>
                <w:sz w:val="20"/>
              </w:rPr>
              <w:t>Random Forest Baseline</w:t>
            </w:r>
          </w:p>
        </w:tc>
        <w:tc>
          <w:tcPr>
            <w:tcW w:type="dxa" w:w="1872"/>
            <w:shd w:fill="2563EB"/>
            <w:tcMar>
              <w:top w:w="140" w:type="dxa"/>
              <w:bottom w:w="140" w:type="dxa"/>
              <w:left w:w="160" w:type="dxa"/>
              <w:right w:w="160" w:type="dxa"/>
            </w:tcMar>
          </w:tcPr>
          <w:p>
            <w:pPr>
              <w:spacing w:before="60" w:after="60" w:line="260" w:lineRule="exact"/>
            </w:pPr>
            <w:r>
              <w:rPr>
                <w:b/>
                <w:color w:val="FFFFFF"/>
                <w:sz w:val="20"/>
              </w:rPr>
              <w:t>Logistic Regression</w:t>
            </w:r>
          </w:p>
        </w:tc>
        <w:tc>
          <w:tcPr>
            <w:tcW w:type="dxa" w:w="1872"/>
            <w:shd w:fill="2563EB"/>
            <w:tcMar>
              <w:top w:w="140" w:type="dxa"/>
              <w:bottom w:w="140" w:type="dxa"/>
              <w:left w:w="160" w:type="dxa"/>
              <w:right w:w="160" w:type="dxa"/>
            </w:tcMar>
          </w:tcPr>
          <w:p>
            <w:pPr>
              <w:spacing w:before="60" w:after="60" w:line="260" w:lineRule="exact"/>
            </w:pPr>
            <w:r>
              <w:rPr>
                <w:b/>
                <w:color w:val="FFFFFF"/>
                <w:sz w:val="20"/>
              </w:rPr>
              <w:t>Performance Advantage</w:t>
            </w:r>
          </w:p>
        </w:tc>
      </w:tr>
      <w:tr>
        <w:tc>
          <w:tcPr>
            <w:tcW w:type="dxa" w:w="1872"/>
            <w:shd w:fill="F9FAFB"/>
            <w:tcMar>
              <w:top w:w="100" w:type="dxa"/>
              <w:bottom w:w="100" w:type="dxa"/>
              <w:left w:w="140" w:type="dxa"/>
              <w:right w:w="140" w:type="dxa"/>
            </w:tcMar>
          </w:tcPr>
          <w:p>
            <w:pPr>
              <w:spacing w:before="60" w:after="60" w:line="260" w:lineRule="exact"/>
            </w:pPr>
            <w:r>
              <w:rPr>
                <w:b/>
                <w:sz w:val="19"/>
              </w:rPr>
              <w:t>Accuracy</w:t>
            </w:r>
          </w:p>
        </w:tc>
        <w:tc>
          <w:tcPr>
            <w:tcW w:type="dxa" w:w="1872"/>
            <w:shd w:fill="F9FAFB"/>
            <w:tcMar>
              <w:top w:w="100" w:type="dxa"/>
              <w:bottom w:w="100" w:type="dxa"/>
              <w:left w:w="140" w:type="dxa"/>
              <w:right w:w="140" w:type="dxa"/>
            </w:tcMar>
          </w:tcPr>
          <w:p>
            <w:pPr>
              <w:spacing w:before="60" w:after="60" w:line="260" w:lineRule="exact"/>
            </w:pPr>
            <w:r>
              <w:rPr>
                <w:b/>
                <w:sz w:val="19"/>
              </w:rPr>
              <w:t>95.33%</w:t>
            </w:r>
          </w:p>
        </w:tc>
        <w:tc>
          <w:tcPr>
            <w:tcW w:type="dxa" w:w="1872"/>
            <w:shd w:fill="F9FAFB"/>
            <w:tcMar>
              <w:top w:w="100" w:type="dxa"/>
              <w:bottom w:w="100" w:type="dxa"/>
              <w:left w:w="140" w:type="dxa"/>
              <w:right w:w="140" w:type="dxa"/>
            </w:tcMar>
          </w:tcPr>
          <w:p>
            <w:pPr>
              <w:spacing w:before="60" w:after="60" w:line="260" w:lineRule="exact"/>
            </w:pPr>
            <w:r>
              <w:rPr>
                <w:sz w:val="19"/>
              </w:rPr>
              <w:t>86.33%</w:t>
            </w:r>
          </w:p>
        </w:tc>
        <w:tc>
          <w:tcPr>
            <w:tcW w:type="dxa" w:w="1872"/>
            <w:shd w:fill="F9FAFB"/>
            <w:tcMar>
              <w:top w:w="100" w:type="dxa"/>
              <w:bottom w:w="100" w:type="dxa"/>
              <w:left w:w="140" w:type="dxa"/>
              <w:right w:w="140" w:type="dxa"/>
            </w:tcMar>
          </w:tcPr>
          <w:p>
            <w:pPr>
              <w:spacing w:before="60" w:after="60" w:line="260" w:lineRule="exact"/>
            </w:pPr>
            <w:r>
              <w:rPr>
                <w:sz w:val="19"/>
              </w:rPr>
              <w:t>79.20%</w:t>
            </w:r>
          </w:p>
        </w:tc>
        <w:tc>
          <w:tcPr>
            <w:tcW w:type="dxa" w:w="1872"/>
            <w:shd w:fill="F9FAFB"/>
            <w:tcMar>
              <w:top w:w="100" w:type="dxa"/>
              <w:bottom w:w="100" w:type="dxa"/>
              <w:left w:w="140" w:type="dxa"/>
              <w:right w:w="140" w:type="dxa"/>
            </w:tcMar>
          </w:tcPr>
          <w:p>
            <w:pPr>
              <w:spacing w:before="60" w:after="60" w:line="260" w:lineRule="exact"/>
            </w:pPr>
            <w:r>
              <w:rPr>
                <w:b/>
                <w:sz w:val="19"/>
              </w:rPr>
              <w:t>$+9.00\%$ over RF</w:t>
            </w:r>
          </w:p>
        </w:tc>
      </w:tr>
      <w:tr>
        <w:tc>
          <w:tcPr>
            <w:tcW w:type="dxa" w:w="1872"/>
            <w:shd w:fill="FFFFFF"/>
            <w:tcMar>
              <w:top w:w="100" w:type="dxa"/>
              <w:bottom w:w="100" w:type="dxa"/>
              <w:left w:w="140" w:type="dxa"/>
              <w:right w:w="140" w:type="dxa"/>
            </w:tcMar>
          </w:tcPr>
          <w:p>
            <w:pPr>
              <w:spacing w:before="60" w:after="60" w:line="260" w:lineRule="exact"/>
            </w:pPr>
            <w:r>
              <w:rPr>
                <w:b/>
                <w:sz w:val="19"/>
              </w:rPr>
              <w:t>ROC-AUC Score</w:t>
            </w:r>
          </w:p>
        </w:tc>
        <w:tc>
          <w:tcPr>
            <w:tcW w:type="dxa" w:w="1872"/>
            <w:shd w:fill="FFFFFF"/>
            <w:tcMar>
              <w:top w:w="100" w:type="dxa"/>
              <w:bottom w:w="100" w:type="dxa"/>
              <w:left w:w="140" w:type="dxa"/>
              <w:right w:w="140" w:type="dxa"/>
            </w:tcMar>
          </w:tcPr>
          <w:p>
            <w:pPr>
              <w:spacing w:before="60" w:after="60" w:line="260" w:lineRule="exact"/>
            </w:pPr>
            <w:r>
              <w:rPr>
                <w:b/>
                <w:sz w:val="19"/>
              </w:rPr>
              <w:t>0.9910</w:t>
            </w:r>
          </w:p>
        </w:tc>
        <w:tc>
          <w:tcPr>
            <w:tcW w:type="dxa" w:w="1872"/>
            <w:shd w:fill="FFFFFF"/>
            <w:tcMar>
              <w:top w:w="100" w:type="dxa"/>
              <w:bottom w:w="100" w:type="dxa"/>
              <w:left w:w="140" w:type="dxa"/>
              <w:right w:w="140" w:type="dxa"/>
            </w:tcMar>
          </w:tcPr>
          <w:p>
            <w:pPr>
              <w:spacing w:before="60" w:after="60" w:line="260" w:lineRule="exact"/>
            </w:pPr>
            <w:r>
              <w:rPr>
                <w:sz w:val="19"/>
              </w:rPr>
              <w:t>0.9088</w:t>
            </w:r>
          </w:p>
        </w:tc>
        <w:tc>
          <w:tcPr>
            <w:tcW w:type="dxa" w:w="1872"/>
            <w:shd w:fill="FFFFFF"/>
            <w:tcMar>
              <w:top w:w="100" w:type="dxa"/>
              <w:bottom w:w="100" w:type="dxa"/>
              <w:left w:w="140" w:type="dxa"/>
              <w:right w:w="140" w:type="dxa"/>
            </w:tcMar>
          </w:tcPr>
          <w:p>
            <w:pPr>
              <w:spacing w:before="60" w:after="60" w:line="260" w:lineRule="exact"/>
            </w:pPr>
            <w:r>
              <w:rPr>
                <w:sz w:val="19"/>
              </w:rPr>
              <w:t>0.8415</w:t>
            </w:r>
          </w:p>
        </w:tc>
        <w:tc>
          <w:tcPr>
            <w:tcW w:type="dxa" w:w="1872"/>
            <w:shd w:fill="FFFFFF"/>
            <w:tcMar>
              <w:top w:w="100" w:type="dxa"/>
              <w:bottom w:w="100" w:type="dxa"/>
              <w:left w:w="140" w:type="dxa"/>
              <w:right w:w="140" w:type="dxa"/>
            </w:tcMar>
          </w:tcPr>
          <w:p>
            <w:pPr>
              <w:spacing w:before="60" w:after="60" w:line="260" w:lineRule="exact"/>
            </w:pPr>
            <w:r>
              <w:rPr>
                <w:b/>
                <w:sz w:val="19"/>
              </w:rPr>
              <w:t>$+0.0822$ improvement</w:t>
            </w:r>
          </w:p>
        </w:tc>
      </w:tr>
      <w:tr>
        <w:tc>
          <w:tcPr>
            <w:tcW w:type="dxa" w:w="1872"/>
            <w:shd w:fill="F9FAFB"/>
            <w:tcMar>
              <w:top w:w="100" w:type="dxa"/>
              <w:bottom w:w="100" w:type="dxa"/>
              <w:left w:w="140" w:type="dxa"/>
              <w:right w:w="140" w:type="dxa"/>
            </w:tcMar>
          </w:tcPr>
          <w:p>
            <w:pPr>
              <w:spacing w:before="60" w:after="60" w:line="260" w:lineRule="exact"/>
            </w:pPr>
            <w:r>
              <w:rPr>
                <w:b/>
                <w:sz w:val="19"/>
              </w:rPr>
              <w:t>Precision (Churn Class)</w:t>
            </w:r>
          </w:p>
        </w:tc>
        <w:tc>
          <w:tcPr>
            <w:tcW w:type="dxa" w:w="1872"/>
            <w:shd w:fill="F9FAFB"/>
            <w:tcMar>
              <w:top w:w="100" w:type="dxa"/>
              <w:bottom w:w="100" w:type="dxa"/>
              <w:left w:w="140" w:type="dxa"/>
              <w:right w:w="140" w:type="dxa"/>
            </w:tcMar>
          </w:tcPr>
          <w:p>
            <w:pPr>
              <w:spacing w:before="60" w:after="60" w:line="260" w:lineRule="exact"/>
            </w:pPr>
            <w:r>
              <w:rPr>
                <w:b/>
                <w:sz w:val="19"/>
              </w:rPr>
              <w:t>90.48%</w:t>
            </w:r>
          </w:p>
        </w:tc>
        <w:tc>
          <w:tcPr>
            <w:tcW w:type="dxa" w:w="1872"/>
            <w:shd w:fill="F9FAFB"/>
            <w:tcMar>
              <w:top w:w="100" w:type="dxa"/>
              <w:bottom w:w="100" w:type="dxa"/>
              <w:left w:w="140" w:type="dxa"/>
              <w:right w:w="140" w:type="dxa"/>
            </w:tcMar>
          </w:tcPr>
          <w:p>
            <w:pPr>
              <w:spacing w:before="60" w:after="60" w:line="260" w:lineRule="exact"/>
            </w:pPr>
            <w:r>
              <w:rPr>
                <w:sz w:val="19"/>
              </w:rPr>
              <w:t>84.62%</w:t>
            </w:r>
          </w:p>
        </w:tc>
        <w:tc>
          <w:tcPr>
            <w:tcW w:type="dxa" w:w="1872"/>
            <w:shd w:fill="F9FAFB"/>
            <w:tcMar>
              <w:top w:w="100" w:type="dxa"/>
              <w:bottom w:w="100" w:type="dxa"/>
              <w:left w:w="140" w:type="dxa"/>
              <w:right w:w="140" w:type="dxa"/>
            </w:tcMar>
          </w:tcPr>
          <w:p>
            <w:pPr>
              <w:spacing w:before="60" w:after="60" w:line="260" w:lineRule="exact"/>
            </w:pPr>
            <w:r>
              <w:rPr>
                <w:sz w:val="19"/>
              </w:rPr>
              <w:t>73.10%</w:t>
            </w:r>
          </w:p>
        </w:tc>
        <w:tc>
          <w:tcPr>
            <w:tcW w:type="dxa" w:w="1872"/>
            <w:shd w:fill="F9FAFB"/>
            <w:tcMar>
              <w:top w:w="100" w:type="dxa"/>
              <w:bottom w:w="100" w:type="dxa"/>
              <w:left w:w="140" w:type="dxa"/>
              <w:right w:w="140" w:type="dxa"/>
            </w:tcMar>
          </w:tcPr>
          <w:p>
            <w:pPr>
              <w:spacing w:before="60" w:after="60" w:line="260" w:lineRule="exact"/>
            </w:pPr>
            <w:r>
              <w:rPr>
                <w:b/>
                <w:sz w:val="19"/>
              </w:rPr>
              <w:t>$+5.86\%$ higher precision</w:t>
            </w:r>
          </w:p>
        </w:tc>
      </w:tr>
      <w:tr>
        <w:tc>
          <w:tcPr>
            <w:tcW w:type="dxa" w:w="1872"/>
            <w:shd w:fill="FFFFFF"/>
            <w:tcMar>
              <w:top w:w="100" w:type="dxa"/>
              <w:bottom w:w="100" w:type="dxa"/>
              <w:left w:w="140" w:type="dxa"/>
              <w:right w:w="140" w:type="dxa"/>
            </w:tcMar>
          </w:tcPr>
          <w:p>
            <w:pPr>
              <w:spacing w:before="60" w:after="60" w:line="260" w:lineRule="exact"/>
            </w:pPr>
            <w:r>
              <w:rPr>
                <w:b/>
                <w:sz w:val="19"/>
              </w:rPr>
              <w:t>Recall (Churn Class)</w:t>
            </w:r>
          </w:p>
        </w:tc>
        <w:tc>
          <w:tcPr>
            <w:tcW w:type="dxa" w:w="1872"/>
            <w:shd w:fill="FFFFFF"/>
            <w:tcMar>
              <w:top w:w="100" w:type="dxa"/>
              <w:bottom w:w="100" w:type="dxa"/>
              <w:left w:w="140" w:type="dxa"/>
              <w:right w:w="140" w:type="dxa"/>
            </w:tcMar>
          </w:tcPr>
          <w:p>
            <w:pPr>
              <w:spacing w:before="60" w:after="60" w:line="260" w:lineRule="exact"/>
            </w:pPr>
            <w:r>
              <w:rPr>
                <w:b/>
                <w:sz w:val="19"/>
              </w:rPr>
              <w:t>88.24%</w:t>
            </w:r>
          </w:p>
        </w:tc>
        <w:tc>
          <w:tcPr>
            <w:tcW w:type="dxa" w:w="1872"/>
            <w:shd w:fill="FFFFFF"/>
            <w:tcMar>
              <w:top w:w="100" w:type="dxa"/>
              <w:bottom w:w="100" w:type="dxa"/>
              <w:left w:w="140" w:type="dxa"/>
              <w:right w:w="140" w:type="dxa"/>
            </w:tcMar>
          </w:tcPr>
          <w:p>
            <w:pPr>
              <w:spacing w:before="60" w:after="60" w:line="260" w:lineRule="exact"/>
            </w:pPr>
            <w:r>
              <w:rPr>
                <w:sz w:val="19"/>
              </w:rPr>
              <w:t>82.50%</w:t>
            </w:r>
          </w:p>
        </w:tc>
        <w:tc>
          <w:tcPr>
            <w:tcW w:type="dxa" w:w="1872"/>
            <w:shd w:fill="FFFFFF"/>
            <w:tcMar>
              <w:top w:w="100" w:type="dxa"/>
              <w:bottom w:w="100" w:type="dxa"/>
              <w:left w:w="140" w:type="dxa"/>
              <w:right w:w="140" w:type="dxa"/>
            </w:tcMar>
          </w:tcPr>
          <w:p>
            <w:pPr>
              <w:spacing w:before="60" w:after="60" w:line="260" w:lineRule="exact"/>
            </w:pPr>
            <w:r>
              <w:rPr>
                <w:sz w:val="19"/>
              </w:rPr>
              <w:t>71.40%</w:t>
            </w:r>
          </w:p>
        </w:tc>
        <w:tc>
          <w:tcPr>
            <w:tcW w:type="dxa" w:w="1872"/>
            <w:shd w:fill="FFFFFF"/>
            <w:tcMar>
              <w:top w:w="100" w:type="dxa"/>
              <w:bottom w:w="100" w:type="dxa"/>
              <w:left w:w="140" w:type="dxa"/>
              <w:right w:w="140" w:type="dxa"/>
            </w:tcMar>
          </w:tcPr>
          <w:p>
            <w:pPr>
              <w:spacing w:before="60" w:after="60" w:line="260" w:lineRule="exact"/>
            </w:pPr>
            <w:r>
              <w:rPr>
                <w:b/>
                <w:sz w:val="19"/>
              </w:rPr>
              <w:t>$+5.74\%$ higher recall</w:t>
            </w:r>
          </w:p>
        </w:tc>
      </w:tr>
      <w:tr>
        <w:tc>
          <w:tcPr>
            <w:tcW w:type="dxa" w:w="1872"/>
            <w:shd w:fill="F9FAFB"/>
            <w:tcMar>
              <w:top w:w="100" w:type="dxa"/>
              <w:bottom w:w="100" w:type="dxa"/>
              <w:left w:w="140" w:type="dxa"/>
              <w:right w:w="140" w:type="dxa"/>
            </w:tcMar>
          </w:tcPr>
          <w:p>
            <w:pPr>
              <w:spacing w:before="60" w:after="60" w:line="260" w:lineRule="exact"/>
            </w:pPr>
            <w:r>
              <w:rPr>
                <w:b/>
                <w:sz w:val="19"/>
              </w:rPr>
              <w:t>F1-Score</w:t>
            </w:r>
          </w:p>
        </w:tc>
        <w:tc>
          <w:tcPr>
            <w:tcW w:type="dxa" w:w="1872"/>
            <w:shd w:fill="F9FAFB"/>
            <w:tcMar>
              <w:top w:w="100" w:type="dxa"/>
              <w:bottom w:w="100" w:type="dxa"/>
              <w:left w:w="140" w:type="dxa"/>
              <w:right w:w="140" w:type="dxa"/>
            </w:tcMar>
          </w:tcPr>
          <w:p>
            <w:pPr>
              <w:spacing w:before="60" w:after="60" w:line="260" w:lineRule="exact"/>
            </w:pPr>
            <w:r>
              <w:rPr>
                <w:b/>
                <w:sz w:val="19"/>
              </w:rPr>
              <w:t>89.34%</w:t>
            </w:r>
          </w:p>
        </w:tc>
        <w:tc>
          <w:tcPr>
            <w:tcW w:type="dxa" w:w="1872"/>
            <w:shd w:fill="F9FAFB"/>
            <w:tcMar>
              <w:top w:w="100" w:type="dxa"/>
              <w:bottom w:w="100" w:type="dxa"/>
              <w:left w:w="140" w:type="dxa"/>
              <w:right w:w="140" w:type="dxa"/>
            </w:tcMar>
          </w:tcPr>
          <w:p>
            <w:pPr>
              <w:spacing w:before="60" w:after="60" w:line="260" w:lineRule="exact"/>
            </w:pPr>
            <w:r>
              <w:rPr>
                <w:sz w:val="19"/>
              </w:rPr>
              <w:t>83.54%</w:t>
            </w:r>
          </w:p>
        </w:tc>
        <w:tc>
          <w:tcPr>
            <w:tcW w:type="dxa" w:w="1872"/>
            <w:shd w:fill="F9FAFB"/>
            <w:tcMar>
              <w:top w:w="100" w:type="dxa"/>
              <w:bottom w:w="100" w:type="dxa"/>
              <w:left w:w="140" w:type="dxa"/>
              <w:right w:w="140" w:type="dxa"/>
            </w:tcMar>
          </w:tcPr>
          <w:p>
            <w:pPr>
              <w:spacing w:before="60" w:after="60" w:line="260" w:lineRule="exact"/>
            </w:pPr>
            <w:r>
              <w:rPr>
                <w:sz w:val="19"/>
              </w:rPr>
              <w:t>72.24%</w:t>
            </w:r>
          </w:p>
        </w:tc>
        <w:tc>
          <w:tcPr>
            <w:tcW w:type="dxa" w:w="1872"/>
            <w:shd w:fill="F9FAFB"/>
            <w:tcMar>
              <w:top w:w="100" w:type="dxa"/>
              <w:bottom w:w="100" w:type="dxa"/>
              <w:left w:w="140" w:type="dxa"/>
              <w:right w:w="140" w:type="dxa"/>
            </w:tcMar>
          </w:tcPr>
          <w:p>
            <w:pPr>
              <w:spacing w:before="60" w:after="60" w:line="260" w:lineRule="exact"/>
            </w:pPr>
            <w:r>
              <w:rPr>
                <w:b/>
                <w:sz w:val="19"/>
              </w:rPr>
              <w:t>$+0.0580$ improvement</w:t>
            </w:r>
          </w:p>
        </w:tc>
      </w:tr>
      <w:tr>
        <w:tc>
          <w:tcPr>
            <w:tcW w:type="dxa" w:w="1872"/>
            <w:shd w:fill="FFFFFF"/>
            <w:tcMar>
              <w:top w:w="100" w:type="dxa"/>
              <w:bottom w:w="100" w:type="dxa"/>
              <w:left w:w="140" w:type="dxa"/>
              <w:right w:w="140" w:type="dxa"/>
            </w:tcMar>
          </w:tcPr>
          <w:p>
            <w:pPr>
              <w:spacing w:before="60" w:after="60" w:line="260" w:lineRule="exact"/>
            </w:pPr>
            <w:r>
              <w:rPr>
                <w:b/>
                <w:sz w:val="19"/>
              </w:rPr>
              <w:t>Model Training Time</w:t>
            </w:r>
          </w:p>
        </w:tc>
        <w:tc>
          <w:tcPr>
            <w:tcW w:type="dxa" w:w="1872"/>
            <w:shd w:fill="FFFFFF"/>
            <w:tcMar>
              <w:top w:w="100" w:type="dxa"/>
              <w:bottom w:w="100" w:type="dxa"/>
              <w:left w:w="140" w:type="dxa"/>
              <w:right w:w="140" w:type="dxa"/>
            </w:tcMar>
          </w:tcPr>
          <w:p>
            <w:pPr>
              <w:spacing w:before="60" w:after="60" w:line="260" w:lineRule="exact"/>
            </w:pPr>
            <w:r>
              <w:rPr>
                <w:b/>
                <w:sz w:val="19"/>
              </w:rPr>
              <w:t>0.038 seconds</w:t>
            </w:r>
          </w:p>
        </w:tc>
        <w:tc>
          <w:tcPr>
            <w:tcW w:type="dxa" w:w="1872"/>
            <w:shd w:fill="FFFFFF"/>
            <w:tcMar>
              <w:top w:w="100" w:type="dxa"/>
              <w:bottom w:w="100" w:type="dxa"/>
              <w:left w:w="140" w:type="dxa"/>
              <w:right w:w="140" w:type="dxa"/>
            </w:tcMar>
          </w:tcPr>
          <w:p>
            <w:pPr>
              <w:spacing w:before="60" w:after="60" w:line="260" w:lineRule="exact"/>
            </w:pPr>
            <w:r>
              <w:rPr>
                <w:sz w:val="19"/>
              </w:rPr>
              <w:t>0.318 seconds</w:t>
            </w:r>
          </w:p>
        </w:tc>
        <w:tc>
          <w:tcPr>
            <w:tcW w:type="dxa" w:w="1872"/>
            <w:shd w:fill="FFFFFF"/>
            <w:tcMar>
              <w:top w:w="100" w:type="dxa"/>
              <w:bottom w:w="100" w:type="dxa"/>
              <w:left w:w="140" w:type="dxa"/>
              <w:right w:w="140" w:type="dxa"/>
            </w:tcMar>
          </w:tcPr>
          <w:p>
            <w:pPr>
              <w:spacing w:before="60" w:after="60" w:line="260" w:lineRule="exact"/>
            </w:pPr>
            <w:r>
              <w:rPr>
                <w:sz w:val="19"/>
              </w:rPr>
              <w:t>0.085 seconds</w:t>
            </w:r>
          </w:p>
        </w:tc>
        <w:tc>
          <w:tcPr>
            <w:tcW w:type="dxa" w:w="1872"/>
            <w:shd w:fill="FFFFFF"/>
            <w:tcMar>
              <w:top w:w="100" w:type="dxa"/>
              <w:bottom w:w="100" w:type="dxa"/>
              <w:left w:w="140" w:type="dxa"/>
              <w:right w:w="140" w:type="dxa"/>
            </w:tcMar>
          </w:tcPr>
          <w:p>
            <w:pPr>
              <w:spacing w:before="60" w:after="60" w:line="260" w:lineRule="exact"/>
            </w:pPr>
            <w:r>
              <w:rPr>
                <w:b/>
                <w:sz w:val="19"/>
              </w:rPr>
              <w:t>$8.37\times$ Faster</w:t>
            </w:r>
          </w:p>
        </w:tc>
      </w:tr>
      <w:tr>
        <w:tc>
          <w:tcPr>
            <w:tcW w:type="dxa" w:w="1872"/>
            <w:shd w:fill="F9FAFB"/>
            <w:tcMar>
              <w:top w:w="100" w:type="dxa"/>
              <w:bottom w:w="100" w:type="dxa"/>
              <w:left w:w="140" w:type="dxa"/>
              <w:right w:w="140" w:type="dxa"/>
            </w:tcMar>
          </w:tcPr>
          <w:p>
            <w:pPr>
              <w:spacing w:before="60" w:after="60" w:line="260" w:lineRule="exact"/>
            </w:pPr>
            <w:r>
              <w:rPr>
                <w:b/>
                <w:sz w:val="19"/>
              </w:rPr>
              <w:t>Per-Inference Latency</w:t>
            </w:r>
          </w:p>
        </w:tc>
        <w:tc>
          <w:tcPr>
            <w:tcW w:type="dxa" w:w="1872"/>
            <w:shd w:fill="F9FAFB"/>
            <w:tcMar>
              <w:top w:w="100" w:type="dxa"/>
              <w:bottom w:w="100" w:type="dxa"/>
              <w:left w:w="140" w:type="dxa"/>
              <w:right w:w="140" w:type="dxa"/>
            </w:tcMar>
          </w:tcPr>
          <w:p>
            <w:pPr>
              <w:spacing w:before="60" w:after="60" w:line="260" w:lineRule="exact"/>
            </w:pPr>
            <w:r>
              <w:rPr>
                <w:b/>
                <w:sz w:val="19"/>
              </w:rPr>
              <w:t>0.29 ms</w:t>
            </w:r>
          </w:p>
        </w:tc>
        <w:tc>
          <w:tcPr>
            <w:tcW w:type="dxa" w:w="1872"/>
            <w:shd w:fill="F9FAFB"/>
            <w:tcMar>
              <w:top w:w="100" w:type="dxa"/>
              <w:bottom w:w="100" w:type="dxa"/>
              <w:left w:w="140" w:type="dxa"/>
              <w:right w:w="140" w:type="dxa"/>
            </w:tcMar>
          </w:tcPr>
          <w:p>
            <w:pPr>
              <w:spacing w:before="60" w:after="60" w:line="260" w:lineRule="exact"/>
            </w:pPr>
            <w:r>
              <w:rPr>
                <w:sz w:val="19"/>
              </w:rPr>
              <w:t>1.84 ms</w:t>
            </w:r>
          </w:p>
        </w:tc>
        <w:tc>
          <w:tcPr>
            <w:tcW w:type="dxa" w:w="1872"/>
            <w:shd w:fill="F9FAFB"/>
            <w:tcMar>
              <w:top w:w="100" w:type="dxa"/>
              <w:bottom w:w="100" w:type="dxa"/>
              <w:left w:w="140" w:type="dxa"/>
              <w:right w:w="140" w:type="dxa"/>
            </w:tcMar>
          </w:tcPr>
          <w:p>
            <w:pPr>
              <w:spacing w:before="60" w:after="60" w:line="260" w:lineRule="exact"/>
            </w:pPr>
            <w:r>
              <w:rPr>
                <w:sz w:val="19"/>
              </w:rPr>
              <w:t>0.12 ms</w:t>
            </w:r>
          </w:p>
        </w:tc>
        <w:tc>
          <w:tcPr>
            <w:tcW w:type="dxa" w:w="1872"/>
            <w:shd w:fill="F9FAFB"/>
            <w:tcMar>
              <w:top w:w="100" w:type="dxa"/>
              <w:bottom w:w="100" w:type="dxa"/>
              <w:left w:w="140" w:type="dxa"/>
              <w:right w:w="140" w:type="dxa"/>
            </w:tcMar>
          </w:tcPr>
          <w:p>
            <w:pPr>
              <w:spacing w:before="60" w:after="60" w:line="260" w:lineRule="exact"/>
            </w:pPr>
            <w:r>
              <w:rPr>
                <w:b/>
                <w:sz w:val="19"/>
              </w:rPr>
              <w:t>Sub-millisecond inference</w:t>
            </w:r>
          </w:p>
        </w:tc>
      </w:tr>
    </w:tbl>
    <w:p>
      <w:pPr>
        <w:spacing w:after="120"/>
      </w:pPr>
    </w:p>
    <w:p>
      <w:pPr>
        <w:keepNext/>
        <w:spacing w:before="200" w:after="80"/>
      </w:pPr>
      <w:r>
        <w:rPr>
          <w:b/>
          <w:color w:val="374151"/>
          <w:sz w:val="26"/>
        </w:rPr>
        <w:t>7.2 TreeSHAP Feature Attribution Ranking</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2563EB"/>
            <w:tcMar>
              <w:top w:w="140" w:type="dxa"/>
              <w:bottom w:w="140" w:type="dxa"/>
              <w:left w:w="160" w:type="dxa"/>
              <w:right w:w="160" w:type="dxa"/>
            </w:tcMar>
          </w:tcPr>
          <w:p>
            <w:pPr>
              <w:spacing w:before="60" w:after="60" w:line="260" w:lineRule="exact"/>
            </w:pPr>
            <w:r>
              <w:rPr>
                <w:b/>
                <w:color w:val="FFFFFF"/>
                <w:sz w:val="20"/>
              </w:rPr>
              <w:t>Rank</w:t>
            </w:r>
          </w:p>
        </w:tc>
        <w:tc>
          <w:tcPr>
            <w:tcW w:type="dxa" w:w="1560"/>
            <w:shd w:fill="2563EB"/>
            <w:tcMar>
              <w:top w:w="140" w:type="dxa"/>
              <w:bottom w:w="140" w:type="dxa"/>
              <w:left w:w="160" w:type="dxa"/>
              <w:right w:w="160" w:type="dxa"/>
            </w:tcMar>
          </w:tcPr>
          <w:p>
            <w:pPr>
              <w:spacing w:before="60" w:after="60" w:line="260" w:lineRule="exact"/>
            </w:pPr>
            <w:r>
              <w:rPr>
                <w:b/>
                <w:color w:val="FFFFFF"/>
                <w:sz w:val="20"/>
              </w:rPr>
              <w:t>Behavioral Feature</w:t>
            </w:r>
          </w:p>
        </w:tc>
        <w:tc>
          <w:tcPr>
            <w:tcW w:type="dxa" w:w="1560"/>
            <w:shd w:fill="2563EB"/>
            <w:tcMar>
              <w:top w:w="140" w:type="dxa"/>
              <w:bottom w:w="140" w:type="dxa"/>
              <w:left w:w="160" w:type="dxa"/>
              <w:right w:w="160" w:type="dxa"/>
            </w:tcMar>
          </w:tcPr>
          <w:p>
            <w:pPr>
              <w:spacing w:before="60" w:after="60" w:line="260" w:lineRule="exact"/>
            </w:pPr>
            <w:r>
              <w:rPr>
                <w:b/>
                <w:color w:val="FFFFFF"/>
                <w:sz w:val="20"/>
              </w:rPr>
              <w:t>Mean \</w:t>
            </w:r>
          </w:p>
        </w:tc>
        <w:tc>
          <w:tcPr>
            <w:tcW w:type="dxa" w:w="1560"/>
            <w:shd w:fill="2563EB"/>
            <w:tcMar>
              <w:top w:w="140" w:type="dxa"/>
              <w:bottom w:w="140" w:type="dxa"/>
              <w:left w:w="160" w:type="dxa"/>
              <w:right w:w="160" w:type="dxa"/>
            </w:tcMar>
          </w:tcPr>
          <w:p>
            <w:pPr>
              <w:spacing w:before="60" w:after="60" w:line="260" w:lineRule="exact"/>
            </w:pPr>
            <w:r>
              <w:rPr>
                <w:b/>
                <w:color w:val="FFFFFF"/>
                <w:sz w:val="20"/>
              </w:rPr>
              <w:t>SHAP Value\</w:t>
            </w:r>
          </w:p>
        </w:tc>
        <w:tc>
          <w:tcPr>
            <w:tcW w:type="dxa" w:w="1560"/>
            <w:shd w:fill="2563EB"/>
            <w:tcMar>
              <w:top w:w="140" w:type="dxa"/>
              <w:bottom w:w="140" w:type="dxa"/>
              <w:left w:w="160" w:type="dxa"/>
              <w:right w:w="160" w:type="dxa"/>
            </w:tcMar>
          </w:tcPr>
          <w:p>
            <w:pPr>
              <w:spacing w:before="60" w:after="60" w:line="260" w:lineRule="exact"/>
            </w:pPr>
            <w:r>
              <w:rPr>
                <w:b/>
                <w:color w:val="FFFFFF"/>
                <w:sz w:val="20"/>
              </w:rPr>
            </w:r>
          </w:p>
        </w:tc>
        <w:tc>
          <w:tcPr>
            <w:tcW w:type="dxa" w:w="1560"/>
            <w:shd w:fill="2563EB"/>
            <w:tcMar>
              <w:top w:w="140" w:type="dxa"/>
              <w:bottom w:w="140" w:type="dxa"/>
              <w:left w:w="160" w:type="dxa"/>
              <w:right w:w="160" w:type="dxa"/>
            </w:tcMar>
          </w:tcPr>
          <w:p>
            <w:pPr>
              <w:spacing w:before="60" w:after="60" w:line="260" w:lineRule="exact"/>
            </w:pPr>
            <w:r>
              <w:rPr>
                <w:b/>
                <w:color w:val="FFFFFF"/>
                <w:sz w:val="20"/>
              </w:rPr>
              <w:t>Primary Operational Interpretation</w:t>
            </w:r>
          </w:p>
        </w:tc>
      </w:tr>
      <w:tr>
        <w:tc>
          <w:tcPr>
            <w:tcW w:type="dxa" w:w="1560"/>
            <w:shd w:fill="F9FAFB"/>
            <w:tcMar>
              <w:top w:w="100" w:type="dxa"/>
              <w:bottom w:w="100" w:type="dxa"/>
              <w:left w:w="140" w:type="dxa"/>
              <w:right w:w="140" w:type="dxa"/>
            </w:tcMar>
          </w:tcPr>
          <w:p>
            <w:pPr>
              <w:spacing w:before="60" w:after="60" w:line="260" w:lineRule="exact"/>
            </w:pPr>
            <w:r>
              <w:rPr>
                <w:sz w:val="19"/>
              </w:rPr>
              <w:t>1</w:t>
            </w:r>
          </w:p>
        </w:tc>
        <w:tc>
          <w:tcPr>
            <w:tcW w:type="dxa" w:w="1560"/>
            <w:shd w:fill="F9FAFB"/>
            <w:tcMar>
              <w:top w:w="100" w:type="dxa"/>
              <w:bottom w:w="100" w:type="dxa"/>
              <w:left w:w="140" w:type="dxa"/>
              <w:right w:w="140" w:type="dxa"/>
            </w:tcMar>
          </w:tcPr>
          <w:p>
            <w:pPr>
              <w:spacing w:before="60" w:after="60" w:line="260" w:lineRule="exact"/>
            </w:pPr>
            <w:r>
              <w:rPr>
                <w:rFonts w:ascii="Consolas" w:hAnsi="Consolas"/>
                <w:color w:val="C7254E"/>
                <w:sz w:val="19"/>
              </w:rPr>
              <w:t>payment_delay_days</w:t>
            </w:r>
          </w:p>
        </w:tc>
        <w:tc>
          <w:tcPr>
            <w:tcW w:type="dxa" w:w="1560"/>
            <w:shd w:fill="F9FAFB"/>
            <w:tcMar>
              <w:top w:w="100" w:type="dxa"/>
              <w:bottom w:w="100" w:type="dxa"/>
              <w:left w:w="140" w:type="dxa"/>
              <w:right w:w="140" w:type="dxa"/>
            </w:tcMar>
          </w:tcPr>
          <w:p>
            <w:pPr>
              <w:spacing w:before="60" w:after="60" w:line="260" w:lineRule="exact"/>
            </w:pPr>
            <w:r>
              <w:rPr>
                <w:sz w:val="19"/>
              </w:rPr>
              <w:t>$+0.428$</w:t>
            </w:r>
          </w:p>
        </w:tc>
        <w:tc>
          <w:tcPr>
            <w:tcW w:type="dxa" w:w="1560"/>
            <w:shd w:fill="F9FAFB"/>
            <w:tcMar>
              <w:top w:w="100" w:type="dxa"/>
              <w:bottom w:w="100" w:type="dxa"/>
              <w:left w:w="140" w:type="dxa"/>
              <w:right w:w="140" w:type="dxa"/>
            </w:tcMar>
          </w:tcPr>
          <w:p>
            <w:pPr>
              <w:spacing w:before="60" w:after="60" w:line="260" w:lineRule="exact"/>
            </w:pPr>
            <w:r>
              <w:rPr>
                <w:sz w:val="19"/>
              </w:rPr>
              <w:t>Consistent payment delays strongly indicate impending customer default or cancellation.</w:t>
            </w:r>
          </w:p>
        </w:tc>
        <w:tc>
          <w:tcPr>
            <w:tcW w:type="dxa" w:w="1560"/>
            <w:shd w:fill="F9FAFB"/>
            <w:tcMar>
              <w:top w:w="100" w:type="dxa"/>
              <w:bottom w:w="100" w:type="dxa"/>
              <w:left w:w="140" w:type="dxa"/>
              <w:right w:w="140" w:type="dxa"/>
            </w:tcMar>
          </w:tcPr>
          <w:p>
            <w:pPr>
              <w:spacing w:before="60" w:after="60" w:line="260" w:lineRule="exact"/>
            </w:pPr>
          </w:p>
        </w:tc>
        <w:tc>
          <w:tcPr>
            <w:tcW w:type="dxa" w:w="1560"/>
            <w:shd w:fill="F9FAFB"/>
            <w:tcMar>
              <w:top w:w="100" w:type="dxa"/>
              <w:bottom w:w="100" w:type="dxa"/>
              <w:left w:w="140" w:type="dxa"/>
              <w:right w:w="140" w:type="dxa"/>
            </w:tcMar>
          </w:tcPr>
          <w:p>
            <w:pPr>
              <w:spacing w:before="60" w:after="60" w:line="260" w:lineRule="exact"/>
            </w:pPr>
          </w:p>
        </w:tc>
      </w:tr>
      <w:tr>
        <w:tc>
          <w:tcPr>
            <w:tcW w:type="dxa" w:w="1560"/>
            <w:shd w:fill="FFFFFF"/>
            <w:tcMar>
              <w:top w:w="100" w:type="dxa"/>
              <w:bottom w:w="100" w:type="dxa"/>
              <w:left w:w="140" w:type="dxa"/>
              <w:right w:w="140" w:type="dxa"/>
            </w:tcMar>
          </w:tcPr>
          <w:p>
            <w:pPr>
              <w:spacing w:before="60" w:after="60" w:line="260" w:lineRule="exact"/>
            </w:pPr>
            <w:r>
              <w:rPr>
                <w:sz w:val="19"/>
              </w:rPr>
              <w:t>2</w:t>
            </w:r>
          </w:p>
        </w:tc>
        <w:tc>
          <w:tcPr>
            <w:tcW w:type="dxa" w:w="1560"/>
            <w:shd w:fill="FFFFFF"/>
            <w:tcMar>
              <w:top w:w="100" w:type="dxa"/>
              <w:bottom w:w="100" w:type="dxa"/>
              <w:left w:w="140" w:type="dxa"/>
              <w:right w:w="140" w:type="dxa"/>
            </w:tcMar>
          </w:tcPr>
          <w:p>
            <w:pPr>
              <w:spacing w:before="60" w:after="60" w:line="260" w:lineRule="exact"/>
            </w:pPr>
            <w:r>
              <w:rPr>
                <w:rFonts w:ascii="Consolas" w:hAnsi="Consolas"/>
                <w:color w:val="C7254E"/>
                <w:sz w:val="19"/>
              </w:rPr>
              <w:t>tenure_months</w:t>
            </w:r>
          </w:p>
        </w:tc>
        <w:tc>
          <w:tcPr>
            <w:tcW w:type="dxa" w:w="1560"/>
            <w:shd w:fill="FFFFFF"/>
            <w:tcMar>
              <w:top w:w="100" w:type="dxa"/>
              <w:bottom w:w="100" w:type="dxa"/>
              <w:left w:w="140" w:type="dxa"/>
              <w:right w:w="140" w:type="dxa"/>
            </w:tcMar>
          </w:tcPr>
          <w:p>
            <w:pPr>
              <w:spacing w:before="60" w:after="60" w:line="260" w:lineRule="exact"/>
            </w:pPr>
            <w:r>
              <w:rPr>
                <w:sz w:val="19"/>
              </w:rPr>
              <w:t>$-0.312$</w:t>
            </w:r>
          </w:p>
        </w:tc>
        <w:tc>
          <w:tcPr>
            <w:tcW w:type="dxa" w:w="1560"/>
            <w:shd w:fill="FFFFFF"/>
            <w:tcMar>
              <w:top w:w="100" w:type="dxa"/>
              <w:bottom w:w="100" w:type="dxa"/>
              <w:left w:w="140" w:type="dxa"/>
              <w:right w:w="140" w:type="dxa"/>
            </w:tcMar>
          </w:tcPr>
          <w:p>
            <w:pPr>
              <w:spacing w:before="60" w:after="60" w:line="260" w:lineRule="exact"/>
            </w:pPr>
            <w:r>
              <w:rPr>
                <w:sz w:val="19"/>
              </w:rPr>
              <w:t>Longer committed tenures (12 months) provide strong negative churn pressure (higher loyalty).</w:t>
            </w:r>
          </w:p>
        </w:tc>
        <w:tc>
          <w:tcPr>
            <w:tcW w:type="dxa" w:w="1560"/>
            <w:shd w:fill="FFFFFF"/>
            <w:tcMar>
              <w:top w:w="100" w:type="dxa"/>
              <w:bottom w:w="100" w:type="dxa"/>
              <w:left w:w="140" w:type="dxa"/>
              <w:right w:w="140" w:type="dxa"/>
            </w:tcMar>
          </w:tcPr>
          <w:p>
            <w:pPr>
              <w:spacing w:before="60" w:after="60" w:line="260" w:lineRule="exact"/>
            </w:pPr>
          </w:p>
        </w:tc>
        <w:tc>
          <w:tcPr>
            <w:tcW w:type="dxa" w:w="1560"/>
            <w:shd w:fill="FFFFFF"/>
            <w:tcMar>
              <w:top w:w="100" w:type="dxa"/>
              <w:bottom w:w="100" w:type="dxa"/>
              <w:left w:w="140" w:type="dxa"/>
              <w:right w:w="140" w:type="dxa"/>
            </w:tcMar>
          </w:tcPr>
          <w:p>
            <w:pPr>
              <w:spacing w:before="60" w:after="60" w:line="260" w:lineRule="exact"/>
            </w:pPr>
          </w:p>
        </w:tc>
      </w:tr>
      <w:tr>
        <w:tc>
          <w:tcPr>
            <w:tcW w:type="dxa" w:w="1560"/>
            <w:shd w:fill="F9FAFB"/>
            <w:tcMar>
              <w:top w:w="100" w:type="dxa"/>
              <w:bottom w:w="100" w:type="dxa"/>
              <w:left w:w="140" w:type="dxa"/>
              <w:right w:w="140" w:type="dxa"/>
            </w:tcMar>
          </w:tcPr>
          <w:p>
            <w:pPr>
              <w:spacing w:before="60" w:after="60" w:line="260" w:lineRule="exact"/>
            </w:pPr>
            <w:r>
              <w:rPr>
                <w:sz w:val="19"/>
              </w:rPr>
              <w:t>3</w:t>
            </w:r>
          </w:p>
        </w:tc>
        <w:tc>
          <w:tcPr>
            <w:tcW w:type="dxa" w:w="1560"/>
            <w:shd w:fill="F9FAFB"/>
            <w:tcMar>
              <w:top w:w="100" w:type="dxa"/>
              <w:bottom w:w="100" w:type="dxa"/>
              <w:left w:w="140" w:type="dxa"/>
              <w:right w:w="140" w:type="dxa"/>
            </w:tcMar>
          </w:tcPr>
          <w:p>
            <w:pPr>
              <w:spacing w:before="60" w:after="60" w:line="260" w:lineRule="exact"/>
            </w:pPr>
            <w:r>
              <w:rPr>
                <w:rFonts w:ascii="Consolas" w:hAnsi="Consolas"/>
                <w:color w:val="C7254E"/>
                <w:sz w:val="19"/>
              </w:rPr>
              <w:t>monthly_browsing_frequency</w:t>
            </w:r>
          </w:p>
        </w:tc>
        <w:tc>
          <w:tcPr>
            <w:tcW w:type="dxa" w:w="1560"/>
            <w:shd w:fill="F9FAFB"/>
            <w:tcMar>
              <w:top w:w="100" w:type="dxa"/>
              <w:bottom w:w="100" w:type="dxa"/>
              <w:left w:w="140" w:type="dxa"/>
              <w:right w:w="140" w:type="dxa"/>
            </w:tcMar>
          </w:tcPr>
          <w:p>
            <w:pPr>
              <w:spacing w:before="60" w:after="60" w:line="260" w:lineRule="exact"/>
            </w:pPr>
            <w:r>
              <w:rPr>
                <w:sz w:val="19"/>
              </w:rPr>
              <w:t>$-0.265$</w:t>
            </w:r>
          </w:p>
        </w:tc>
        <w:tc>
          <w:tcPr>
            <w:tcW w:type="dxa" w:w="1560"/>
            <w:shd w:fill="F9FAFB"/>
            <w:tcMar>
              <w:top w:w="100" w:type="dxa"/>
              <w:bottom w:w="100" w:type="dxa"/>
              <w:left w:w="140" w:type="dxa"/>
              <w:right w:w="140" w:type="dxa"/>
            </w:tcMar>
          </w:tcPr>
          <w:p>
            <w:pPr>
              <w:spacing w:before="60" w:after="60" w:line="260" w:lineRule="exact"/>
            </w:pPr>
            <w:r>
              <w:rPr>
                <w:sz w:val="19"/>
              </w:rPr>
              <w:t>Active engagement with new catalog items correlates with high retention.</w:t>
            </w:r>
          </w:p>
        </w:tc>
        <w:tc>
          <w:tcPr>
            <w:tcW w:type="dxa" w:w="1560"/>
            <w:shd w:fill="F9FAFB"/>
            <w:tcMar>
              <w:top w:w="100" w:type="dxa"/>
              <w:bottom w:w="100" w:type="dxa"/>
              <w:left w:w="140" w:type="dxa"/>
              <w:right w:w="140" w:type="dxa"/>
            </w:tcMar>
          </w:tcPr>
          <w:p>
            <w:pPr>
              <w:spacing w:before="60" w:after="60" w:line="260" w:lineRule="exact"/>
            </w:pPr>
          </w:p>
        </w:tc>
        <w:tc>
          <w:tcPr>
            <w:tcW w:type="dxa" w:w="1560"/>
            <w:shd w:fill="F9FAFB"/>
            <w:tcMar>
              <w:top w:w="100" w:type="dxa"/>
              <w:bottom w:w="100" w:type="dxa"/>
              <w:left w:w="140" w:type="dxa"/>
              <w:right w:w="140" w:type="dxa"/>
            </w:tcMar>
          </w:tcPr>
          <w:p>
            <w:pPr>
              <w:spacing w:before="60" w:after="60" w:line="260" w:lineRule="exact"/>
            </w:pPr>
          </w:p>
        </w:tc>
      </w:tr>
      <w:tr>
        <w:tc>
          <w:tcPr>
            <w:tcW w:type="dxa" w:w="1560"/>
            <w:shd w:fill="FFFFFF"/>
            <w:tcMar>
              <w:top w:w="100" w:type="dxa"/>
              <w:bottom w:w="100" w:type="dxa"/>
              <w:left w:w="140" w:type="dxa"/>
              <w:right w:w="140" w:type="dxa"/>
            </w:tcMar>
          </w:tcPr>
          <w:p>
            <w:pPr>
              <w:spacing w:before="60" w:after="60" w:line="260" w:lineRule="exact"/>
            </w:pPr>
            <w:r>
              <w:rPr>
                <w:sz w:val="19"/>
              </w:rPr>
              <w:t>4</w:t>
            </w:r>
          </w:p>
        </w:tc>
        <w:tc>
          <w:tcPr>
            <w:tcW w:type="dxa" w:w="1560"/>
            <w:shd w:fill="FFFFFF"/>
            <w:tcMar>
              <w:top w:w="100" w:type="dxa"/>
              <w:bottom w:w="100" w:type="dxa"/>
              <w:left w:w="140" w:type="dxa"/>
              <w:right w:w="140" w:type="dxa"/>
            </w:tcMar>
          </w:tcPr>
          <w:p>
            <w:pPr>
              <w:spacing w:before="60" w:after="60" w:line="260" w:lineRule="exact"/>
            </w:pPr>
            <w:r>
              <w:rPr>
                <w:rFonts w:ascii="Consolas" w:hAnsi="Consolas"/>
                <w:color w:val="C7254E"/>
                <w:sz w:val="19"/>
              </w:rPr>
              <w:t>support_tickets_count</w:t>
            </w:r>
          </w:p>
        </w:tc>
        <w:tc>
          <w:tcPr>
            <w:tcW w:type="dxa" w:w="1560"/>
            <w:shd w:fill="FFFFFF"/>
            <w:tcMar>
              <w:top w:w="100" w:type="dxa"/>
              <w:bottom w:w="100" w:type="dxa"/>
              <w:left w:w="140" w:type="dxa"/>
              <w:right w:w="140" w:type="dxa"/>
            </w:tcMar>
          </w:tcPr>
          <w:p>
            <w:pPr>
              <w:spacing w:before="60" w:after="60" w:line="260" w:lineRule="exact"/>
            </w:pPr>
            <w:r>
              <w:rPr>
                <w:sz w:val="19"/>
              </w:rPr>
              <w:t>$+0.210$</w:t>
            </w:r>
          </w:p>
        </w:tc>
        <w:tc>
          <w:tcPr>
            <w:tcW w:type="dxa" w:w="1560"/>
            <w:shd w:fill="FFFFFF"/>
            <w:tcMar>
              <w:top w:w="100" w:type="dxa"/>
              <w:bottom w:w="100" w:type="dxa"/>
              <w:left w:w="140" w:type="dxa"/>
              <w:right w:w="140" w:type="dxa"/>
            </w:tcMar>
          </w:tcPr>
          <w:p>
            <w:pPr>
              <w:spacing w:before="60" w:after="60" w:line="260" w:lineRule="exact"/>
            </w:pPr>
            <w:r>
              <w:rPr>
                <w:sz w:val="19"/>
              </w:rPr>
              <w:t>Repeated unresolved service or maintenance tickets significantly increase churn risk.</w:t>
            </w:r>
          </w:p>
        </w:tc>
        <w:tc>
          <w:tcPr>
            <w:tcW w:type="dxa" w:w="1560"/>
            <w:shd w:fill="FFFFFF"/>
            <w:tcMar>
              <w:top w:w="100" w:type="dxa"/>
              <w:bottom w:w="100" w:type="dxa"/>
              <w:left w:w="140" w:type="dxa"/>
              <w:right w:w="140" w:type="dxa"/>
            </w:tcMar>
          </w:tcPr>
          <w:p>
            <w:pPr>
              <w:spacing w:before="60" w:after="60" w:line="260" w:lineRule="exact"/>
            </w:pPr>
          </w:p>
        </w:tc>
        <w:tc>
          <w:tcPr>
            <w:tcW w:type="dxa" w:w="1560"/>
            <w:shd w:fill="FFFFFF"/>
            <w:tcMar>
              <w:top w:w="100" w:type="dxa"/>
              <w:bottom w:w="100" w:type="dxa"/>
              <w:left w:w="140" w:type="dxa"/>
              <w:right w:w="140" w:type="dxa"/>
            </w:tcMar>
          </w:tcPr>
          <w:p>
            <w:pPr>
              <w:spacing w:before="60" w:after="60" w:line="260" w:lineRule="exact"/>
            </w:pPr>
          </w:p>
        </w:tc>
      </w:tr>
      <w:tr>
        <w:tc>
          <w:tcPr>
            <w:tcW w:type="dxa" w:w="1560"/>
            <w:shd w:fill="F9FAFB"/>
            <w:tcMar>
              <w:top w:w="100" w:type="dxa"/>
              <w:bottom w:w="100" w:type="dxa"/>
              <w:left w:w="140" w:type="dxa"/>
              <w:right w:w="140" w:type="dxa"/>
            </w:tcMar>
          </w:tcPr>
          <w:p>
            <w:pPr>
              <w:spacing w:before="60" w:after="60" w:line="260" w:lineRule="exact"/>
            </w:pPr>
            <w:r>
              <w:rPr>
                <w:sz w:val="19"/>
              </w:rPr>
              <w:t>5</w:t>
            </w:r>
          </w:p>
        </w:tc>
        <w:tc>
          <w:tcPr>
            <w:tcW w:type="dxa" w:w="1560"/>
            <w:shd w:fill="F9FAFB"/>
            <w:tcMar>
              <w:top w:w="100" w:type="dxa"/>
              <w:bottom w:w="100" w:type="dxa"/>
              <w:left w:w="140" w:type="dxa"/>
              <w:right w:w="140" w:type="dxa"/>
            </w:tcMar>
          </w:tcPr>
          <w:p>
            <w:pPr>
              <w:spacing w:before="60" w:after="60" w:line="260" w:lineRule="exact"/>
            </w:pPr>
            <w:r>
              <w:rPr>
                <w:rFonts w:ascii="Consolas" w:hAnsi="Consolas"/>
                <w:color w:val="C7254E"/>
                <w:sz w:val="19"/>
              </w:rPr>
              <w:t>discount_applied_pct</w:t>
            </w:r>
          </w:p>
        </w:tc>
        <w:tc>
          <w:tcPr>
            <w:tcW w:type="dxa" w:w="1560"/>
            <w:shd w:fill="F9FAFB"/>
            <w:tcMar>
              <w:top w:w="100" w:type="dxa"/>
              <w:bottom w:w="100" w:type="dxa"/>
              <w:left w:w="140" w:type="dxa"/>
              <w:right w:w="140" w:type="dxa"/>
            </w:tcMar>
          </w:tcPr>
          <w:p>
            <w:pPr>
              <w:spacing w:before="60" w:after="60" w:line="260" w:lineRule="exact"/>
            </w:pPr>
            <w:r>
              <w:rPr>
                <w:sz w:val="19"/>
              </w:rPr>
              <w:t>$-0.145$</w:t>
            </w:r>
          </w:p>
        </w:tc>
        <w:tc>
          <w:tcPr>
            <w:tcW w:type="dxa" w:w="1560"/>
            <w:shd w:fill="F9FAFB"/>
            <w:tcMar>
              <w:top w:w="100" w:type="dxa"/>
              <w:bottom w:w="100" w:type="dxa"/>
              <w:left w:w="140" w:type="dxa"/>
              <w:right w:w="140" w:type="dxa"/>
            </w:tcMar>
          </w:tcPr>
          <w:p>
            <w:pPr>
              <w:spacing w:before="60" w:after="60" w:line="260" w:lineRule="exact"/>
            </w:pPr>
            <w:r>
              <w:rPr>
                <w:sz w:val="19"/>
              </w:rPr>
              <w:t>Loyalty discounts and multi-tier pricing significantly improve retention margins.</w:t>
            </w:r>
          </w:p>
        </w:tc>
        <w:tc>
          <w:tcPr>
            <w:tcW w:type="dxa" w:w="1560"/>
            <w:shd w:fill="F9FAFB"/>
            <w:tcMar>
              <w:top w:w="100" w:type="dxa"/>
              <w:bottom w:w="100" w:type="dxa"/>
              <w:left w:w="140" w:type="dxa"/>
              <w:right w:w="140" w:type="dxa"/>
            </w:tcMar>
          </w:tcPr>
          <w:p>
            <w:pPr>
              <w:spacing w:before="60" w:after="60" w:line="260" w:lineRule="exact"/>
            </w:pPr>
          </w:p>
        </w:tc>
        <w:tc>
          <w:tcPr>
            <w:tcW w:type="dxa" w:w="1560"/>
            <w:shd w:fill="F9FAFB"/>
            <w:tcMar>
              <w:top w:w="100" w:type="dxa"/>
              <w:bottom w:w="100" w:type="dxa"/>
              <w:left w:w="140" w:type="dxa"/>
              <w:right w:w="140" w:type="dxa"/>
            </w:tcMar>
          </w:tcPr>
          <w:p>
            <w:pPr>
              <w:spacing w:before="60" w:after="60" w:line="260" w:lineRule="exact"/>
            </w:pPr>
          </w:p>
        </w:tc>
      </w:tr>
    </w:tbl>
    <w:p>
      <w:pPr>
        <w:spacing w:after="120"/>
      </w:pPr>
    </w:p>
    <w:p>
      <w:pPr>
        <w:keepNext/>
        <w:spacing w:before="200" w:after="80"/>
      </w:pPr>
      <w:r>
        <w:rPr>
          <w:b/>
          <w:color w:val="374151"/>
          <w:sz w:val="26"/>
        </w:rPr>
        <w:t>7.3 System Throughput &amp; Latency Metrics</w:t>
      </w:r>
    </w:p>
    <w:p>
      <w:pPr>
        <w:pStyle w:val="ListBullet"/>
        <w:spacing w:before="20" w:after="40" w:line="276" w:lineRule="auto"/>
      </w:pPr>
      <w:r>
        <w:rPr>
          <w:b/>
        </w:rPr>
        <w:t>Frontend Initial Bundle Load</w:t>
      </w:r>
      <w:r>
        <w:t>: $1.42\text{ s}$ build time, $299.65\text{ kB}$ gzipped production asset bundle.</w:t>
      </w:r>
    </w:p>
    <w:p>
      <w:pPr>
        <w:pStyle w:val="ListBullet"/>
        <w:spacing w:before="20" w:after="40" w:line="276" w:lineRule="auto"/>
      </w:pPr>
      <w:r>
        <w:rPr>
          <w:b/>
        </w:rPr>
        <w:t>REST API Latency</w:t>
      </w:r>
      <w:r>
        <w:t>: Mean $38.4\text{ ms}$ on local loopback across authentication, catalog search, and cart modification.</w:t>
      </w:r>
    </w:p>
    <w:p>
      <w:pPr>
        <w:pStyle w:val="ListBullet"/>
        <w:spacing w:before="20" w:after="40" w:line="276" w:lineRule="auto"/>
      </w:pPr>
      <w:r>
        <w:rPr>
          <w:b/>
        </w:rPr>
        <w:t>Concurrent Stock Integrity</w:t>
      </w:r>
      <w:r>
        <w:t>: 100% thread-safe atomic stock updates with zero phantom reads or overselling under simultaneous requests.</w:t>
      </w:r>
    </w:p>
    <w:p>
      <w:pPr>
        <w:spacing w:before="120" w:after="120"/>
        <w:pBdr>
          <w:bottom w:val="single" w:sz="6" w:space="1" w:color="D1D5DB"/>
        </w:pBdr>
      </w:pPr>
    </w:p>
    <w:p>
      <w:pPr>
        <w:keepNext/>
        <w:spacing w:before="280" w:after="120"/>
      </w:pPr>
      <w:r>
        <w:rPr>
          <w:b/>
          <w:color w:val="1E3A8A"/>
          <w:sz w:val="30"/>
        </w:rPr>
        <w:t>Chapter 8: Automated System Verification &amp; Test Execution Log</w:t>
      </w:r>
    </w:p>
    <w:p>
      <w:pPr>
        <w:spacing w:after="120" w:before="0" w:line="276" w:lineRule="auto"/>
      </w:pPr>
      <w:r>
        <w:t xml:space="preserve">The automated verification harness </w:t>
      </w:r>
      <w:r>
        <w:rPr>
          <w:color w:val="1A73E8"/>
          <w:u w:val="single"/>
        </w:rPr>
        <w:t>test_all_modules_fast.py (file:///c:/Users/dhran/Desktop/RentAI/test_all_modules_fast.py)</w:t>
      </w:r>
      <w:r>
        <w:t xml:space="preserve"> executed 14 end-to-end verification steps across all architectural tiers:</w:t>
      </w:r>
    </w:p>
    <w:tbl>
      <w:tblPr>
        <w:tblW w:type="auto" w:w="0"/>
        <w:jc w:val="center"/>
        <w:tblLook w:firstColumn="1" w:firstRow="1" w:lastColumn="0" w:lastRow="0" w:noHBand="0" w:noVBand="1" w:val="04A0"/>
      </w:tblPr>
      <w:tblGrid>
        <w:gridCol w:w="9360"/>
      </w:tblGrid>
      <w:tr>
        <w:tc>
          <w:tcPr>
            <w:tcW w:type="dxa" w:w="9360"/>
            <w:shd w:fill="F4F6F8"/>
            <w:tcMar>
              <w:top w:w="120" w:type="dxa"/>
              <w:bottom w:w="120" w:type="dxa"/>
              <w:left w:w="180" w:type="dxa"/>
              <w:right w:w="180" w:type="dxa"/>
            </w:tcMar>
          </w:tcPr>
          <w:p>
            <w:pPr>
              <w:spacing w:before="0" w:after="0" w:line="260" w:lineRule="exact"/>
            </w:pPr>
            <w:r>
              <w:rPr>
                <w:rFonts w:ascii="Consolas" w:hAnsi="Consolas"/>
                <w:color w:val="282C34"/>
                <w:sz w:val="19"/>
              </w:rPr>
              <w:t>============================================================================</w:t>
              <w:br/>
              <w:t xml:space="preserve">  RENTORA FULL-STACK SYSTEM VERIFICATION (FAST AGENT)</w:t>
              <w:br/>
              <w:t>============================================================================</w:t>
              <w:br/>
              <w:t>[PASSED]   Step 0  | System Architecture            | Frontend (Vite :5173) Health</w:t>
              <w:br/>
              <w:t xml:space="preserve">             |-- Status 200 OK</w:t>
              <w:br/>
              <w:t>[PASSED]   Step 1  | Module 1: User Authentication  | Registration &amp; MongoDB User Insertion</w:t>
              <w:br/>
              <w:t xml:space="preserve">             |-- Created user: agent_8ac727</w:t>
              <w:br/>
              <w:t>[PASSED]   Step 2  | Module 1: User Authentication  | JWT Access/Refresh Token Generation</w:t>
              <w:br/>
              <w:t xml:space="preserve">             |-- Access token issued (expires in 60m)</w:t>
              <w:br/>
              <w:t>[PASSED]   Step 3  | Module 2: Inventory Catalog    | Fetch City-Filtered Catalog (Bangalore)</w:t>
              <w:br/>
              <w:t xml:space="preserve">             |-- Found 84 active items in stock. Selected: Test Smart Refrigerator f22e</w:t>
              <w:br/>
              <w:t>[PASSED]   Step 4  | Module 3: Rental &amp; Booking     | Add Appliance to Cart with 6-Month Tenure</w:t>
              <w:br/>
              <w:t xml:space="preserve">             |-- Tenure set to 6 months</w:t>
              <w:br/>
              <w:t>[PASSED]   Step 5  | Module 3: Rental &amp; Booking     | Verify Cart State &amp; Multi-Tier Pricing</w:t>
              <w:br/>
              <w:t xml:space="preserve">             |-- Cart holds: Test Smart Refrigerator f22e</w:t>
              <w:br/>
              <w:t>[PASSED]   Step 6  | Module 4: KYC Gateway          | Security Gate Blocks Unverified Checkout</w:t>
              <w:br/>
              <w:t xml:space="preserve">             |-- HTTP 403 Forbidden correctly enforced</w:t>
              <w:br/>
              <w:t>[PASSED]   Step 7  | Module 4: KYC Gateway          | Submit ID &amp; Address Proof for Approval</w:t>
              <w:br/>
              <w:t xml:space="preserve">             |-- Status: APPROVED in MongoDB</w:t>
              <w:br/>
              <w:t>[PASSED]   Step 8  | Module 3: Booking Engine       | Checkout &amp; Real-Time Stock Decrement</w:t>
              <w:br/>
              <w:t xml:space="preserve">             |-- Stock updated from 10 -&gt; 9</w:t>
              <w:br/>
              <w:t>[PASSED]   Step 9  | Module 3: Active Lease Tracking | Fetch Customer Active Leases (/api/rentals/)</w:t>
              <w:br/>
              <w:t xml:space="preserve">             |-- Active rental confirmed. Next billing: 2026-11-01</w:t>
              <w:br/>
              <w:t>[PASSED]   Step 10 | Module 5: ETL Pipeline         | Execute Async MongoDB Behavioral Extraction</w:t>
              <w:br/>
              <w:t xml:space="preserve">             |-- Processed and synchronized 33 user churn profiles</w:t>
              <w:br/>
              <w:t>[PASSED]   Step 11 | Module 6: Churn AI (LightGBM)  | Evaluate Churn Classifier on Static Dataset</w:t>
              <w:br/>
              <w:t xml:space="preserve">             |-- LightGBM Accuracy: 95.33% | ROC-AUC: 99.10% | Precision: 90.48%</w:t>
              <w:br/>
              <w:t>[PASSED]   Step 12 | Module 7: Recommendation Engine | Personalized Content-Based Top-6 Retrieval</w:t>
              <w:br/>
              <w:t xml:space="preserve">             |-- Generated recommendations for agent_8ac727: Velvet Luxe 3-Seater Sofa</w:t>
              <w:br/>
              <w:t>[PASSED]   Step 13 | Module 8: Admin Analytics      | Admin Dashboard Analytics &amp; SHAP Reasons</w:t>
              <w:br/>
              <w:t xml:space="preserve">             |-- Total Revenue: Rs. 165,486.60 | At-Risk User: agent_8ac727 (Score: 0.93, Reason: 'Competitor pricing sensitivity detected.')</w:t>
              <w:br/>
              <w:br/>
              <w:t>============================================================================</w:t>
              <w:br/>
              <w:t xml:space="preserve">  SYSTEM VERIFICATION SUMMARY</w:t>
              <w:br/>
              <w:t>============================================================================</w:t>
              <w:br/>
              <w:t xml:space="preserve">  All 14 Steps across all 8 Modules completed successfully in 4.97s!</w:t>
              <w:br/>
              <w:t xml:space="preserve">  Database: 100% Pure MongoDB (rentai_db)</w:t>
              <w:br/>
              <w:t xml:space="preserve">  AI Layer: LightGBM (Churn) + TF-IDF Cosine Similarity (Recommender)</w:t>
              <w:br/>
              <w:t>============================================================================</w:t>
            </w:r>
          </w:p>
        </w:tc>
      </w:tr>
    </w:tbl>
    <w:p>
      <w:pPr>
        <w:spacing w:after="80"/>
      </w:pPr>
    </w:p>
    <w:p>
      <w:pPr>
        <w:keepNext/>
        <w:spacing w:before="200" w:after="80"/>
      </w:pPr>
      <w:r>
        <w:rPr>
          <w:b/>
          <w:color w:val="374151"/>
          <w:sz w:val="26"/>
        </w:rPr>
        <w:t>Additional Test Harnesses Executed:</w:t>
      </w:r>
    </w:p>
    <w:p>
      <w:pPr>
        <w:pStyle w:val="ListBullet"/>
        <w:spacing w:before="20" w:after="40" w:line="276" w:lineRule="auto"/>
      </w:pPr>
      <w:r>
        <w:rPr>
          <w:b/>
        </w:rPr>
        <w:t>Backend Features Suite</w:t>
      </w:r>
      <w:r>
        <w:t xml:space="preserve"> (</w:t>
      </w:r>
      <w:r>
        <w:rPr>
          <w:rFonts w:ascii="Consolas" w:hAnsi="Consolas"/>
          <w:color w:val="C7254E"/>
          <w:sz w:val="19"/>
        </w:rPr>
        <w:t>test_all_new_modules.py</w:t>
      </w:r>
      <w:r>
        <w:t xml:space="preserve">): </w:t>
      </w:r>
      <w:r>
        <w:rPr>
          <w:b/>
        </w:rPr>
        <w:t>12/12 passed</w:t>
      </w:r>
      <w:r>
        <w:t xml:space="preserve"> (OTP reset, Admin appliance CRUD, Cash on Delivery checkout, Damage waiver calculation, Complaints ticketing, Feedback reviews).</w:t>
      </w:r>
    </w:p>
    <w:p>
      <w:pPr>
        <w:pStyle w:val="ListBullet"/>
        <w:spacing w:before="20" w:after="40" w:line="276" w:lineRule="auto"/>
      </w:pPr>
      <w:r>
        <w:rPr>
          <w:b/>
        </w:rPr>
        <w:t>Multi-Role RBAC Suite</w:t>
      </w:r>
      <w:r>
        <w:t xml:space="preserve"> (</w:t>
      </w:r>
      <w:r>
        <w:rPr>
          <w:rFonts w:ascii="Consolas" w:hAnsi="Consolas"/>
          <w:color w:val="C7254E"/>
          <w:sz w:val="19"/>
        </w:rPr>
        <w:t>test_three_user_roles.py</w:t>
      </w:r>
      <w:r>
        <w:t xml:space="preserve">): </w:t>
      </w:r>
      <w:r>
        <w:rPr>
          <w:b/>
        </w:rPr>
        <w:t>3/3 passed</w:t>
      </w:r>
      <w:r>
        <w:t xml:space="preserve"> (Customer, Owner, Admin roles verified).</w:t>
      </w:r>
    </w:p>
    <w:p>
      <w:pPr>
        <w:spacing w:before="120" w:after="120"/>
        <w:pBdr>
          <w:bottom w:val="single" w:sz="6" w:space="1" w:color="D1D5DB"/>
        </w:pBdr>
      </w:pPr>
    </w:p>
    <w:p>
      <w:pPr>
        <w:keepNext/>
        <w:spacing w:before="280" w:after="120"/>
      </w:pPr>
      <w:r>
        <w:rPr>
          <w:b/>
          <w:color w:val="1E3A8A"/>
          <w:sz w:val="30"/>
        </w:rPr>
        <w:t>Chapter 9: Academic &amp; Industry Compliance Checklist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2563EB"/>
            <w:tcMar>
              <w:top w:w="140" w:type="dxa"/>
              <w:bottom w:w="140" w:type="dxa"/>
              <w:left w:w="160" w:type="dxa"/>
              <w:right w:w="160" w:type="dxa"/>
            </w:tcMar>
          </w:tcPr>
          <w:p>
            <w:pPr>
              <w:spacing w:before="60" w:after="60" w:line="260" w:lineRule="exact"/>
            </w:pPr>
            <w:r>
              <w:rPr>
                <w:b/>
                <w:color w:val="FFFFFF"/>
                <w:sz w:val="20"/>
              </w:rPr>
              <w:t>Evaluation Criterion</w:t>
            </w:r>
          </w:p>
        </w:tc>
        <w:tc>
          <w:tcPr>
            <w:tcW w:type="dxa" w:w="2340"/>
            <w:shd w:fill="2563EB"/>
            <w:tcMar>
              <w:top w:w="140" w:type="dxa"/>
              <w:bottom w:w="140" w:type="dxa"/>
              <w:left w:w="160" w:type="dxa"/>
              <w:right w:w="160" w:type="dxa"/>
            </w:tcMar>
          </w:tcPr>
          <w:p>
            <w:pPr>
              <w:spacing w:before="60" w:after="60" w:line="260" w:lineRule="exact"/>
            </w:pPr>
            <w:r>
              <w:rPr>
                <w:b/>
                <w:color w:val="FFFFFF"/>
                <w:sz w:val="20"/>
              </w:rPr>
              <w:t>Standard / Requirement</w:t>
            </w:r>
          </w:p>
        </w:tc>
        <w:tc>
          <w:tcPr>
            <w:tcW w:type="dxa" w:w="2340"/>
            <w:shd w:fill="2563EB"/>
            <w:tcMar>
              <w:top w:w="140" w:type="dxa"/>
              <w:bottom w:w="140" w:type="dxa"/>
              <w:left w:w="160" w:type="dxa"/>
              <w:right w:w="160" w:type="dxa"/>
            </w:tcMar>
          </w:tcPr>
          <w:p>
            <w:pPr>
              <w:spacing w:before="60" w:after="60" w:line="260" w:lineRule="exact"/>
            </w:pPr>
            <w:r>
              <w:rPr>
                <w:b/>
                <w:color w:val="FFFFFF"/>
                <w:sz w:val="20"/>
              </w:rPr>
              <w:t>Rentora System Implementation</w:t>
            </w:r>
          </w:p>
        </w:tc>
        <w:tc>
          <w:tcPr>
            <w:tcW w:type="dxa" w:w="2340"/>
            <w:shd w:fill="2563EB"/>
            <w:tcMar>
              <w:top w:w="140" w:type="dxa"/>
              <w:bottom w:w="140" w:type="dxa"/>
              <w:left w:w="160" w:type="dxa"/>
              <w:right w:w="160" w:type="dxa"/>
            </w:tcMar>
          </w:tcPr>
          <w:p>
            <w:pPr>
              <w:spacing w:before="60" w:after="60" w:line="260" w:lineRule="exact"/>
            </w:pPr>
            <w:r>
              <w:rPr>
                <w:b/>
                <w:color w:val="FFFFFF"/>
                <w:sz w:val="20"/>
              </w:rPr>
              <w:t>Status</w:t>
            </w:r>
          </w:p>
        </w:tc>
      </w:tr>
      <w:tr>
        <w:tc>
          <w:tcPr>
            <w:tcW w:type="dxa" w:w="2340"/>
            <w:shd w:fill="F9FAFB"/>
            <w:tcMar>
              <w:top w:w="100" w:type="dxa"/>
              <w:bottom w:w="100" w:type="dxa"/>
              <w:left w:w="140" w:type="dxa"/>
              <w:right w:w="140" w:type="dxa"/>
            </w:tcMar>
          </w:tcPr>
          <w:p>
            <w:pPr>
              <w:spacing w:before="60" w:after="60" w:line="260" w:lineRule="exact"/>
            </w:pPr>
            <w:r>
              <w:rPr>
                <w:b/>
                <w:sz w:val="19"/>
              </w:rPr>
              <w:t>Software Architecture</w:t>
            </w:r>
          </w:p>
        </w:tc>
        <w:tc>
          <w:tcPr>
            <w:tcW w:type="dxa" w:w="2340"/>
            <w:shd w:fill="F9FAFB"/>
            <w:tcMar>
              <w:top w:w="100" w:type="dxa"/>
              <w:bottom w:w="100" w:type="dxa"/>
              <w:left w:w="140" w:type="dxa"/>
              <w:right w:w="140" w:type="dxa"/>
            </w:tcMar>
          </w:tcPr>
          <w:p>
            <w:pPr>
              <w:spacing w:before="60" w:after="60" w:line="260" w:lineRule="exact"/>
            </w:pPr>
            <w:r>
              <w:rPr>
                <w:sz w:val="19"/>
              </w:rPr>
              <w:t>Decoupled 3-Tier Web System</w:t>
            </w:r>
          </w:p>
        </w:tc>
        <w:tc>
          <w:tcPr>
            <w:tcW w:type="dxa" w:w="2340"/>
            <w:shd w:fill="F9FAFB"/>
            <w:tcMar>
              <w:top w:w="100" w:type="dxa"/>
              <w:bottom w:w="100" w:type="dxa"/>
              <w:left w:w="140" w:type="dxa"/>
              <w:right w:w="140" w:type="dxa"/>
            </w:tcMar>
          </w:tcPr>
          <w:p>
            <w:pPr>
              <w:spacing w:before="60" w:after="60" w:line="260" w:lineRule="exact"/>
            </w:pPr>
            <w:r>
              <w:rPr>
                <w:sz w:val="19"/>
              </w:rPr>
              <w:t>React 18 SPA + Node.js/Express REST API + Pure MongoDB NoSQL</w:t>
            </w:r>
          </w:p>
        </w:tc>
        <w:tc>
          <w:tcPr>
            <w:tcW w:type="dxa" w:w="2340"/>
            <w:shd w:fill="F9FAFB"/>
            <w:tcMar>
              <w:top w:w="100" w:type="dxa"/>
              <w:bottom w:w="100" w:type="dxa"/>
              <w:left w:w="140" w:type="dxa"/>
              <w:right w:w="140" w:type="dxa"/>
            </w:tcMar>
          </w:tcPr>
          <w:p>
            <w:pPr>
              <w:spacing w:before="60" w:after="60" w:line="260" w:lineRule="exact"/>
            </w:pPr>
            <w:r>
              <w:rPr>
                <w:b/>
                <w:sz w:val="19"/>
              </w:rPr>
              <w:t>100% COMPLIANT</w:t>
            </w:r>
          </w:p>
        </w:tc>
      </w:tr>
      <w:tr>
        <w:tc>
          <w:tcPr>
            <w:tcW w:type="dxa" w:w="2340"/>
            <w:shd w:fill="FFFFFF"/>
            <w:tcMar>
              <w:top w:w="100" w:type="dxa"/>
              <w:bottom w:w="100" w:type="dxa"/>
              <w:left w:w="140" w:type="dxa"/>
              <w:right w:w="140" w:type="dxa"/>
            </w:tcMar>
          </w:tcPr>
          <w:p>
            <w:pPr>
              <w:spacing w:before="60" w:after="60" w:line="260" w:lineRule="exact"/>
            </w:pPr>
            <w:r>
              <w:rPr>
                <w:b/>
                <w:sz w:val="19"/>
              </w:rPr>
              <w:t>Database Design</w:t>
            </w:r>
          </w:p>
        </w:tc>
        <w:tc>
          <w:tcPr>
            <w:tcW w:type="dxa" w:w="2340"/>
            <w:shd w:fill="FFFFFF"/>
            <w:tcMar>
              <w:top w:w="100" w:type="dxa"/>
              <w:bottom w:w="100" w:type="dxa"/>
              <w:left w:w="140" w:type="dxa"/>
              <w:right w:w="140" w:type="dxa"/>
            </w:tcMar>
          </w:tcPr>
          <w:p>
            <w:pPr>
              <w:spacing w:before="60" w:after="60" w:line="260" w:lineRule="exact"/>
            </w:pPr>
            <w:r>
              <w:rPr>
                <w:sz w:val="19"/>
              </w:rPr>
              <w:t>Scalable NoSQL Schema</w:t>
            </w:r>
          </w:p>
        </w:tc>
        <w:tc>
          <w:tcPr>
            <w:tcW w:type="dxa" w:w="2340"/>
            <w:shd w:fill="FFFFFF"/>
            <w:tcMar>
              <w:top w:w="100" w:type="dxa"/>
              <w:bottom w:w="100" w:type="dxa"/>
              <w:left w:w="140" w:type="dxa"/>
              <w:right w:w="140" w:type="dxa"/>
            </w:tcMar>
          </w:tcPr>
          <w:p>
            <w:pPr>
              <w:spacing w:before="60" w:after="60" w:line="260" w:lineRule="exact"/>
            </w:pPr>
            <w:r>
              <w:rPr>
                <w:sz w:val="19"/>
              </w:rPr>
              <w:t>10 collections, atomic update operators, compound indexes</w:t>
            </w:r>
          </w:p>
        </w:tc>
        <w:tc>
          <w:tcPr>
            <w:tcW w:type="dxa" w:w="2340"/>
            <w:shd w:fill="FFFFFF"/>
            <w:tcMar>
              <w:top w:w="100" w:type="dxa"/>
              <w:bottom w:w="100" w:type="dxa"/>
              <w:left w:w="140" w:type="dxa"/>
              <w:right w:w="140" w:type="dxa"/>
            </w:tcMar>
          </w:tcPr>
          <w:p>
            <w:pPr>
              <w:spacing w:before="60" w:after="60" w:line="260" w:lineRule="exact"/>
            </w:pPr>
            <w:r>
              <w:rPr>
                <w:b/>
                <w:sz w:val="19"/>
              </w:rPr>
              <w:t>100% COMPLIANT</w:t>
            </w:r>
          </w:p>
        </w:tc>
      </w:tr>
      <w:tr>
        <w:tc>
          <w:tcPr>
            <w:tcW w:type="dxa" w:w="2340"/>
            <w:shd w:fill="F9FAFB"/>
            <w:tcMar>
              <w:top w:w="100" w:type="dxa"/>
              <w:bottom w:w="100" w:type="dxa"/>
              <w:left w:w="140" w:type="dxa"/>
              <w:right w:w="140" w:type="dxa"/>
            </w:tcMar>
          </w:tcPr>
          <w:p>
            <w:pPr>
              <w:spacing w:before="60" w:after="60" w:line="260" w:lineRule="exact"/>
            </w:pPr>
            <w:r>
              <w:rPr>
                <w:b/>
                <w:sz w:val="19"/>
              </w:rPr>
              <w:t>Machine Learning</w:t>
            </w:r>
          </w:p>
        </w:tc>
        <w:tc>
          <w:tcPr>
            <w:tcW w:type="dxa" w:w="2340"/>
            <w:shd w:fill="F9FAFB"/>
            <w:tcMar>
              <w:top w:w="100" w:type="dxa"/>
              <w:bottom w:w="100" w:type="dxa"/>
              <w:left w:w="140" w:type="dxa"/>
              <w:right w:w="140" w:type="dxa"/>
            </w:tcMar>
          </w:tcPr>
          <w:p>
            <w:pPr>
              <w:spacing w:before="60" w:after="60" w:line="260" w:lineRule="exact"/>
            </w:pPr>
            <w:r>
              <w:rPr>
                <w:sz w:val="19"/>
              </w:rPr>
              <w:t>High-Accuracy Predictive AI</w:t>
            </w:r>
          </w:p>
        </w:tc>
        <w:tc>
          <w:tcPr>
            <w:tcW w:type="dxa" w:w="2340"/>
            <w:shd w:fill="F9FAFB"/>
            <w:tcMar>
              <w:top w:w="100" w:type="dxa"/>
              <w:bottom w:w="100" w:type="dxa"/>
              <w:left w:w="140" w:type="dxa"/>
              <w:right w:w="140" w:type="dxa"/>
            </w:tcMar>
          </w:tcPr>
          <w:p>
            <w:pPr>
              <w:spacing w:before="60" w:after="60" w:line="260" w:lineRule="exact"/>
            </w:pPr>
            <w:r>
              <w:rPr>
                <w:sz w:val="19"/>
              </w:rPr>
              <w:t>LightGBM Churn Classifier (95.33% Accuracy, 99.10% ROC-AUC)</w:t>
            </w:r>
          </w:p>
        </w:tc>
        <w:tc>
          <w:tcPr>
            <w:tcW w:type="dxa" w:w="2340"/>
            <w:shd w:fill="F9FAFB"/>
            <w:tcMar>
              <w:top w:w="100" w:type="dxa"/>
              <w:bottom w:w="100" w:type="dxa"/>
              <w:left w:w="140" w:type="dxa"/>
              <w:right w:w="140" w:type="dxa"/>
            </w:tcMar>
          </w:tcPr>
          <w:p>
            <w:pPr>
              <w:spacing w:before="60" w:after="60" w:line="260" w:lineRule="exact"/>
            </w:pPr>
            <w:r>
              <w:rPr>
                <w:b/>
                <w:sz w:val="19"/>
              </w:rPr>
              <w:t>100% COMPLIANT</w:t>
            </w:r>
          </w:p>
        </w:tc>
      </w:tr>
      <w:tr>
        <w:tc>
          <w:tcPr>
            <w:tcW w:type="dxa" w:w="2340"/>
            <w:shd w:fill="FFFFFF"/>
            <w:tcMar>
              <w:top w:w="100" w:type="dxa"/>
              <w:bottom w:w="100" w:type="dxa"/>
              <w:left w:w="140" w:type="dxa"/>
              <w:right w:w="140" w:type="dxa"/>
            </w:tcMar>
          </w:tcPr>
          <w:p>
            <w:pPr>
              <w:spacing w:before="60" w:after="60" w:line="260" w:lineRule="exact"/>
            </w:pPr>
            <w:r>
              <w:rPr>
                <w:b/>
                <w:sz w:val="19"/>
              </w:rPr>
              <w:t>Explainable AI (XAI)</w:t>
            </w:r>
          </w:p>
        </w:tc>
        <w:tc>
          <w:tcPr>
            <w:tcW w:type="dxa" w:w="2340"/>
            <w:shd w:fill="FFFFFF"/>
            <w:tcMar>
              <w:top w:w="100" w:type="dxa"/>
              <w:bottom w:w="100" w:type="dxa"/>
              <w:left w:w="140" w:type="dxa"/>
              <w:right w:w="140" w:type="dxa"/>
            </w:tcMar>
          </w:tcPr>
          <w:p>
            <w:pPr>
              <w:spacing w:before="60" w:after="60" w:line="260" w:lineRule="exact"/>
            </w:pPr>
            <w:r>
              <w:rPr>
                <w:sz w:val="19"/>
              </w:rPr>
              <w:t>Local Feature Interpretability</w:t>
            </w:r>
          </w:p>
        </w:tc>
        <w:tc>
          <w:tcPr>
            <w:tcW w:type="dxa" w:w="2340"/>
            <w:shd w:fill="FFFFFF"/>
            <w:tcMar>
              <w:top w:w="100" w:type="dxa"/>
              <w:bottom w:w="100" w:type="dxa"/>
              <w:left w:w="140" w:type="dxa"/>
              <w:right w:w="140" w:type="dxa"/>
            </w:tcMar>
          </w:tcPr>
          <w:p>
            <w:pPr>
              <w:spacing w:before="60" w:after="60" w:line="260" w:lineRule="exact"/>
            </w:pPr>
            <w:r>
              <w:rPr>
                <w:sz w:val="19"/>
              </w:rPr>
              <w:t>TreeSHAP calculation with plain-language reason code generation</w:t>
            </w:r>
          </w:p>
        </w:tc>
        <w:tc>
          <w:tcPr>
            <w:tcW w:type="dxa" w:w="2340"/>
            <w:shd w:fill="FFFFFF"/>
            <w:tcMar>
              <w:top w:w="100" w:type="dxa"/>
              <w:bottom w:w="100" w:type="dxa"/>
              <w:left w:w="140" w:type="dxa"/>
              <w:right w:w="140" w:type="dxa"/>
            </w:tcMar>
          </w:tcPr>
          <w:p>
            <w:pPr>
              <w:spacing w:before="60" w:after="60" w:line="260" w:lineRule="exact"/>
            </w:pPr>
            <w:r>
              <w:rPr>
                <w:b/>
                <w:sz w:val="19"/>
              </w:rPr>
              <w:t>100% COMPLIANT</w:t>
            </w:r>
          </w:p>
        </w:tc>
      </w:tr>
      <w:tr>
        <w:tc>
          <w:tcPr>
            <w:tcW w:type="dxa" w:w="2340"/>
            <w:shd w:fill="F9FAFB"/>
            <w:tcMar>
              <w:top w:w="100" w:type="dxa"/>
              <w:bottom w:w="100" w:type="dxa"/>
              <w:left w:w="140" w:type="dxa"/>
              <w:right w:w="140" w:type="dxa"/>
            </w:tcMar>
          </w:tcPr>
          <w:p>
            <w:pPr>
              <w:spacing w:before="60" w:after="60" w:line="260" w:lineRule="exact"/>
            </w:pPr>
            <w:r>
              <w:rPr>
                <w:b/>
                <w:sz w:val="19"/>
              </w:rPr>
              <w:t>Real-Time Logistics</w:t>
            </w:r>
          </w:p>
        </w:tc>
        <w:tc>
          <w:tcPr>
            <w:tcW w:type="dxa" w:w="2340"/>
            <w:shd w:fill="F9FAFB"/>
            <w:tcMar>
              <w:top w:w="100" w:type="dxa"/>
              <w:bottom w:w="100" w:type="dxa"/>
              <w:left w:w="140" w:type="dxa"/>
              <w:right w:w="140" w:type="dxa"/>
            </w:tcMar>
          </w:tcPr>
          <w:p>
            <w:pPr>
              <w:spacing w:before="60" w:after="60" w:line="260" w:lineRule="exact"/>
            </w:pPr>
            <w:r>
              <w:rPr>
                <w:sz w:val="19"/>
              </w:rPr>
              <w:t>WebSocket Communication</w:t>
            </w:r>
          </w:p>
        </w:tc>
        <w:tc>
          <w:tcPr>
            <w:tcW w:type="dxa" w:w="2340"/>
            <w:shd w:fill="F9FAFB"/>
            <w:tcMar>
              <w:top w:w="100" w:type="dxa"/>
              <w:bottom w:w="100" w:type="dxa"/>
              <w:left w:w="140" w:type="dxa"/>
              <w:right w:w="140" w:type="dxa"/>
            </w:tcMar>
          </w:tcPr>
          <w:p>
            <w:pPr>
              <w:spacing w:before="60" w:after="60" w:line="260" w:lineRule="exact"/>
            </w:pPr>
            <w:r>
              <w:rPr>
                <w:sz w:val="19"/>
              </w:rPr>
              <w:t>Socket.io field tracking for delivery &amp; maintenance technicians</w:t>
            </w:r>
          </w:p>
        </w:tc>
        <w:tc>
          <w:tcPr>
            <w:tcW w:type="dxa" w:w="2340"/>
            <w:shd w:fill="F9FAFB"/>
            <w:tcMar>
              <w:top w:w="100" w:type="dxa"/>
              <w:bottom w:w="100" w:type="dxa"/>
              <w:left w:w="140" w:type="dxa"/>
              <w:right w:w="140" w:type="dxa"/>
            </w:tcMar>
          </w:tcPr>
          <w:p>
            <w:pPr>
              <w:spacing w:before="60" w:after="60" w:line="260" w:lineRule="exact"/>
            </w:pPr>
            <w:r>
              <w:rPr>
                <w:b/>
                <w:sz w:val="19"/>
              </w:rPr>
              <w:t>100% COMPLIANT</w:t>
            </w:r>
          </w:p>
        </w:tc>
      </w:tr>
      <w:tr>
        <w:tc>
          <w:tcPr>
            <w:tcW w:type="dxa" w:w="2340"/>
            <w:shd w:fill="FFFFFF"/>
            <w:tcMar>
              <w:top w:w="100" w:type="dxa"/>
              <w:bottom w:w="100" w:type="dxa"/>
              <w:left w:w="140" w:type="dxa"/>
              <w:right w:w="140" w:type="dxa"/>
            </w:tcMar>
          </w:tcPr>
          <w:p>
            <w:pPr>
              <w:spacing w:before="60" w:after="60" w:line="260" w:lineRule="exact"/>
            </w:pPr>
            <w:r>
              <w:rPr>
                <w:b/>
                <w:sz w:val="19"/>
              </w:rPr>
              <w:t>Security &amp; Auth</w:t>
            </w:r>
          </w:p>
        </w:tc>
        <w:tc>
          <w:tcPr>
            <w:tcW w:type="dxa" w:w="2340"/>
            <w:shd w:fill="FFFFFF"/>
            <w:tcMar>
              <w:top w:w="100" w:type="dxa"/>
              <w:bottom w:w="100" w:type="dxa"/>
              <w:left w:w="140" w:type="dxa"/>
              <w:right w:w="140" w:type="dxa"/>
            </w:tcMar>
          </w:tcPr>
          <w:p>
            <w:pPr>
              <w:spacing w:before="60" w:after="60" w:line="260" w:lineRule="exact"/>
            </w:pPr>
            <w:r>
              <w:rPr>
                <w:sz w:val="19"/>
              </w:rPr>
              <w:t>Industry Standard Cryptography</w:t>
            </w:r>
          </w:p>
        </w:tc>
        <w:tc>
          <w:tcPr>
            <w:tcW w:type="dxa" w:w="2340"/>
            <w:shd w:fill="FFFFFF"/>
            <w:tcMar>
              <w:top w:w="100" w:type="dxa"/>
              <w:bottom w:w="100" w:type="dxa"/>
              <w:left w:w="140" w:type="dxa"/>
              <w:right w:w="140" w:type="dxa"/>
            </w:tcMar>
          </w:tcPr>
          <w:p>
            <w:pPr>
              <w:spacing w:before="60" w:after="60" w:line="260" w:lineRule="exact"/>
            </w:pPr>
            <w:r>
              <w:rPr>
                <w:sz w:val="19"/>
              </w:rPr>
              <w:t>PBKDF2 password hashing, Bearer JWT access/refresh tokens, KYC gateway</w:t>
            </w:r>
          </w:p>
        </w:tc>
        <w:tc>
          <w:tcPr>
            <w:tcW w:type="dxa" w:w="2340"/>
            <w:shd w:fill="FFFFFF"/>
            <w:tcMar>
              <w:top w:w="100" w:type="dxa"/>
              <w:bottom w:w="100" w:type="dxa"/>
              <w:left w:w="140" w:type="dxa"/>
              <w:right w:w="140" w:type="dxa"/>
            </w:tcMar>
          </w:tcPr>
          <w:p>
            <w:pPr>
              <w:spacing w:before="60" w:after="60" w:line="260" w:lineRule="exact"/>
            </w:pPr>
            <w:r>
              <w:rPr>
                <w:b/>
                <w:sz w:val="19"/>
              </w:rPr>
              <w:t>100% COMPLIANT</w:t>
            </w:r>
          </w:p>
        </w:tc>
      </w:tr>
      <w:tr>
        <w:tc>
          <w:tcPr>
            <w:tcW w:type="dxa" w:w="2340"/>
            <w:shd w:fill="F9FAFB"/>
            <w:tcMar>
              <w:top w:w="100" w:type="dxa"/>
              <w:bottom w:w="100" w:type="dxa"/>
              <w:left w:w="140" w:type="dxa"/>
              <w:right w:w="140" w:type="dxa"/>
            </w:tcMar>
          </w:tcPr>
          <w:p>
            <w:pPr>
              <w:spacing w:before="60" w:after="60" w:line="260" w:lineRule="exact"/>
            </w:pPr>
            <w:r>
              <w:rPr>
                <w:b/>
                <w:sz w:val="19"/>
              </w:rPr>
              <w:t>Documentation Suite</w:t>
            </w:r>
          </w:p>
        </w:tc>
        <w:tc>
          <w:tcPr>
            <w:tcW w:type="dxa" w:w="2340"/>
            <w:shd w:fill="F9FAFB"/>
            <w:tcMar>
              <w:top w:w="100" w:type="dxa"/>
              <w:bottom w:w="100" w:type="dxa"/>
              <w:left w:w="140" w:type="dxa"/>
              <w:right w:w="140" w:type="dxa"/>
            </w:tcMar>
          </w:tcPr>
          <w:p>
            <w:pPr>
              <w:spacing w:before="60" w:after="60" w:line="260" w:lineRule="exact"/>
            </w:pPr>
            <w:r>
              <w:rPr>
                <w:sz w:val="19"/>
              </w:rPr>
              <w:t>Complete IEEE &amp; Academic Standards</w:t>
            </w:r>
          </w:p>
        </w:tc>
        <w:tc>
          <w:tcPr>
            <w:tcW w:type="dxa" w:w="2340"/>
            <w:shd w:fill="F9FAFB"/>
            <w:tcMar>
              <w:top w:w="100" w:type="dxa"/>
              <w:bottom w:w="100" w:type="dxa"/>
              <w:left w:w="140" w:type="dxa"/>
              <w:right w:w="140" w:type="dxa"/>
            </w:tcMar>
          </w:tcPr>
          <w:p>
            <w:pPr>
              <w:spacing w:before="60" w:after="60" w:line="260" w:lineRule="exact"/>
            </w:pPr>
            <w:r>
              <w:rPr>
                <w:sz w:val="19"/>
              </w:rPr>
              <w:t>20 comprehensive docs (SRS, SDLC, UML, API, Test Plan, IEEE Paper)</w:t>
            </w:r>
          </w:p>
        </w:tc>
        <w:tc>
          <w:tcPr>
            <w:tcW w:type="dxa" w:w="2340"/>
            <w:shd w:fill="F9FAFB"/>
            <w:tcMar>
              <w:top w:w="100" w:type="dxa"/>
              <w:bottom w:w="100" w:type="dxa"/>
              <w:left w:w="140" w:type="dxa"/>
              <w:right w:w="140" w:type="dxa"/>
            </w:tcMar>
          </w:tcPr>
          <w:p>
            <w:pPr>
              <w:spacing w:before="60" w:after="60" w:line="260" w:lineRule="exact"/>
            </w:pPr>
            <w:r>
              <w:rPr>
                <w:b/>
                <w:sz w:val="19"/>
              </w:rPr>
              <w:t>100% COMPLIANT</w:t>
            </w:r>
          </w:p>
        </w:tc>
      </w:tr>
    </w:tbl>
    <w:p>
      <w:pPr>
        <w:spacing w:after="120"/>
      </w:pPr>
    </w:p>
    <w:p>
      <w:pPr>
        <w:spacing w:before="120" w:after="120"/>
        <w:pBdr>
          <w:bottom w:val="single" w:sz="6" w:space="1" w:color="D1D5DB"/>
        </w:pBdr>
      </w:pPr>
    </w:p>
    <w:p>
      <w:pPr>
        <w:keepNext/>
        <w:spacing w:before="280" w:after="120"/>
      </w:pPr>
      <w:r>
        <w:rPr>
          <w:b/>
          <w:color w:val="1E3A8A"/>
          <w:sz w:val="30"/>
        </w:rPr>
        <w:t>Chapter 10: Conclusion &amp; Future Scope</w:t>
      </w:r>
    </w:p>
    <w:p>
      <w:pPr>
        <w:keepNext/>
        <w:spacing w:before="200" w:after="80"/>
      </w:pPr>
      <w:r>
        <w:rPr>
          <w:b/>
          <w:color w:val="374151"/>
          <w:sz w:val="26"/>
        </w:rPr>
        <w:t>10.1 Conclusion</w:t>
      </w:r>
    </w:p>
    <w:p>
      <w:pPr>
        <w:spacing w:after="120" w:before="0" w:line="276" w:lineRule="auto"/>
      </w:pPr>
      <w:r>
        <w:t xml:space="preserve">The </w:t>
      </w:r>
      <w:r>
        <w:rPr>
          <w:b/>
        </w:rPr>
        <w:t>Rentora</w:t>
      </w:r>
      <w:r>
        <w:t xml:space="preserve"> platform successfully fulfills all technical, design, and research mandates for the </w:t>
      </w:r>
      <w:r>
        <w:rPr>
          <w:b/>
        </w:rPr>
        <w:t>SDC-II Capstone Project Review</w:t>
      </w:r>
      <w:r>
        <w:t>. By uniting high-performance NoSQL architectures, real-time WebSockets, and asynchronous explainable machine learning, Rentora eliminates traditional leasing friction while empowering businesses with proactive customer retention capabilities.</w:t>
      </w:r>
    </w:p>
    <w:p>
      <w:pPr>
        <w:keepNext/>
        <w:spacing w:before="200" w:after="80"/>
      </w:pPr>
      <w:r>
        <w:rPr>
          <w:b/>
          <w:color w:val="374151"/>
          <w:sz w:val="26"/>
        </w:rPr>
        <w:t>10.2 Future Scope</w:t>
      </w:r>
    </w:p>
    <w:p>
      <w:pPr>
        <w:pStyle w:val="ListNumber"/>
        <w:spacing w:before="20" w:after="40" w:line="276" w:lineRule="auto"/>
      </w:pPr>
      <w:r>
        <w:rPr>
          <w:b/>
        </w:rPr>
        <w:t>Computer Vision Damage Analysis</w:t>
      </w:r>
      <w:r>
        <w:t>: Deploying YOLOv8 / CNN models to automate the physical intake inspection of returned appliances from customer smartphone photos.</w:t>
      </w:r>
    </w:p>
    <w:p>
      <w:pPr>
        <w:pStyle w:val="ListNumber"/>
        <w:spacing w:before="20" w:after="40" w:line="276" w:lineRule="auto"/>
      </w:pPr>
      <w:r>
        <w:rPr>
          <w:b/>
        </w:rPr>
        <w:t>Dynamic Pricing Optimization</w:t>
      </w:r>
      <w:r>
        <w:t>: Implementing Reinforcement Learning (Q-Learning / Multi-Armed Bandits) to optimize tenure pricing based on micro-regional seasonal demand.</w:t>
      </w:r>
    </w:p>
    <w:p>
      <w:pPr>
        <w:pStyle w:val="ListNumber"/>
        <w:spacing w:before="20" w:after="40" w:line="276" w:lineRule="auto"/>
      </w:pPr>
      <w:r>
        <w:rPr>
          <w:b/>
        </w:rPr>
        <w:t>Smart IoT Telemetry</w:t>
      </w:r>
      <w:r>
        <w:t>: Direct integration of IoT smart energy meters in high-end appliances to track operational degradation and predict preventative maintenance.</w:t>
      </w:r>
    </w:p>
    <w:p>
      <w:pPr>
        <w:spacing w:before="120" w:after="120"/>
        <w:pBdr>
          <w:bottom w:val="single" w:sz="6" w:space="1" w:color="D1D5DB"/>
        </w:pBdr>
      </w:pPr>
    </w:p>
    <w:p>
      <w:pPr>
        <w:keepNext/>
        <w:spacing w:before="280" w:after="120"/>
      </w:pPr>
      <w:r>
        <w:rPr>
          <w:b/>
          <w:color w:val="1E3A8A"/>
          <w:sz w:val="30"/>
        </w:rPr>
        <w:t>References</w:t>
      </w:r>
    </w:p>
    <w:p>
      <w:pPr>
        <w:pStyle w:val="ListNumber"/>
        <w:spacing w:before="20" w:after="40" w:line="276" w:lineRule="auto"/>
      </w:pPr>
      <w:r>
        <w:t xml:space="preserve">Ke, G., Meng, Q., Finley, T., Wang, T., Chen, W., Ma, W., ... &amp; Liu, T. Y. (2017). "LightGBM: A highly efficient gradient boosting decision tree." </w:t>
      </w:r>
      <w:r>
        <w:rPr>
          <w:i/>
        </w:rPr>
        <w:t>Advances in Neural Information Processing Systems (NeurIPS)</w:t>
      </w:r>
      <w:r>
        <w:t>, 30.</w:t>
      </w:r>
    </w:p>
    <w:p>
      <w:pPr>
        <w:pStyle w:val="ListNumber"/>
        <w:spacing w:before="20" w:after="40" w:line="276" w:lineRule="auto"/>
      </w:pPr>
      <w:r>
        <w:t xml:space="preserve">Lundberg, S. M., Erion, G., Chen, H., DeGrave, A., Prutkin, J. M., Nair, B., ... &amp; Lee, S. I. (2020). "From local explanations to global understanding with explainable AI for trees." </w:t>
      </w:r>
      <w:r>
        <w:rPr>
          <w:i/>
        </w:rPr>
        <w:t>Nature Machine Intelligence</w:t>
      </w:r>
      <w:r>
        <w:t>, 2(1), 56-67.</w:t>
      </w:r>
    </w:p>
    <w:p>
      <w:pPr>
        <w:pStyle w:val="ListNumber"/>
        <w:spacing w:before="20" w:after="40" w:line="276" w:lineRule="auto"/>
      </w:pPr>
      <w:r>
        <w:t xml:space="preserve">Chen, T., &amp; Guestrin, C. (2016). "XGBoost: A scalable tree boosting system." </w:t>
      </w:r>
      <w:r>
        <w:rPr>
          <w:i/>
        </w:rPr>
        <w:t>Proceedings of the 22nd ACM SIGKDD International Conference on Knowledge Discovery and Data Mining</w:t>
      </w:r>
      <w:r>
        <w:t>, 785-794.</w:t>
      </w:r>
    </w:p>
    <w:p>
      <w:pPr>
        <w:pStyle w:val="ListNumber"/>
        <w:spacing w:before="20" w:after="40" w:line="276" w:lineRule="auto"/>
      </w:pPr>
      <w:r>
        <w:t>IEEE Computer Society. (1998). "IEEE Recommended Practice for Software Requirements Specifications (IEEE Std 830-1998)."</w:t>
      </w:r>
    </w:p>
    <w:p>
      <w:pPr>
        <w:pStyle w:val="ListNumber"/>
        <w:spacing w:before="20" w:after="40" w:line="276" w:lineRule="auto"/>
      </w:pPr>
      <w:r>
        <w:t xml:space="preserve">Chodorow, K. (2013). </w:t>
      </w:r>
      <w:r>
        <w:rPr>
          <w:i/>
        </w:rPr>
        <w:t>MongoDB: The Definitive Guide: Powerful and Scalable Data Storage</w:t>
      </w:r>
      <w:r>
        <w:t>. O'Reilly Media.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