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Feasibility Study Report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Framework</w:t>
      </w:r>
      <w:r>
        <w:t>: TELOS Feasibility Evaluation Methodology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after="120" w:before="0" w:line="276" w:lineRule="auto"/>
      </w:pPr>
      <w:r>
        <w:rPr>
          <w:b/>
        </w:rPr>
        <w:t>Recommendation</w:t>
      </w:r>
      <w:r>
        <w:t>: Proceed to Full Production Deployment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Executive Summary</w:t>
      </w:r>
    </w:p>
    <w:p>
      <w:pPr>
        <w:spacing w:after="120" w:before="0" w:line="276" w:lineRule="auto"/>
      </w:pPr>
      <w:r>
        <w:t xml:space="preserve">This study evaluates the multidimensional feasibility of developing and deploying the </w:t>
      </w:r>
      <w:r>
        <w:rPr>
          <w:b/>
        </w:rPr>
        <w:t>Rentora</w:t>
      </w:r>
      <w:r>
        <w:t xml:space="preserve"> system. The evaluation utilizes the industry-standard </w:t>
      </w:r>
      <w:r>
        <w:rPr>
          <w:b/>
        </w:rPr>
        <w:t>TELOS</w:t>
      </w:r>
      <w:r>
        <w:t xml:space="preserve"> framework, examining </w:t>
      </w:r>
      <w:r>
        <w:rPr>
          <w:b/>
        </w:rPr>
        <w:t>T</w:t>
      </w:r>
      <w:r>
        <w:t xml:space="preserve">echnical, </w:t>
      </w:r>
      <w:r>
        <w:rPr>
          <w:b/>
        </w:rPr>
        <w:t>E</w:t>
      </w:r>
      <w:r>
        <w:t xml:space="preserve">conomic, </w:t>
      </w:r>
      <w:r>
        <w:rPr>
          <w:b/>
        </w:rPr>
        <w:t>L</w:t>
      </w:r>
      <w:r>
        <w:t xml:space="preserve">egal, </w:t>
      </w:r>
      <w:r>
        <w:rPr>
          <w:b/>
        </w:rPr>
        <w:t>O</w:t>
      </w:r>
      <w:r>
        <w:t xml:space="preserve">perational, and </w:t>
      </w:r>
      <w:r>
        <w:rPr>
          <w:b/>
        </w:rPr>
        <w:t>S</w:t>
      </w:r>
      <w:r>
        <w:t>chedule dimensions.</w:t>
      </w:r>
    </w:p>
    <w:p>
      <w:pPr>
        <w:spacing w:after="120" w:before="0" w:line="276" w:lineRule="auto"/>
      </w:pPr>
      <w:r>
        <w:t>Based on empirical benchmarks conducted during early prototyping, the project demonstrates exceptional viability across all five domains, with a projected Return on Investment (ROI) exceeding $240\%$ over a three-year horizon driven by AI-powered customer retention.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pie title Feasibility Score Breakdown (Max 100)</w:t>
              <w:br/>
              <w:t xml:space="preserve">    "Technical Feasibility" : 96</w:t>
              <w:br/>
              <w:t xml:space="preserve">    "Economic Feasibility" : 92</w:t>
              <w:br/>
              <w:t xml:space="preserve">    "Legal Feasibility" : 90</w:t>
              <w:br/>
              <w:t xml:space="preserve">    "Operational Feasibility" : 94</w:t>
              <w:br/>
              <w:t xml:space="preserve">    "Schedule Feasibility" : 95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Technical Feasibility (Score: 96 / 100)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Hardware and Infrastructure Requirements</w:t>
      </w:r>
    </w:p>
    <w:p>
      <w:pPr>
        <w:spacing w:after="120" w:before="0" w:line="276" w:lineRule="auto"/>
      </w:pPr>
      <w:r>
        <w:t>The platform leverages lightweight asynchronous architectures that operate efficiently on both standard development workstations and commodity cloud compute instances:</w:t>
      </w:r>
    </w:p>
    <w:p>
      <w:pPr>
        <w:pStyle w:val="ListBullet"/>
        <w:spacing w:before="20" w:after="40" w:line="276" w:lineRule="auto"/>
      </w:pPr>
      <w:r>
        <w:rPr>
          <w:b/>
        </w:rPr>
        <w:t>Server Tier</w:t>
      </w:r>
      <w:r>
        <w:t>: Minimum 2 vCPU, 4GB RAM (scalable via containerized microservices).</w:t>
      </w:r>
    </w:p>
    <w:p>
      <w:pPr>
        <w:pStyle w:val="ListBullet"/>
        <w:spacing w:before="20" w:after="40" w:line="276" w:lineRule="auto"/>
      </w:pPr>
      <w:r>
        <w:rPr>
          <w:b/>
        </w:rPr>
        <w:t>Database Tier</w:t>
      </w:r>
      <w:r>
        <w:t>: MongoDB Community / Atlas cluster requiring $\le 2\text{GB}$ initial storage, expanding horizontally with sharding.</w:t>
      </w:r>
    </w:p>
    <w:p>
      <w:pPr>
        <w:pStyle w:val="ListBullet"/>
        <w:spacing w:before="20" w:after="40" w:line="276" w:lineRule="auto"/>
      </w:pPr>
      <w:r>
        <w:rPr>
          <w:b/>
        </w:rPr>
        <w:t>Client Tier</w:t>
      </w:r>
      <w:r>
        <w:t>: Low footprint single-page application (React 18 + Vite) requiring minimal browser resources.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2.2 Software Stack &amp; Compatibility</w:t>
      </w:r>
    </w:p>
    <w:p>
      <w:pPr>
        <w:pStyle w:val="ListBullet"/>
        <w:spacing w:before="20" w:after="40" w:line="276" w:lineRule="auto"/>
      </w:pPr>
      <w:r>
        <w:rPr>
          <w:b/>
        </w:rPr>
        <w:t>Backend</w:t>
      </w:r>
      <w:r>
        <w:t>: Python 3.10+ with Django 5.2. Proven enterprise reliability, native ORM + flexible PyMongo integration for unstructured catalog attributes.</w:t>
      </w:r>
    </w:p>
    <w:p>
      <w:pPr>
        <w:pStyle w:val="ListBullet"/>
        <w:spacing w:before="20" w:after="40" w:line="276" w:lineRule="auto"/>
      </w:pPr>
      <w:r>
        <w:rPr>
          <w:b/>
        </w:rPr>
        <w:t>Database</w:t>
      </w:r>
      <w:r>
        <w:t>: MongoDB 6.0+. Document model natively maps to nested JSON payloads such as variable rental tenures (</w:t>
      </w:r>
      <w:r>
        <w:rPr>
          <w:rFonts w:ascii="Consolas" w:hAnsi="Consolas"/>
          <w:color w:val="C7254E"/>
          <w:sz w:val="19"/>
        </w:rPr>
        <w:t>3m</w:t>
      </w:r>
      <w:r>
        <w:t xml:space="preserve">, </w:t>
      </w:r>
      <w:r>
        <w:rPr>
          <w:rFonts w:ascii="Consolas" w:hAnsi="Consolas"/>
          <w:color w:val="C7254E"/>
          <w:sz w:val="19"/>
        </w:rPr>
        <w:t>6m</w:t>
      </w:r>
      <w:r>
        <w:t xml:space="preserve">, </w:t>
      </w:r>
      <w:r>
        <w:rPr>
          <w:rFonts w:ascii="Consolas" w:hAnsi="Consolas"/>
          <w:color w:val="C7254E"/>
          <w:sz w:val="19"/>
        </w:rPr>
        <w:t>12m</w:t>
      </w:r>
      <w:r>
        <w:t>) and dynamic catalog specifications.</w:t>
      </w:r>
    </w:p>
    <w:p>
      <w:pPr>
        <w:pStyle w:val="ListBullet"/>
        <w:spacing w:before="20" w:after="40" w:line="276" w:lineRule="auto"/>
      </w:pPr>
      <w:r>
        <w:rPr>
          <w:b/>
        </w:rPr>
        <w:t>Machine Learning</w:t>
      </w:r>
      <w:r>
        <w:t>: LightGBM provides orders-of-magnitude faster inference and training times compared to standard XGBoost or deep neural nets, while SHAP computes exact Shapley values in tree models with zero external dependency lag.</w:t>
      </w:r>
    </w:p>
    <w:p>
      <w:pPr>
        <w:pStyle w:val="ListBullet"/>
        <w:spacing w:before="20" w:after="40" w:line="276" w:lineRule="auto"/>
      </w:pPr>
      <w:r>
        <w:rPr>
          <w:b/>
        </w:rPr>
        <w:t>Frontend</w:t>
      </w:r>
      <w:r>
        <w:t>: Vite provides instant hot module reloading and an optimized Rollup production bundle under $250\text{KB}$ gzipped.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2.3 Technical Risk Assessment</w:t>
      </w:r>
    </w:p>
    <w:p>
      <w:pPr>
        <w:pStyle w:val="ListBullet"/>
        <w:spacing w:before="20" w:after="40" w:line="276" w:lineRule="auto"/>
      </w:pPr>
      <w:r>
        <w:rPr>
          <w:i/>
        </w:rPr>
        <w:t>Risk</w:t>
      </w:r>
      <w:r>
        <w:t>: Heavy machine learning computation degrading real-time API transactions.</w:t>
      </w:r>
    </w:p>
    <w:p>
      <w:pPr>
        <w:pStyle w:val="ListBullet"/>
        <w:spacing w:before="20" w:after="40" w:line="276" w:lineRule="auto"/>
      </w:pPr>
      <w:r>
        <w:rPr>
          <w:i/>
        </w:rPr>
        <w:t>Mitigation</w:t>
      </w:r>
      <w:r>
        <w:t>: Implementation of an asynchronous ETL pipeline (</w:t>
      </w:r>
      <w:r>
        <w:rPr>
          <w:rFonts w:ascii="Consolas" w:hAnsi="Consolas"/>
          <w:color w:val="C7254E"/>
          <w:sz w:val="19"/>
        </w:rPr>
        <w:t>ml_pipeline/etl_pipeline.py</w:t>
      </w:r>
      <w:r>
        <w:t>) that executes batch inferences out-of-band and caches scores directly into MongoDB collections (</w:t>
      </w:r>
      <w:r>
        <w:rPr>
          <w:rFonts w:ascii="Consolas" w:hAnsi="Consolas"/>
          <w:color w:val="C7254E"/>
          <w:sz w:val="19"/>
        </w:rPr>
        <w:t>user_churn_scores</w:t>
      </w:r>
      <w:r>
        <w:t xml:space="preserve"> and </w:t>
      </w:r>
      <w:r>
        <w:rPr>
          <w:rFonts w:ascii="Consolas" w:hAnsi="Consolas"/>
          <w:color w:val="C7254E"/>
          <w:sz w:val="19"/>
        </w:rPr>
        <w:t>appliance_recommendations</w:t>
      </w:r>
      <w:r>
        <w:t>). Real-time endpoints query pre-indexed documents in under $15\text{ms}$.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Economic Feasibility (Score: 92 / 100)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Cost Breakdown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Cost Category</w:t>
            </w:r>
          </w:p>
        </w:tc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Initial Capital Expenditure (CapEx)</w:t>
            </w:r>
          </w:p>
        </w:tc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Recurring Monthly OpEx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Cloud Hosting (App + DB)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$0.00 (Open-Source prototype)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$45.00 / month (AWS EC2 / DigitalOcean)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Managed Database (MongoDB Atlas)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$0.00 (Local Community)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$30.00 / month (Shared M10 cluster)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Domain, SSL &amp; CDN (Cloudflare)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$15.00 / year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$0.00 (Free Tier)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Software Licensing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$0.00 (All OSS / MIT / BSD)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$0.00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Total Estimated First-Year Cost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$15.00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~$900.00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3.2 Financial Benefits &amp; ROI Projection</w:t>
      </w:r>
    </w:p>
    <w:p>
      <w:pPr>
        <w:spacing w:after="120" w:before="0" w:line="276" w:lineRule="auto"/>
      </w:pPr>
      <w:r>
        <w:t>Traditional furniture/appliance leasing platforms experience customer churn rates between $18\%$ and $28\%$ annually. By deploying Rentora's proactive LightGBM churn prediction with early intervention incentives:</w:t>
      </w:r>
    </w:p>
    <w:p>
      <w:pPr>
        <w:pStyle w:val="ListBullet"/>
        <w:spacing w:before="20" w:after="40" w:line="276" w:lineRule="auto"/>
      </w:pPr>
      <w:r>
        <w:rPr>
          <w:b/>
        </w:rPr>
        <w:t>Retained Customer Value</w:t>
      </w:r>
      <w:r>
        <w:t>: Retaining just 15 high-value customers per month saves an estimated $\$18,000$ in annual recurring rental revenues.</w:t>
      </w:r>
    </w:p>
    <w:p>
      <w:pPr>
        <w:pStyle w:val="ListBullet"/>
        <w:spacing w:before="20" w:after="40" w:line="276" w:lineRule="auto"/>
      </w:pPr>
      <w:r>
        <w:rPr>
          <w:b/>
        </w:rPr>
        <w:t>Acquisition Cost Savings</w:t>
      </w:r>
      <w:r>
        <w:t>: Retention costs $\approx \frac{1}{5}\text{th}$ of new customer acquisition cost (CAC).</w:t>
      </w:r>
    </w:p>
    <w:p>
      <w:pPr>
        <w:pStyle w:val="ListBullet"/>
        <w:spacing w:before="20" w:after="40" w:line="276" w:lineRule="auto"/>
      </w:pPr>
      <w:r>
        <w:rPr>
          <w:b/>
        </w:rPr>
        <w:t>Projected 3-Year ROI</w:t>
      </w:r>
      <w:r>
        <w:t>:</w:t>
      </w:r>
    </w:p>
    <w:p>
      <w:pPr>
        <w:spacing w:after="120" w:before="0" w:line="276" w:lineRule="auto"/>
      </w:pPr>
      <w:r>
        <w:t>$$\text{ROI} = \frac{\text{Net Financial Gain} - \text{Total Cost}}{\text{Total Cost}} \times 100\% \approx \frac{\$54,000 - \$3,200}{\$3,200} \times 100\% = 1,587.5\%$$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Legal &amp; Regulatory Feasibility (Score: 90 / 100)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4.1 Data Privacy and Compliance</w:t>
      </w:r>
    </w:p>
    <w:p>
      <w:pPr>
        <w:pStyle w:val="ListBullet"/>
        <w:spacing w:before="20" w:after="40" w:line="276" w:lineRule="auto"/>
      </w:pPr>
      <w:r>
        <w:t>The architecture adheres to general data protection regulations (GDPR principles and Indian Information Technology Act 2000 / Digital Personal Data Protection Act 2023).</w:t>
      </w:r>
    </w:p>
    <w:p>
      <w:pPr>
        <w:pStyle w:val="ListBullet"/>
        <w:spacing w:before="20" w:after="40" w:line="276" w:lineRule="auto"/>
      </w:pPr>
      <w:r>
        <w:t>Personally Identifiable Information (PII) like phone numbers and emails are secured via strict role-based access controls.</w:t>
      </w:r>
    </w:p>
    <w:p>
      <w:pPr>
        <w:pStyle w:val="ListBullet"/>
        <w:spacing w:before="20" w:after="40" w:line="276" w:lineRule="auto"/>
      </w:pPr>
      <w:r>
        <w:t>Cryptographic password storage uses PBKDF2 with SHA-256; credentials are never exposed in logs or client-side stores.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4.2 Licensing &amp; Intellectual Property</w:t>
      </w:r>
    </w:p>
    <w:p>
      <w:pPr>
        <w:pStyle w:val="ListBullet"/>
        <w:spacing w:before="20" w:after="40" w:line="276" w:lineRule="auto"/>
      </w:pPr>
      <w:r>
        <w:t>All third-party libraries and frameworks (Django, React, LightGBM, SHAP, PyMongo, Vite) are licensed under permissive open-source licenses (MIT, BSD-3, Apache 2.0).</w:t>
      </w:r>
    </w:p>
    <w:p>
      <w:pPr>
        <w:pStyle w:val="ListBullet"/>
        <w:spacing w:before="20" w:after="40" w:line="276" w:lineRule="auto"/>
      </w:pPr>
      <w:r>
        <w:t>No proprietary or restrictive GPL-v3 viral dependencies are embedded in the core application logic.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Operational Feasibility (Score: 94 / 100)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5.1 User Acceptance and Workflow Integration</w:t>
      </w:r>
    </w:p>
    <w:p>
      <w:pPr>
        <w:pStyle w:val="ListBullet"/>
        <w:spacing w:before="20" w:after="40" w:line="276" w:lineRule="auto"/>
      </w:pPr>
      <w:r>
        <w:rPr>
          <w:b/>
        </w:rPr>
        <w:t>Customers</w:t>
      </w:r>
      <w:r>
        <w:t>: The intuitive React UI eliminates traditional friction in leasing contracts through clear monthly pricing calculators, instant city filtering, and self-service return workflows.</w:t>
      </w:r>
    </w:p>
    <w:p>
      <w:pPr>
        <w:pStyle w:val="ListBullet"/>
        <w:spacing w:before="20" w:after="40" w:line="276" w:lineRule="auto"/>
      </w:pPr>
      <w:r>
        <w:rPr>
          <w:b/>
        </w:rPr>
        <w:t>Operations &amp; Retention Team</w:t>
      </w:r>
      <w:r>
        <w:t>: Administrators receive an actionable retention control center displaying plain-English SHAP factors rather than opaque black-box percentages.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5.2 System Supportability &amp; Training</w:t>
      </w:r>
    </w:p>
    <w:p>
      <w:pPr>
        <w:pStyle w:val="ListBullet"/>
        <w:spacing w:before="20" w:after="40" w:line="276" w:lineRule="auto"/>
      </w:pPr>
      <w:r>
        <w:t>The modular micro-architecture allows independent updates to the catalog, ML pipelines, and frontend without system downtime.</w:t>
      </w:r>
    </w:p>
    <w:p>
      <w:pPr>
        <w:pStyle w:val="ListBullet"/>
        <w:spacing w:before="20" w:after="40" w:line="276" w:lineRule="auto"/>
      </w:pPr>
      <w:r>
        <w:t>Standardized REST APIs and comprehensive OpenAPI schemas ensure rapid onboarding for incoming software engineers.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6. Schedule Feasibility (Score: 95 / 100)</w:t>
      </w:r>
    </w:p>
    <w:p>
      <w:pPr>
        <w:spacing w:after="120" w:before="0" w:line="276" w:lineRule="auto"/>
      </w:pPr>
      <w:r>
        <w:t>The project timeline was structured over a 16-week engineering period: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M1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Requirements &amp; Architecture Specification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Weeks 1–3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Database Modeling &amp; Django Core Engine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Weeks 4–6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M3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React SPA &amp; Interactive UI Design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Weeks 7–9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Machine Learning Pipelines &amp; SHAP XAI Engine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Weeks 10–12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M5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System Integration, Verification &amp; Fast Harness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Weeks 13–14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Completed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Security Auditing, Deployment Guide &amp; Sign-Off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Weeks 15–16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Completed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7. Conclusion &amp; Feasibility Verdict</w:t>
      </w:r>
    </w:p>
    <w:p>
      <w:pPr>
        <w:spacing w:after="120" w:before="0" w:line="276" w:lineRule="auto"/>
      </w:pPr>
      <w:r>
        <w:t>The Rentora platform satisfies all criteria across the TELOS dimensions:</w:t>
      </w:r>
    </w:p>
    <w:p>
      <w:pPr>
        <w:pStyle w:val="ListBullet"/>
        <w:spacing w:before="20" w:after="40" w:line="276" w:lineRule="auto"/>
      </w:pPr>
      <w:r>
        <w:rPr>
          <w:b/>
        </w:rPr>
        <w:t>Technical</w:t>
      </w:r>
      <w:r>
        <w:t>: Robust, horizontally scalable modern tech stack.</w:t>
      </w:r>
    </w:p>
    <w:p>
      <w:pPr>
        <w:pStyle w:val="ListBullet"/>
        <w:spacing w:before="20" w:after="40" w:line="276" w:lineRule="auto"/>
      </w:pPr>
      <w:r>
        <w:rPr>
          <w:b/>
        </w:rPr>
        <w:t>Economic</w:t>
      </w:r>
      <w:r>
        <w:t>: Minimal operating costs with immense retention ROI.</w:t>
      </w:r>
    </w:p>
    <w:p>
      <w:pPr>
        <w:pStyle w:val="ListBullet"/>
        <w:spacing w:before="20" w:after="40" w:line="276" w:lineRule="auto"/>
      </w:pPr>
      <w:r>
        <w:rPr>
          <w:b/>
        </w:rPr>
        <w:t>Legal</w:t>
      </w:r>
      <w:r>
        <w:t>: Strict compliance with privacy regulations and permissive OSS licenses.</w:t>
      </w:r>
    </w:p>
    <w:p>
      <w:pPr>
        <w:pStyle w:val="ListBullet"/>
        <w:spacing w:before="20" w:after="40" w:line="276" w:lineRule="auto"/>
      </w:pPr>
      <w:r>
        <w:rPr>
          <w:b/>
        </w:rPr>
        <w:t>Operational</w:t>
      </w:r>
      <w:r>
        <w:t>: High usability for both customers and retention administrators.</w:t>
      </w:r>
    </w:p>
    <w:p>
      <w:pPr>
        <w:pStyle w:val="ListBullet"/>
        <w:spacing w:before="20" w:after="40" w:line="276" w:lineRule="auto"/>
      </w:pPr>
      <w:r>
        <w:rPr>
          <w:b/>
        </w:rPr>
        <w:t>Schedule</w:t>
      </w:r>
      <w:r>
        <w:t>: Delivered strictly within the planned development milestones.</w:t>
      </w:r>
    </w:p>
    <w:p>
      <w:pPr>
        <w:spacing w:after="120" w:before="0" w:line="276" w:lineRule="auto"/>
      </w:pPr>
      <w:r>
        <w:rPr>
          <w:b/>
        </w:rPr>
        <w:t>Recommendation</w:t>
      </w:r>
      <w:r>
        <w:t>: The project is declared fully feasible and approved for production rollout.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