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Literature Review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Domain: Intelligent Subscription Commerce, Customer Churn Modeling, and Explainable AI</w:t>
      </w:r>
    </w:p>
    <w:p>
      <w:pPr>
        <w:spacing w:after="120" w:before="0" w:line="276" w:lineRule="auto"/>
      </w:pPr>
      <w:r>
        <w:rPr>
          <w:b/>
        </w:rPr>
        <w:t>Project</w:t>
      </w:r>
      <w:r>
        <w:t>: Rentora – Smart Appliance Rental Platform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Introduction</w:t>
      </w:r>
    </w:p>
    <w:p>
      <w:pPr>
        <w:spacing w:after="120" w:before="0" w:line="276" w:lineRule="auto"/>
      </w:pPr>
      <w:r>
        <w:t>The subscription and asset-as-a-service (AaaS) economy has witnessed exponential growth over the past decade. Modern consumers, particularly urban millenials and Gen-Z demographics, exhibit a pronounced preference for "access over ownership" [1]. In home appliances and electronics, this shift is characterized by flexible tenure leasing models.</w:t>
      </w:r>
    </w:p>
    <w:p>
      <w:pPr>
        <w:spacing w:after="120" w:before="0" w:line="276" w:lineRule="auto"/>
      </w:pPr>
      <w:r>
        <w:t xml:space="preserve">However, sustaining profitability in appliance rental ecosystems is intrinsically tied to </w:t>
      </w:r>
      <w:r>
        <w:rPr>
          <w:b/>
        </w:rPr>
        <w:t>customer lifetime value (CLV)</w:t>
      </w:r>
      <w:r>
        <w:t xml:space="preserve"> and </w:t>
      </w:r>
      <w:r>
        <w:rPr>
          <w:b/>
        </w:rPr>
        <w:t>customer churn mitigation</w:t>
      </w:r>
      <w:r>
        <w:t>. This literature review critically examines existing research across four intersecting domains:</w:t>
      </w:r>
    </w:p>
    <w:p>
      <w:pPr>
        <w:pStyle w:val="ListNumber"/>
        <w:spacing w:before="20" w:after="40" w:line="276" w:lineRule="auto"/>
      </w:pPr>
      <w:r>
        <w:t>Architectural paradigms in e-commerce leasing platforms.</w:t>
      </w:r>
    </w:p>
    <w:p>
      <w:pPr>
        <w:pStyle w:val="ListNumber"/>
        <w:spacing w:before="20" w:after="40" w:line="276" w:lineRule="auto"/>
      </w:pPr>
      <w:r>
        <w:t>Machine learning algorithms for subscription churn prediction.</w:t>
      </w:r>
    </w:p>
    <w:p>
      <w:pPr>
        <w:pStyle w:val="ListNumber"/>
        <w:spacing w:before="20" w:after="40" w:line="276" w:lineRule="auto"/>
      </w:pPr>
      <w:r>
        <w:t>Explainable Artificial Intelligence (XAI) for operational retention strategies.</w:t>
      </w:r>
    </w:p>
    <w:p>
      <w:pPr>
        <w:pStyle w:val="ListNumber"/>
        <w:spacing w:before="20" w:after="40" w:line="276" w:lineRule="auto"/>
      </w:pPr>
      <w:r>
        <w:t>Content-based and collaborative recommendation systems for catalog discovery.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E-Commerce Rental Platforms: State of the Art and Limitations</w:t>
      </w:r>
    </w:p>
    <w:p>
      <w:pPr>
        <w:spacing w:after="120" w:before="0" w:line="276" w:lineRule="auto"/>
      </w:pPr>
      <w:r>
        <w:t>Early literature on electronic commerce platforms primarily addressed one-time purchase lifecycles (Amazon, Flipkart) [2]. When applied to furniture and appliance leasing services, traditional e-commerce frameworks exhibit structural deficiencies:</w:t>
      </w:r>
    </w:p>
    <w:p>
      <w:pPr>
        <w:pStyle w:val="ListBullet"/>
        <w:spacing w:before="20" w:after="40" w:line="276" w:lineRule="auto"/>
      </w:pPr>
      <w:r>
        <w:rPr>
          <w:b/>
        </w:rPr>
        <w:t>Contract Duration Dynamics</w:t>
      </w:r>
      <w:r>
        <w:t>: Unlike one-off purchases, rental models require temporal state tracking (active tenures, periodic billing cycles, return inspections, refurbishment, and inventory restoration) [3].</w:t>
      </w:r>
    </w:p>
    <w:p>
      <w:pPr>
        <w:pStyle w:val="ListBullet"/>
        <w:spacing w:before="20" w:after="40" w:line="276" w:lineRule="auto"/>
      </w:pPr>
      <w:r>
        <w:rPr>
          <w:b/>
        </w:rPr>
        <w:t>Schema Rigidity in Relational Databases</w:t>
      </w:r>
      <w:r>
        <w:t>: Traditional relational database management systems (RDBMS) struggle to represent multi-tiered tenure pricing (e.g., $3, 6, 12$ month discounts) and dynamic city-specific logistics without incurring expensive cross-table joins that degrade read performance under peak load [4].</w:t>
      </w:r>
    </w:p>
    <w:p>
      <w:pPr>
        <w:spacing w:after="120" w:before="0" w:line="276" w:lineRule="auto"/>
      </w:pPr>
      <w:r>
        <w:t xml:space="preserve">Recent industry research indicates that adopting </w:t>
      </w:r>
      <w:r>
        <w:rPr>
          <w:b/>
        </w:rPr>
        <w:t>NoSQL document-oriented architectures</w:t>
      </w:r>
      <w:r>
        <w:t xml:space="preserve"> (such as MongoDB) facilitates high write-throughput and hierarchical data structures, allowing appliances, tenure tiers, and warehouse availability to be encapsulated in cohesive documents [5].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Customer Churn Prediction Algorithms</w:t>
      </w:r>
    </w:p>
    <w:p>
      <w:pPr>
        <w:spacing w:after="120" w:before="0" w:line="276" w:lineRule="auto"/>
      </w:pPr>
      <w:r>
        <w:t>Customer churn is defined as the propensity of a customer to terminate an active contract or discontinue recurring services within a designated time window $T$. In predictive analytics, churn modeling has progressed through three major generational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subgraph Gen1 [Generation 1: Statistical Models]</w:t>
              <w:br/>
              <w:t xml:space="preserve">        LR[Logistic Regression]</w:t>
              <w:br/>
              <w:t xml:space="preserve">        DA[Discriminant Analysis]</w:t>
              <w:br/>
              <w:t xml:space="preserve">    end</w:t>
              <w:br/>
              <w:t xml:space="preserve">    subgraph Gen2 [Generation 2: Classical Machine Learning]</w:t>
              <w:br/>
              <w:t xml:space="preserve">        SVM[Support Vector Machines]</w:t>
              <w:br/>
              <w:t xml:space="preserve">        RF[Random Forests]</w:t>
              <w:br/>
              <w:t xml:space="preserve">    end</w:t>
              <w:br/>
              <w:t xml:space="preserve">    subgraph Gen3 [Generation 3: Gradient Boosted Trees]</w:t>
              <w:br/>
              <w:t xml:space="preserve">        XGB[XGBoost]</w:t>
              <w:br/>
              <w:t xml:space="preserve">        LGBM[LightGBM]</w:t>
              <w:br/>
              <w:t xml:space="preserve">        CB[CatBoost]</w:t>
              <w:br/>
              <w:t xml:space="preserve">    end</w:t>
              <w:br/>
              <w:t xml:space="preserve">    Gen1 --&gt; Gen2 --&gt; Gen3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3.1 Statistical and Classical Classifiers</w:t>
      </w:r>
    </w:p>
    <w:p>
      <w:pPr>
        <w:spacing w:after="120" w:before="0" w:line="276" w:lineRule="auto"/>
      </w:pPr>
      <w:r>
        <w:t>Early studies by Mozer et al. [6] and Coussement &amp; Van den Poel [7] utilized Logistic Regression and Support Vector Machines (SVM). While providing high statistical interpretability, these techniques suffer from high bias when modeling complex, non-linear interactions among behavioral variables such as late payment counts, platform activity drop-offs, and tenure lengths.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3.2 Gradient Boosting and Ensemble Methods</w:t>
      </w:r>
    </w:p>
    <w:p>
      <w:pPr>
        <w:spacing w:after="120" w:before="0" w:line="276" w:lineRule="auto"/>
      </w:pPr>
      <w:r>
        <w:t xml:space="preserve">The advent of Gradient Boosted Decision Trees (GBDT) revolutionized tabular churn prediction. Chen &amp; Guestrin introduced </w:t>
      </w:r>
      <w:r>
        <w:rPr>
          <w:b/>
        </w:rPr>
        <w:t>XGBoost</w:t>
      </w:r>
      <w:r>
        <w:t xml:space="preserve"> [8], which demonstrated superior classification accuracy over Random Forests by incorporating second-order Taylor approximations and regularized loss functions.</w:t>
      </w:r>
    </w:p>
    <w:p>
      <w:pPr>
        <w:spacing w:after="120" w:before="0" w:line="276" w:lineRule="auto"/>
      </w:pPr>
      <w:r>
        <w:t xml:space="preserve">In 2017, Ke et al. introduced </w:t>
      </w:r>
      <w:r>
        <w:rPr>
          <w:b/>
        </w:rPr>
        <w:t>LightGBM (Light Gradient Boosting Machine)</w:t>
      </w:r>
      <w:r>
        <w:t xml:space="preserve"> [9], which introduced two novel innovations:</w:t>
      </w:r>
    </w:p>
    <w:p>
      <w:pPr>
        <w:pStyle w:val="ListBullet"/>
        <w:spacing w:before="20" w:after="40" w:line="276" w:lineRule="auto"/>
      </w:pPr>
      <w:r>
        <w:rPr>
          <w:b/>
        </w:rPr>
        <w:t>Gradient-based One-Side Sampling (GOSS)</w:t>
      </w:r>
      <w:r>
        <w:t>: Retains instances with large gradients while randomly sampling instances with small gradients, drastically reducing computation without sacrificing gradient estimation accuracy.</w:t>
      </w:r>
    </w:p>
    <w:p>
      <w:pPr>
        <w:pStyle w:val="ListBullet"/>
        <w:spacing w:before="20" w:after="40" w:line="276" w:lineRule="auto"/>
      </w:pPr>
      <w:r>
        <w:rPr>
          <w:b/>
        </w:rPr>
        <w:t>Exclusive Feature Bundling (EFB)</w:t>
      </w:r>
      <w:r>
        <w:t>: Bundles mutually exclusive sparse features to reduce dimensionality.</w:t>
      </w:r>
    </w:p>
    <w:p>
      <w:pPr>
        <w:spacing w:after="120" w:before="0" w:line="276" w:lineRule="auto"/>
      </w:pPr>
      <w:r>
        <w:t xml:space="preserve">Comparative empirical studies by Bounsaythip &amp; Rinta-Runsala [10] and Ahmad et al. [11] demonstrate that LightGBM matches or exceeds XGBoost's area under the ROC curve (ROC-AUC) while achieving a </w:t>
      </w:r>
      <w:r>
        <w:rPr>
          <w:b/>
        </w:rPr>
        <w:t>$5\times$ to $10\times$ acceleration in training speed</w:t>
      </w:r>
      <w:r>
        <w:t>, making it the optimal choice for real-time and near-line e-commerce retention pipelines.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Explainable Artificial Intelligence (XAI) in Retention Operations</w:t>
      </w:r>
    </w:p>
    <w:p>
      <w:pPr>
        <w:spacing w:after="120" w:before="0" w:line="276" w:lineRule="auto"/>
      </w:pPr>
      <w:r>
        <w:t>While ensemble GBDT models deliver state-of-the-art predictive accuracy, their internal mechanisms are inherently opaque—frequently referred to as "black-box" systems. In high-stakes business operations, presenting a platform administrator with a raw churn probability (e.g., $P(\text{churn}) = 0.87$) provides minimal utility unless the underlying drivers are decipherable [12].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LIME vs. SHAP</w:t>
      </w:r>
    </w:p>
    <w:p>
      <w:pPr>
        <w:spacing w:after="120" w:before="0" w:line="276" w:lineRule="auto"/>
      </w:pPr>
      <w:r>
        <w:t>Two prominent frameworks dominate local post-hoc model interpretability:</w:t>
      </w:r>
    </w:p>
    <w:p>
      <w:pPr>
        <w:pStyle w:val="ListNumber"/>
        <w:spacing w:before="20" w:after="40" w:line="276" w:lineRule="auto"/>
      </w:pPr>
      <w:r>
        <w:rPr>
          <w:b/>
        </w:rPr>
        <w:t>LIME (Local Interpretable Model-agnostic Explanations)</w:t>
      </w:r>
      <w:r>
        <w:t xml:space="preserve"> [13]: Builds local surrogate linear models around individual predictions. However, LIME explanations frequently suffer from sampling instability and violate additivity properties.</w:t>
      </w:r>
    </w:p>
    <w:p>
      <w:pPr>
        <w:pStyle w:val="ListNumber"/>
        <w:spacing w:before="20" w:after="40" w:line="276" w:lineRule="auto"/>
      </w:pPr>
      <w:r>
        <w:rPr>
          <w:b/>
        </w:rPr>
        <w:t>SHAP (SHapley Additive exPlanations)</w:t>
      </w:r>
      <w:r>
        <w:t xml:space="preserve"> [14]: Grounded in cooperative game theory (Shapley values). Lundberg et al. [15] introduced </w:t>
      </w:r>
      <w:r>
        <w:rPr>
          <w:b/>
        </w:rPr>
        <w:t>TreeSHAP</w:t>
      </w:r>
      <w:r>
        <w:t>, an optimized algorithm with polynomial time complexity $O(TLD^2)$ (where $T$ is tree count, $L$ is max leaves, and $D$ is max depth) specifically designed for tree ensemble models like LightGBM.</w:t>
      </w:r>
    </w:p>
    <w:p>
      <w:pPr>
        <w:spacing w:after="120" w:before="0" w:line="276" w:lineRule="auto"/>
      </w:pPr>
      <w:r>
        <w:t>TreeSHAP ensures three fundamental axiomatic properties:</w:t>
      </w:r>
    </w:p>
    <w:p>
      <w:pPr>
        <w:pStyle w:val="ListBullet"/>
        <w:spacing w:before="20" w:after="40" w:line="276" w:lineRule="auto"/>
      </w:pPr>
      <w:r>
        <w:rPr>
          <w:b/>
        </w:rPr>
        <w:t>Local Accuracy</w:t>
      </w:r>
      <w:r>
        <w:t>: The sum of feature attributions equals the difference between model output and expected value:</w:t>
      </w:r>
    </w:p>
    <w:p>
      <w:pPr>
        <w:spacing w:after="120" w:before="0" w:line="276" w:lineRule="auto"/>
      </w:pPr>
      <w:r>
        <w:t>$$f(x) = \phi_0 + \sum_{i=1}^{M} \phi_i(x)$$</w:t>
      </w:r>
    </w:p>
    <w:p>
      <w:pPr>
        <w:pStyle w:val="ListBullet"/>
        <w:spacing w:before="20" w:after="40" w:line="276" w:lineRule="auto"/>
      </w:pPr>
      <w:r>
        <w:rPr>
          <w:b/>
        </w:rPr>
        <w:t>Missingness</w:t>
      </w:r>
      <w:r>
        <w:t>: Missing features receive zero attribution.</w:t>
      </w:r>
    </w:p>
    <w:p>
      <w:pPr>
        <w:pStyle w:val="ListBullet"/>
        <w:spacing w:before="20" w:after="40" w:line="276" w:lineRule="auto"/>
      </w:pPr>
      <w:r>
        <w:rPr>
          <w:b/>
        </w:rPr>
        <w:t>Consistency</w:t>
      </w:r>
      <w:r>
        <w:t>: If a model change increases or leaves unchanged the marginal contribution of a feature, that feature’s Shapley value does not decrease.</w:t>
      </w:r>
    </w:p>
    <w:p>
      <w:pPr>
        <w:spacing w:after="120" w:before="0" w:line="276" w:lineRule="auto"/>
      </w:pPr>
      <w:r>
        <w:t xml:space="preserve">Rentora directly harnesses TreeSHAP to transform numeric feature contributions into plain-language operational reason codes (e.g., </w:t>
      </w:r>
      <w:r>
        <w:rPr>
          <w:i/>
        </w:rPr>
        <w:t>"3 late payments in last 6 months"</w:t>
      </w:r>
      <w:r>
        <w:t xml:space="preserve">, </w:t>
      </w:r>
      <w:r>
        <w:rPr>
          <w:i/>
        </w:rPr>
        <w:t>"Over 30 days of inactivity"</w:t>
      </w:r>
      <w:r>
        <w:t>), empowering customer retention agents to deploy targeted promotions.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Recommendation System Paradigms in Equipment Leasing</w:t>
      </w:r>
    </w:p>
    <w:p>
      <w:pPr>
        <w:spacing w:after="120" w:before="0" w:line="276" w:lineRule="auto"/>
      </w:pPr>
      <w:r>
        <w:t>Modern recommender systems rely on two foundational methodologies: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5.1 Collaborative Filtering (CF)</w:t>
      </w:r>
    </w:p>
    <w:p>
      <w:pPr>
        <w:spacing w:after="120" w:before="0" w:line="276" w:lineRule="auto"/>
      </w:pPr>
      <w:r>
        <w:t xml:space="preserve">Collaborative filtering constructs user-item interaction matrices to compute similarities based on collective behavior [16]. While effective in dense domains (e-books, movie streaming), CF struggles with the </w:t>
      </w:r>
      <w:r>
        <w:rPr>
          <w:b/>
        </w:rPr>
        <w:t>cold-start problem</w:t>
      </w:r>
      <w:r>
        <w:t xml:space="preserve"> in durable asset leasing, where transaction frequency per customer is sparse compared to streaming or grocery purchases [17].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5.2 Content-Based Filtering &amp; Hybrid Approaches</w:t>
      </w:r>
    </w:p>
    <w:p>
      <w:pPr>
        <w:spacing w:after="120" w:before="0" w:line="276" w:lineRule="auto"/>
      </w:pPr>
      <w:r>
        <w:t xml:space="preserve">Content-based filtering mitigates cold-start vulnerabilities by representing items through their intrinsic textual metadata, category attributes, and technical specifications [18]. By generating </w:t>
      </w:r>
      <w:r>
        <w:rPr>
          <w:b/>
        </w:rPr>
        <w:t>Term Frequency-Inverse Document Frequency (TF-IDF)</w:t>
      </w:r>
      <w:r>
        <w:t xml:space="preserve"> vector spaces:</w:t>
      </w:r>
    </w:p>
    <w:p>
      <w:pPr>
        <w:spacing w:after="120" w:before="0" w:line="276" w:lineRule="auto"/>
      </w:pPr>
      <w:r>
        <w:t>$$\text{TF-IDF}(t, d, D) = \text{TF}(t, d) \times \log\left(\frac{1 + |D|}{1 + |\{d \in D : t \in d\}|}\right) + 1$$</w:t>
      </w:r>
    </w:p>
    <w:p>
      <w:pPr>
        <w:spacing w:after="120" w:before="0" w:line="276" w:lineRule="auto"/>
      </w:pPr>
      <w:r>
        <w:t xml:space="preserve">and calculating </w:t>
      </w:r>
      <w:r>
        <w:rPr>
          <w:b/>
        </w:rPr>
        <w:t>Cosine Similarity</w:t>
      </w:r>
      <w:r>
        <w:t>:</w:t>
      </w:r>
    </w:p>
    <w:p>
      <w:pPr>
        <w:spacing w:after="120" w:before="0" w:line="276" w:lineRule="auto"/>
      </w:pPr>
      <w:r>
        <w:t>$$\text{Cosine Similarity}(\vec{u}, \vec{v}) = \frac{\vec{u} \cdot \vec{v}}{\|\vec{u}\|_2 \|\vec{v}\|_2}$$</w:t>
      </w:r>
    </w:p>
    <w:p>
      <w:pPr>
        <w:spacing w:after="120" w:before="0" w:line="276" w:lineRule="auto"/>
      </w:pPr>
      <w:r>
        <w:t>the engine produces accurate cross-category recommendations (e.g., suggesting a microwave and induction cooktop to a renter leasing a compact refrigerator) without requiring millions of historical transactions.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6. Synthesis and Research Gap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Existing Industry Platforms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Academic Literature Baseline</w:t>
            </w:r>
          </w:p>
        </w:tc>
        <w:tc>
          <w:tcPr>
            <w:tcW w:type="dxa" w:w="234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Rentora Proposed Framework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Data Persistence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Monolithic RDBMS with complex joins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Hybrid Polyglot persistence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Unified MongoDB NoSQL collection architecture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Churn Prediction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Infrequent batch Logistic Regression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Standalone offline GBDT benchmarks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Decoupled LightGBM ETL with sub-second MongoDB lookup</w:t>
            </w:r>
          </w:p>
        </w:tc>
      </w:tr>
      <w:tr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Model Interpretability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Black-box scores or manual heuristic rules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Theoretical SHAP analysis on static datasets</w:t>
            </w:r>
          </w:p>
        </w:tc>
        <w:tc>
          <w:tcPr>
            <w:tcW w:type="dxa" w:w="23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Automated pipeline generating real-time operational SHAP reason codes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Catalog Discovery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Rule-based "Featured Items"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Collaborative Matrix Factorization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Content-Aware TF-IDF + Cosine Similarity cross-sell engine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The Research Gap</w:t>
      </w:r>
    </w:p>
    <w:p>
      <w:pPr>
        <w:spacing w:after="120" w:before="0" w:line="276" w:lineRule="auto"/>
      </w:pPr>
      <w:r>
        <w:t xml:space="preserve">Existing literature extensively evaluates churn models on telecommunications and banking datasets (e.g. Kaggle Telco Churn), but leaves a prominent void regarding </w:t>
      </w:r>
      <w:r>
        <w:rPr>
          <w:b/>
        </w:rPr>
        <w:t>durable appliance rental ecosystems</w:t>
      </w:r>
      <w:r>
        <w:t xml:space="preserve"> where customer engagement patterns, multi-month contract tenures, and physical return logistics drastically alter feature dynamics. Rentora directly addresses this void by unifying explainable GBDT modeling, collaborative text-vectorized item discovery, and a reactive NoSQL operational architecture.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7. References</w:t>
      </w:r>
    </w:p>
    <w:p>
      <w:pPr>
        <w:pStyle w:val="ListNumber"/>
        <w:spacing w:before="20" w:after="40" w:line="276" w:lineRule="auto"/>
      </w:pPr>
      <w:r>
        <w:t xml:space="preserve">Bardhi, F., &amp; Eckhardt, G. M. (2012). "Access-Based Consumption: The Nature of Power and Wealth in the Sharing Economy." </w:t>
      </w:r>
      <w:r>
        <w:rPr>
          <w:i/>
        </w:rPr>
        <w:t>Journal of Consumer Research</w:t>
      </w:r>
      <w:r>
        <w:t>, 39(4), 881-898.</w:t>
      </w:r>
    </w:p>
    <w:p>
      <w:pPr>
        <w:pStyle w:val="ListNumber"/>
        <w:spacing w:before="20" w:after="40" w:line="276" w:lineRule="auto"/>
      </w:pPr>
      <w:r>
        <w:t xml:space="preserve">Laudon, K. C., &amp; Traver, C. G. (2020). </w:t>
      </w:r>
      <w:r>
        <w:rPr>
          <w:i/>
        </w:rPr>
        <w:t>E-Commerce: Business, Technology, Society</w:t>
      </w:r>
      <w:r>
        <w:t>. Pearson.</w:t>
      </w:r>
    </w:p>
    <w:p>
      <w:pPr>
        <w:pStyle w:val="ListNumber"/>
        <w:spacing w:before="20" w:after="40" w:line="276" w:lineRule="auto"/>
      </w:pPr>
      <w:r>
        <w:t xml:space="preserve">Belk, R. (2014). "You are what you can access: Sharing and collaborative consumption online." </w:t>
      </w:r>
      <w:r>
        <w:rPr>
          <w:i/>
        </w:rPr>
        <w:t>Journal of Business Research</w:t>
      </w:r>
      <w:r>
        <w:t>, 67(8), 1595-1600.</w:t>
      </w:r>
    </w:p>
    <w:p>
      <w:pPr>
        <w:pStyle w:val="ListNumber"/>
        <w:spacing w:before="20" w:after="40" w:line="276" w:lineRule="auto"/>
      </w:pPr>
      <w:r>
        <w:t xml:space="preserve">Cattell, R. (2011). "Scalable SQL and NoSQL data stores." </w:t>
      </w:r>
      <w:r>
        <w:rPr>
          <w:i/>
        </w:rPr>
        <w:t>ACM SIGMOD Record</w:t>
      </w:r>
      <w:r>
        <w:t>, 39(4), 12-27.</w:t>
      </w:r>
    </w:p>
    <w:p>
      <w:pPr>
        <w:pStyle w:val="ListNumber"/>
        <w:spacing w:before="20" w:after="40" w:line="276" w:lineRule="auto"/>
      </w:pPr>
      <w:r>
        <w:t xml:space="preserve">Chodorow, K. (2013). </w:t>
      </w:r>
      <w:r>
        <w:rPr>
          <w:i/>
        </w:rPr>
        <w:t>MongoDB: The Definitive Guide</w:t>
      </w:r>
      <w:r>
        <w:t>. O'Reilly Media, Inc.</w:t>
      </w:r>
    </w:p>
    <w:p>
      <w:pPr>
        <w:pStyle w:val="ListNumber"/>
        <w:spacing w:before="20" w:after="40" w:line="276" w:lineRule="auto"/>
      </w:pPr>
      <w:r>
        <w:t xml:space="preserve">Mozer, M. C., et al. (2000). "Predicting subscriber churn in a wireless telephone company." </w:t>
      </w:r>
      <w:r>
        <w:rPr>
          <w:i/>
        </w:rPr>
        <w:t>Advances in Neural Information Processing Systems (NeurIPS)</w:t>
      </w:r>
      <w:r>
        <w:t>, 930-936.</w:t>
      </w:r>
    </w:p>
    <w:p>
      <w:pPr>
        <w:pStyle w:val="ListNumber"/>
        <w:spacing w:before="20" w:after="40" w:line="276" w:lineRule="auto"/>
      </w:pPr>
      <w:r>
        <w:t xml:space="preserve">Coussement, K., &amp; Van den Poel, D. (2008). "Churn prediction in subscription services: An application of support vector machines." </w:t>
      </w:r>
      <w:r>
        <w:rPr>
          <w:i/>
        </w:rPr>
        <w:t>Decision Support Systems</w:t>
      </w:r>
      <w:r>
        <w:t>, 44(2), 513-527.</w:t>
      </w:r>
    </w:p>
    <w:p>
      <w:pPr>
        <w:pStyle w:val="ListNumber"/>
        <w:spacing w:before="20" w:after="40" w:line="276" w:lineRule="auto"/>
      </w:pPr>
      <w:r>
        <w:t xml:space="preserve">Chen, T., &amp; Guestrin, C. (2016). "XGBoost: A scalable tree boosting system." </w:t>
      </w:r>
      <w:r>
        <w:rPr>
          <w:i/>
        </w:rPr>
        <w:t>ACM SIGKDD International Conference on Knowledge Discovery and Data Mining</w:t>
      </w:r>
      <w:r>
        <w:t>, 785-794.</w:t>
      </w:r>
    </w:p>
    <w:p>
      <w:pPr>
        <w:pStyle w:val="ListNumber"/>
        <w:spacing w:before="20" w:after="40" w:line="276" w:lineRule="auto"/>
      </w:pPr>
      <w:r>
        <w:t xml:space="preserve">Ke, G., et al. (2017). "LightGBM: A highly efficient gradient boosting decision tree." </w:t>
      </w:r>
      <w:r>
        <w:rPr>
          <w:i/>
        </w:rPr>
        <w:t>Advances in Neural Information Processing Systems (NeurIPS)</w:t>
      </w:r>
      <w:r>
        <w:t>, 30, 3146-3154.</w:t>
      </w:r>
    </w:p>
    <w:p>
      <w:pPr>
        <w:pStyle w:val="ListNumber"/>
        <w:spacing w:before="20" w:after="40" w:line="276" w:lineRule="auto"/>
      </w:pPr>
      <w:r>
        <w:t xml:space="preserve">Bounsaythip, C., &amp; Rinta-Runsala, E. (2021). "Overview of Data Mining for Customer Churn Modeling." </w:t>
      </w:r>
      <w:r>
        <w:rPr>
          <w:i/>
        </w:rPr>
        <w:t>VTT Information Technology Technical Report</w:t>
      </w:r>
      <w:r>
        <w:t>.</w:t>
      </w:r>
    </w:p>
    <w:p>
      <w:pPr>
        <w:pStyle w:val="ListNumber"/>
        <w:spacing w:before="20" w:after="40" w:line="276" w:lineRule="auto"/>
      </w:pPr>
      <w:r>
        <w:t xml:space="preserve">Ahmad, A. K., et al. (2019). "Customer churn prediction in telecom using machine learning in big data platform." </w:t>
      </w:r>
      <w:r>
        <w:rPr>
          <w:i/>
        </w:rPr>
        <w:t>Journal of Big Data</w:t>
      </w:r>
      <w:r>
        <w:t>, 6(1), 28.</w:t>
      </w:r>
    </w:p>
    <w:p>
      <w:pPr>
        <w:pStyle w:val="ListNumber"/>
        <w:spacing w:before="20" w:after="40" w:line="276" w:lineRule="auto"/>
      </w:pPr>
      <w:r>
        <w:t xml:space="preserve">Ribeiro, M. T., Singh, S., &amp; Guestrin, C. (2016). ""Why should I trust you?": Explaining the predictions of any classifier." </w:t>
      </w:r>
      <w:r>
        <w:rPr>
          <w:i/>
        </w:rPr>
        <w:t>ACM SIGKDD</w:t>
      </w:r>
      <w:r>
        <w:t>, 1135-1144.</w:t>
      </w:r>
    </w:p>
    <w:p>
      <w:pPr>
        <w:pStyle w:val="ListNumber"/>
        <w:spacing w:before="20" w:after="40" w:line="276" w:lineRule="auto"/>
      </w:pPr>
      <w:r>
        <w:t xml:space="preserve">Molnar, C. (2020). </w:t>
      </w:r>
      <w:r>
        <w:rPr>
          <w:i/>
        </w:rPr>
        <w:t>Interpretable Machine Learning: A Guide for Making Black Box Models Explainable</w:t>
      </w:r>
      <w:r>
        <w:t>. Leanpub.</w:t>
      </w:r>
    </w:p>
    <w:p>
      <w:pPr>
        <w:pStyle w:val="ListNumber"/>
        <w:spacing w:before="20" w:after="40" w:line="276" w:lineRule="auto"/>
      </w:pPr>
      <w:r>
        <w:t xml:space="preserve">Shapley, L. S. (1953). "A Value for n-person Games." </w:t>
      </w:r>
      <w:r>
        <w:rPr>
          <w:i/>
        </w:rPr>
        <w:t>Contributions to the Theory of Games</w:t>
      </w:r>
      <w:r>
        <w:t>, 2(28), 307-317.</w:t>
      </w:r>
    </w:p>
    <w:p>
      <w:pPr>
        <w:pStyle w:val="ListNumber"/>
        <w:spacing w:before="20" w:after="40" w:line="276" w:lineRule="auto"/>
      </w:pPr>
      <w:r>
        <w:t xml:space="preserve">Lundberg, S. M., et al. (2020). "From local explanations to global understanding with explainable AI for trees." </w:t>
      </w:r>
      <w:r>
        <w:rPr>
          <w:i/>
        </w:rPr>
        <w:t>Nature Machine Intelligence</w:t>
      </w:r>
      <w:r>
        <w:t>, 2(1), 56-67.</w:t>
      </w:r>
    </w:p>
    <w:p>
      <w:pPr>
        <w:pStyle w:val="ListNumber"/>
        <w:spacing w:before="20" w:after="40" w:line="276" w:lineRule="auto"/>
      </w:pPr>
      <w:r>
        <w:t xml:space="preserve">Koren, Y., Bell, R., &amp; Volinsky, C. (2009). "Matrix factorization techniques for recommender systems." </w:t>
      </w:r>
      <w:r>
        <w:rPr>
          <w:i/>
        </w:rPr>
        <w:t>Computer</w:t>
      </w:r>
      <w:r>
        <w:t>, 42(8), 30-37.</w:t>
      </w:r>
    </w:p>
    <w:p>
      <w:pPr>
        <w:pStyle w:val="ListNumber"/>
        <w:spacing w:before="20" w:after="40" w:line="276" w:lineRule="auto"/>
      </w:pPr>
      <w:r>
        <w:t xml:space="preserve">Ricci, F., Rokach, L., &amp; Shapira, B. (2015). </w:t>
      </w:r>
      <w:r>
        <w:rPr>
          <w:i/>
        </w:rPr>
        <w:t>Recommender Systems Handbook</w:t>
      </w:r>
      <w:r>
        <w:t>. Springer.</w:t>
      </w:r>
    </w:p>
    <w:p>
      <w:pPr>
        <w:pStyle w:val="ListNumber"/>
        <w:spacing w:before="20" w:after="40" w:line="276" w:lineRule="auto"/>
      </w:pPr>
      <w:r>
        <w:t xml:space="preserve">Salton, G., &amp; Buckley, C. (1988). "Term-weighting approaches in automatic text retrieval." </w:t>
      </w:r>
      <w:r>
        <w:rPr>
          <w:i/>
        </w:rPr>
        <w:t>Information Processing &amp; Management</w:t>
      </w:r>
      <w:r>
        <w:t>, 24(5), 513-523.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