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b/>
          <w:color w:val="111827"/>
          <w:sz w:val="40"/>
        </w:rPr>
        <w:t>AI / ML-Specific Engineering Document</w:t>
      </w:r>
    </w:p>
    <w:p>
      <w:pPr>
        <w:keepNext/>
        <w:spacing w:before="280" w:after="120"/>
      </w:pPr>
      <w:r>
        <w:rPr>
          <w:b/>
          <w:color w:val="1E3A8A"/>
          <w:sz w:val="30"/>
        </w:rPr>
        <w:t>Project: Rentora – Smart Appliance Rental Platform</w:t>
      </w:r>
    </w:p>
    <w:p>
      <w:pPr>
        <w:spacing w:after="120" w:before="0" w:line="276" w:lineRule="auto"/>
      </w:pPr>
      <w:r>
        <w:rPr>
          <w:b/>
        </w:rPr>
        <w:t>Subsystems</w:t>
      </w:r>
      <w:r>
        <w:t>: Predictive Churn Classification, TreeSHAP Explainability, and Content-Aware Recommender</w:t>
      </w:r>
    </w:p>
    <w:p>
      <w:pPr>
        <w:spacing w:after="120" w:before="0" w:line="276" w:lineRule="auto"/>
      </w:pPr>
      <w:r>
        <w:rPr>
          <w:b/>
        </w:rPr>
        <w:t>Version</w:t>
      </w:r>
      <w:r>
        <w:t>: 1.0.0</w:t>
      </w:r>
    </w:p>
    <w:p>
      <w:pPr>
        <w:spacing w:before="120" w:after="120"/>
        <w:pBdr>
          <w:bottom w:val="single" w:sz="6" w:space="1" w:color="D1D5DB"/>
        </w:pBdr>
      </w:pPr>
    </w:p>
    <w:p>
      <w:pPr>
        <w:keepNext/>
        <w:spacing w:before="280" w:after="120"/>
      </w:pPr>
      <w:r>
        <w:rPr>
          <w:b/>
          <w:color w:val="1E3A8A"/>
          <w:sz w:val="30"/>
        </w:rPr>
        <w:t>1. Machine Learning Architectural Blueprint</w:t>
      </w:r>
    </w:p>
    <w:p>
      <w:pPr>
        <w:spacing w:after="120" w:before="0" w:line="276" w:lineRule="auto"/>
      </w:pPr>
      <w:r>
        <w:t>The Rentora intelligence tier is architected to decouple analytical model training from live transactional web operations. Analytical extraction, gradient boosted tree inference, and vector space transformations occur asynchronously, synchronizing predictions directly to MongoDB collections (</w:t>
      </w:r>
      <w:r>
        <w:rPr>
          <w:rFonts w:ascii="Consolas" w:hAnsi="Consolas"/>
          <w:color w:val="C7254E"/>
          <w:sz w:val="19"/>
        </w:rPr>
        <w:t>user_churn_scores</w:t>
      </w:r>
      <w:r>
        <w:t xml:space="preserve"> and </w:t>
      </w:r>
      <w:r>
        <w:rPr>
          <w:rFonts w:ascii="Consolas" w:hAnsi="Consolas"/>
          <w:color w:val="C7254E"/>
          <w:sz w:val="19"/>
        </w:rPr>
        <w:t>appliance_recommendations</w:t>
      </w:r>
      <w:r>
        <w:t>).</w:t>
      </w:r>
    </w:p>
    <w:tbl>
      <w:tblPr>
        <w:tblW w:type="auto" w:w="0"/>
        <w:jc w:val="center"/>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after="80"/>
            </w:pPr>
            <w:r>
              <w:rPr>
                <w:b/>
                <w:color w:val="6C757D"/>
                <w:sz w:val="17"/>
              </w:rPr>
              <w:t>[MERMAID]</w:t>
            </w:r>
          </w:p>
          <w:p>
            <w:pPr>
              <w:spacing w:before="0" w:after="0" w:line="260" w:lineRule="exact"/>
            </w:pPr>
            <w:r>
              <w:rPr>
                <w:rFonts w:ascii="Consolas" w:hAnsi="Consolas"/>
                <w:color w:val="282C34"/>
                <w:sz w:val="19"/>
              </w:rPr>
              <w:t>graph TB</w:t>
              <w:br/>
              <w:t xml:space="preserve">    subgraph DataSources [Live Operational Collections]</w:t>
              <w:br/>
              <w:t xml:space="preserve">        Users[(users)]</w:t>
              <w:br/>
              <w:t xml:space="preserve">        Rentals[(rentals)]</w:t>
              <w:br/>
              <w:t xml:space="preserve">        Carts[(carts)]</w:t>
              <w:br/>
              <w:t xml:space="preserve">        Catalog[(appliances)]</w:t>
              <w:br/>
              <w:t xml:space="preserve">    end</w:t>
              <w:br/>
              <w:br/>
              <w:t xml:space="preserve">    subgraph ETLPipeline [Feature Engineering: etl_pipeline.py]</w:t>
              <w:br/>
              <w:t xml:space="preserve">        Agg[Behavioral Feature Aggregator]</w:t>
              <w:br/>
              <w:t xml:space="preserve">        Vec[TF-IDF Corpus Builder]</w:t>
              <w:br/>
              <w:t xml:space="preserve">    end</w:t>
              <w:br/>
              <w:br/>
              <w:t xml:space="preserve">    subgraph MLInference [Intelligence Models: train_model.py]</w:t>
              <w:br/>
              <w:t xml:space="preserve">        LGBM[LightGBM Churn Classifier]</w:t>
              <w:br/>
              <w:t xml:space="preserve">        TreeSHAP[TreeSHAP Explainer Engine]</w:t>
              <w:br/>
              <w:t xml:space="preserve">        Cosine[Cosine Similarity Matrix]</w:t>
              <w:br/>
              <w:t xml:space="preserve">    end</w:t>
              <w:br/>
              <w:br/>
              <w:t xml:space="preserve">    subgraph CacheCollections [Pre-computed Inferences]</w:t>
              <w:br/>
              <w:t xml:space="preserve">        ChurnScores[(user_churn_scores)]</w:t>
              <w:br/>
              <w:t xml:space="preserve">        Recs[(appliance_recommendations)]</w:t>
              <w:br/>
              <w:t xml:space="preserve">    end</w:t>
              <w:br/>
              <w:br/>
              <w:t xml:space="preserve">    DataSources --&gt; ETLPipeline</w:t>
              <w:br/>
              <w:t xml:space="preserve">    Agg --&gt; LGBM</w:t>
              <w:br/>
              <w:t xml:space="preserve">    LGBM --&gt; TreeSHAP</w:t>
              <w:br/>
              <w:t xml:space="preserve">    TreeSHAP --&gt;|Churn Prob + Reason Codes| ChurnScores</w:t>
              <w:br/>
              <w:t xml:space="preserve">    </w:t>
              <w:br/>
              <w:t xml:space="preserve">    Catalog --&gt; Vec</w:t>
              <w:br/>
              <w:t xml:space="preserve">    Vec --&gt; Cosine</w:t>
              <w:br/>
              <w:t xml:space="preserve">    Cosine --&gt;|Top-N Similar Items| Recs</w:t>
            </w:r>
          </w:p>
        </w:tc>
      </w:tr>
    </w:tbl>
    <w:p>
      <w:pPr>
        <w:spacing w:after="80"/>
      </w:pPr>
    </w:p>
    <w:p>
      <w:pPr>
        <w:spacing w:before="120" w:after="120"/>
        <w:pBdr>
          <w:bottom w:val="single" w:sz="6" w:space="1" w:color="D1D5DB"/>
        </w:pBdr>
      </w:pPr>
    </w:p>
    <w:p>
      <w:pPr>
        <w:keepNext/>
        <w:spacing w:before="280" w:after="120"/>
      </w:pPr>
      <w:r>
        <w:rPr>
          <w:b/>
          <w:color w:val="1E3A8A"/>
          <w:sz w:val="30"/>
        </w:rPr>
        <w:t>2. Behavioral Feature Engineering (`etl_pipeline.py`)</w:t>
      </w:r>
    </w:p>
    <w:p>
      <w:pPr>
        <w:spacing w:after="120" w:before="0" w:line="276" w:lineRule="auto"/>
      </w:pPr>
      <w:r>
        <w:t>Customer transactions and interaction logs are transformed into standardized operational feature vectors $\mathbf{x} \in \mathbb{R}^8$:</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2563EB"/>
            <w:tcMar>
              <w:top w:w="140" w:type="dxa"/>
              <w:bottom w:w="140" w:type="dxa"/>
              <w:left w:w="160" w:type="dxa"/>
              <w:right w:w="160" w:type="dxa"/>
            </w:tcMar>
          </w:tcPr>
          <w:p>
            <w:pPr>
              <w:spacing w:before="60" w:after="60" w:line="260" w:lineRule="exact"/>
            </w:pPr>
            <w:r>
              <w:rPr>
                <w:b/>
                <w:color w:val="FFFFFF"/>
                <w:sz w:val="20"/>
              </w:rPr>
              <w:t>Feature Name</w:t>
            </w:r>
          </w:p>
        </w:tc>
        <w:tc>
          <w:tcPr>
            <w:tcW w:type="dxa" w:w="2340"/>
            <w:shd w:fill="2563EB"/>
            <w:tcMar>
              <w:top w:w="140" w:type="dxa"/>
              <w:bottom w:w="140" w:type="dxa"/>
              <w:left w:w="160" w:type="dxa"/>
              <w:right w:w="160" w:type="dxa"/>
            </w:tcMar>
          </w:tcPr>
          <w:p>
            <w:pPr>
              <w:spacing w:before="60" w:after="60" w:line="260" w:lineRule="exact"/>
            </w:pPr>
            <w:r>
              <w:rPr>
                <w:b/>
                <w:color w:val="FFFFFF"/>
                <w:sz w:val="20"/>
              </w:rPr>
              <w:t>Type</w:t>
            </w:r>
          </w:p>
        </w:tc>
        <w:tc>
          <w:tcPr>
            <w:tcW w:type="dxa" w:w="2340"/>
            <w:shd w:fill="2563EB"/>
            <w:tcMar>
              <w:top w:w="140" w:type="dxa"/>
              <w:bottom w:w="140" w:type="dxa"/>
              <w:left w:w="160" w:type="dxa"/>
              <w:right w:w="160" w:type="dxa"/>
            </w:tcMar>
          </w:tcPr>
          <w:p>
            <w:pPr>
              <w:spacing w:before="60" w:after="60" w:line="260" w:lineRule="exact"/>
            </w:pPr>
            <w:r>
              <w:rPr>
                <w:b/>
                <w:color w:val="FFFFFF"/>
                <w:sz w:val="20"/>
              </w:rPr>
              <w:t>Description</w:t>
            </w:r>
          </w:p>
        </w:tc>
        <w:tc>
          <w:tcPr>
            <w:tcW w:type="dxa" w:w="2340"/>
            <w:shd w:fill="2563EB"/>
            <w:tcMar>
              <w:top w:w="140" w:type="dxa"/>
              <w:bottom w:w="140" w:type="dxa"/>
              <w:left w:w="160" w:type="dxa"/>
              <w:right w:w="160" w:type="dxa"/>
            </w:tcMar>
          </w:tcPr>
          <w:p>
            <w:pPr>
              <w:spacing w:before="60" w:after="60" w:line="260" w:lineRule="exact"/>
            </w:pPr>
            <w:r>
              <w:rPr>
                <w:b/>
                <w:color w:val="FFFFFF"/>
                <w:sz w:val="20"/>
              </w:rPr>
              <w:t>Operational Significance</w:t>
            </w:r>
          </w:p>
        </w:tc>
      </w:tr>
      <w:tr>
        <w:tc>
          <w:tcPr>
            <w:tcW w:type="dxa" w:w="2340"/>
            <w:shd w:fill="F9FAFB"/>
            <w:tcMar>
              <w:top w:w="100" w:type="dxa"/>
              <w:bottom w:w="100" w:type="dxa"/>
              <w:left w:w="140" w:type="dxa"/>
              <w:right w:w="140" w:type="dxa"/>
            </w:tcMar>
          </w:tcPr>
          <w:p>
            <w:pPr>
              <w:spacing w:before="60" w:after="60" w:line="260" w:lineRule="exact"/>
            </w:pPr>
            <w:r>
              <w:rPr>
                <w:rFonts w:ascii="Consolas" w:hAnsi="Consolas"/>
                <w:color w:val="C7254E"/>
                <w:sz w:val="19"/>
              </w:rPr>
              <w:t>tenure_months</w:t>
            </w:r>
          </w:p>
        </w:tc>
        <w:tc>
          <w:tcPr>
            <w:tcW w:type="dxa" w:w="2340"/>
            <w:shd w:fill="F9FAFB"/>
            <w:tcMar>
              <w:top w:w="100" w:type="dxa"/>
              <w:bottom w:w="100" w:type="dxa"/>
              <w:left w:w="140" w:type="dxa"/>
              <w:right w:w="140" w:type="dxa"/>
            </w:tcMar>
          </w:tcPr>
          <w:p>
            <w:pPr>
              <w:spacing w:before="60" w:after="60" w:line="260" w:lineRule="exact"/>
            </w:pPr>
            <w:r>
              <w:rPr>
                <w:sz w:val="19"/>
              </w:rPr>
              <w:t>Integer</w:t>
            </w:r>
          </w:p>
        </w:tc>
        <w:tc>
          <w:tcPr>
            <w:tcW w:type="dxa" w:w="2340"/>
            <w:shd w:fill="F9FAFB"/>
            <w:tcMar>
              <w:top w:w="100" w:type="dxa"/>
              <w:bottom w:w="100" w:type="dxa"/>
              <w:left w:w="140" w:type="dxa"/>
              <w:right w:w="140" w:type="dxa"/>
            </w:tcMar>
          </w:tcPr>
          <w:p>
            <w:pPr>
              <w:spacing w:before="60" w:after="60" w:line="260" w:lineRule="exact"/>
            </w:pPr>
            <w:r>
              <w:rPr>
                <w:sz w:val="19"/>
              </w:rPr>
              <w:t>Total accumulated customer tenure</w:t>
            </w:r>
          </w:p>
        </w:tc>
        <w:tc>
          <w:tcPr>
            <w:tcW w:type="dxa" w:w="2340"/>
            <w:shd w:fill="F9FAFB"/>
            <w:tcMar>
              <w:top w:w="100" w:type="dxa"/>
              <w:bottom w:w="100" w:type="dxa"/>
              <w:left w:w="140" w:type="dxa"/>
              <w:right w:w="140" w:type="dxa"/>
            </w:tcMar>
          </w:tcPr>
          <w:p>
            <w:pPr>
              <w:spacing w:before="60" w:after="60" w:line="260" w:lineRule="exact"/>
            </w:pPr>
            <w:r>
              <w:rPr>
                <w:sz w:val="19"/>
              </w:rPr>
              <w:t>Older customers show natural brand loyalty</w:t>
            </w:r>
          </w:p>
        </w:tc>
      </w:tr>
      <w:tr>
        <w:tc>
          <w:tcPr>
            <w:tcW w:type="dxa" w:w="2340"/>
            <w:shd w:fill="FFFFFF"/>
            <w:tcMar>
              <w:top w:w="100" w:type="dxa"/>
              <w:bottom w:w="100" w:type="dxa"/>
              <w:left w:w="140" w:type="dxa"/>
              <w:right w:w="140" w:type="dxa"/>
            </w:tcMar>
          </w:tcPr>
          <w:p>
            <w:pPr>
              <w:spacing w:before="60" w:after="60" w:line="260" w:lineRule="exact"/>
            </w:pPr>
            <w:r>
              <w:rPr>
                <w:rFonts w:ascii="Consolas" w:hAnsi="Consolas"/>
                <w:color w:val="C7254E"/>
                <w:sz w:val="19"/>
              </w:rPr>
              <w:t>monthly_spend</w:t>
            </w:r>
          </w:p>
        </w:tc>
        <w:tc>
          <w:tcPr>
            <w:tcW w:type="dxa" w:w="2340"/>
            <w:shd w:fill="FFFFFF"/>
            <w:tcMar>
              <w:top w:w="100" w:type="dxa"/>
              <w:bottom w:w="100" w:type="dxa"/>
              <w:left w:w="140" w:type="dxa"/>
              <w:right w:w="140" w:type="dxa"/>
            </w:tcMar>
          </w:tcPr>
          <w:p>
            <w:pPr>
              <w:spacing w:before="60" w:after="60" w:line="260" w:lineRule="exact"/>
            </w:pPr>
            <w:r>
              <w:rPr>
                <w:sz w:val="19"/>
              </w:rPr>
              <w:t>Float</w:t>
            </w:r>
          </w:p>
        </w:tc>
        <w:tc>
          <w:tcPr>
            <w:tcW w:type="dxa" w:w="2340"/>
            <w:shd w:fill="FFFFFF"/>
            <w:tcMar>
              <w:top w:w="100" w:type="dxa"/>
              <w:bottom w:w="100" w:type="dxa"/>
              <w:left w:w="140" w:type="dxa"/>
              <w:right w:w="140" w:type="dxa"/>
            </w:tcMar>
          </w:tcPr>
          <w:p>
            <w:pPr>
              <w:spacing w:before="60" w:after="60" w:line="260" w:lineRule="exact"/>
            </w:pPr>
            <w:r>
              <w:rPr>
                <w:sz w:val="19"/>
              </w:rPr>
              <w:t>Average monthly rental expenditure (INR)</w:t>
            </w:r>
          </w:p>
        </w:tc>
        <w:tc>
          <w:tcPr>
            <w:tcW w:type="dxa" w:w="2340"/>
            <w:shd w:fill="FFFFFF"/>
            <w:tcMar>
              <w:top w:w="100" w:type="dxa"/>
              <w:bottom w:w="100" w:type="dxa"/>
              <w:left w:w="140" w:type="dxa"/>
              <w:right w:w="140" w:type="dxa"/>
            </w:tcMar>
          </w:tcPr>
          <w:p>
            <w:pPr>
              <w:spacing w:before="60" w:after="60" w:line="260" w:lineRule="exact"/>
            </w:pPr>
            <w:r>
              <w:rPr>
                <w:sz w:val="19"/>
              </w:rPr>
              <w:t>High spenders represent higher business impact</w:t>
            </w:r>
          </w:p>
        </w:tc>
      </w:tr>
      <w:tr>
        <w:tc>
          <w:tcPr>
            <w:tcW w:type="dxa" w:w="2340"/>
            <w:shd w:fill="F9FAFB"/>
            <w:tcMar>
              <w:top w:w="100" w:type="dxa"/>
              <w:bottom w:w="100" w:type="dxa"/>
              <w:left w:w="140" w:type="dxa"/>
              <w:right w:w="140" w:type="dxa"/>
            </w:tcMar>
          </w:tcPr>
          <w:p>
            <w:pPr>
              <w:spacing w:before="60" w:after="60" w:line="260" w:lineRule="exact"/>
            </w:pPr>
            <w:r>
              <w:rPr>
                <w:rFonts w:ascii="Consolas" w:hAnsi="Consolas"/>
                <w:color w:val="C7254E"/>
                <w:sz w:val="19"/>
              </w:rPr>
              <w:t>active_rentals</w:t>
            </w:r>
          </w:p>
        </w:tc>
        <w:tc>
          <w:tcPr>
            <w:tcW w:type="dxa" w:w="2340"/>
            <w:shd w:fill="F9FAFB"/>
            <w:tcMar>
              <w:top w:w="100" w:type="dxa"/>
              <w:bottom w:w="100" w:type="dxa"/>
              <w:left w:w="140" w:type="dxa"/>
              <w:right w:w="140" w:type="dxa"/>
            </w:tcMar>
          </w:tcPr>
          <w:p>
            <w:pPr>
              <w:spacing w:before="60" w:after="60" w:line="260" w:lineRule="exact"/>
            </w:pPr>
            <w:r>
              <w:rPr>
                <w:sz w:val="19"/>
              </w:rPr>
              <w:t>Integer</w:t>
            </w:r>
          </w:p>
        </w:tc>
        <w:tc>
          <w:tcPr>
            <w:tcW w:type="dxa" w:w="2340"/>
            <w:shd w:fill="F9FAFB"/>
            <w:tcMar>
              <w:top w:w="100" w:type="dxa"/>
              <w:bottom w:w="100" w:type="dxa"/>
              <w:left w:w="140" w:type="dxa"/>
              <w:right w:w="140" w:type="dxa"/>
            </w:tcMar>
          </w:tcPr>
          <w:p>
            <w:pPr>
              <w:spacing w:before="60" w:after="60" w:line="260" w:lineRule="exact"/>
            </w:pPr>
            <w:r>
              <w:rPr>
                <w:sz w:val="19"/>
              </w:rPr>
              <w:t>Number of currently active appliance leases</w:t>
            </w:r>
          </w:p>
        </w:tc>
        <w:tc>
          <w:tcPr>
            <w:tcW w:type="dxa" w:w="2340"/>
            <w:shd w:fill="F9FAFB"/>
            <w:tcMar>
              <w:top w:w="100" w:type="dxa"/>
              <w:bottom w:w="100" w:type="dxa"/>
              <w:left w:w="140" w:type="dxa"/>
              <w:right w:w="140" w:type="dxa"/>
            </w:tcMar>
          </w:tcPr>
          <w:p>
            <w:pPr>
              <w:spacing w:before="60" w:after="60" w:line="260" w:lineRule="exact"/>
            </w:pPr>
            <w:r>
              <w:rPr>
                <w:sz w:val="19"/>
              </w:rPr>
              <w:t>Indicates level of ecosystem embedding</w:t>
            </w:r>
          </w:p>
        </w:tc>
      </w:tr>
      <w:tr>
        <w:tc>
          <w:tcPr>
            <w:tcW w:type="dxa" w:w="2340"/>
            <w:shd w:fill="FFFFFF"/>
            <w:tcMar>
              <w:top w:w="100" w:type="dxa"/>
              <w:bottom w:w="100" w:type="dxa"/>
              <w:left w:w="140" w:type="dxa"/>
              <w:right w:w="140" w:type="dxa"/>
            </w:tcMar>
          </w:tcPr>
          <w:p>
            <w:pPr>
              <w:spacing w:before="60" w:after="60" w:line="260" w:lineRule="exact"/>
            </w:pPr>
            <w:r>
              <w:rPr>
                <w:rFonts w:ascii="Consolas" w:hAnsi="Consolas"/>
                <w:color w:val="C7254E"/>
                <w:sz w:val="19"/>
              </w:rPr>
              <w:t>late_payments</w:t>
            </w:r>
          </w:p>
        </w:tc>
        <w:tc>
          <w:tcPr>
            <w:tcW w:type="dxa" w:w="2340"/>
            <w:shd w:fill="FFFFFF"/>
            <w:tcMar>
              <w:top w:w="100" w:type="dxa"/>
              <w:bottom w:w="100" w:type="dxa"/>
              <w:left w:w="140" w:type="dxa"/>
              <w:right w:w="140" w:type="dxa"/>
            </w:tcMar>
          </w:tcPr>
          <w:p>
            <w:pPr>
              <w:spacing w:before="60" w:after="60" w:line="260" w:lineRule="exact"/>
            </w:pPr>
            <w:r>
              <w:rPr>
                <w:sz w:val="19"/>
              </w:rPr>
              <w:t>Integer</w:t>
            </w:r>
          </w:p>
        </w:tc>
        <w:tc>
          <w:tcPr>
            <w:tcW w:type="dxa" w:w="2340"/>
            <w:shd w:fill="FFFFFF"/>
            <w:tcMar>
              <w:top w:w="100" w:type="dxa"/>
              <w:bottom w:w="100" w:type="dxa"/>
              <w:left w:w="140" w:type="dxa"/>
              <w:right w:w="140" w:type="dxa"/>
            </w:tcMar>
          </w:tcPr>
          <w:p>
            <w:pPr>
              <w:spacing w:before="60" w:after="60" w:line="260" w:lineRule="exact"/>
            </w:pPr>
            <w:r>
              <w:rPr>
                <w:sz w:val="19"/>
              </w:rPr>
              <w:t>Historical frequency of delayed payments</w:t>
            </w:r>
          </w:p>
        </w:tc>
        <w:tc>
          <w:tcPr>
            <w:tcW w:type="dxa" w:w="2340"/>
            <w:shd w:fill="FFFFFF"/>
            <w:tcMar>
              <w:top w:w="100" w:type="dxa"/>
              <w:bottom w:w="100" w:type="dxa"/>
              <w:left w:w="140" w:type="dxa"/>
              <w:right w:w="140" w:type="dxa"/>
            </w:tcMar>
          </w:tcPr>
          <w:p>
            <w:pPr>
              <w:spacing w:before="60" w:after="60" w:line="260" w:lineRule="exact"/>
            </w:pPr>
            <w:r>
              <w:rPr>
                <w:sz w:val="19"/>
              </w:rPr>
              <w:t>Strongest leading indicator of financial stress / churn</w:t>
            </w:r>
          </w:p>
        </w:tc>
      </w:tr>
      <w:tr>
        <w:tc>
          <w:tcPr>
            <w:tcW w:type="dxa" w:w="2340"/>
            <w:shd w:fill="F9FAFB"/>
            <w:tcMar>
              <w:top w:w="100" w:type="dxa"/>
              <w:bottom w:w="100" w:type="dxa"/>
              <w:left w:w="140" w:type="dxa"/>
              <w:right w:w="140" w:type="dxa"/>
            </w:tcMar>
          </w:tcPr>
          <w:p>
            <w:pPr>
              <w:spacing w:before="60" w:after="60" w:line="260" w:lineRule="exact"/>
            </w:pPr>
            <w:r>
              <w:rPr>
                <w:rFonts w:ascii="Consolas" w:hAnsi="Consolas"/>
                <w:color w:val="C7254E"/>
                <w:sz w:val="19"/>
              </w:rPr>
              <w:t>early_returns</w:t>
            </w:r>
          </w:p>
        </w:tc>
        <w:tc>
          <w:tcPr>
            <w:tcW w:type="dxa" w:w="2340"/>
            <w:shd w:fill="F9FAFB"/>
            <w:tcMar>
              <w:top w:w="100" w:type="dxa"/>
              <w:bottom w:w="100" w:type="dxa"/>
              <w:left w:w="140" w:type="dxa"/>
              <w:right w:w="140" w:type="dxa"/>
            </w:tcMar>
          </w:tcPr>
          <w:p>
            <w:pPr>
              <w:spacing w:before="60" w:after="60" w:line="260" w:lineRule="exact"/>
            </w:pPr>
            <w:r>
              <w:rPr>
                <w:sz w:val="19"/>
              </w:rPr>
              <w:t>Integer</w:t>
            </w:r>
          </w:p>
        </w:tc>
        <w:tc>
          <w:tcPr>
            <w:tcW w:type="dxa" w:w="2340"/>
            <w:shd w:fill="F9FAFB"/>
            <w:tcMar>
              <w:top w:w="100" w:type="dxa"/>
              <w:bottom w:w="100" w:type="dxa"/>
              <w:left w:w="140" w:type="dxa"/>
              <w:right w:w="140" w:type="dxa"/>
            </w:tcMar>
          </w:tcPr>
          <w:p>
            <w:pPr>
              <w:spacing w:before="60" w:after="60" w:line="260" w:lineRule="exact"/>
            </w:pPr>
            <w:r>
              <w:rPr>
                <w:sz w:val="19"/>
              </w:rPr>
              <w:t>Instances of premature lease terminations</w:t>
            </w:r>
          </w:p>
        </w:tc>
        <w:tc>
          <w:tcPr>
            <w:tcW w:type="dxa" w:w="2340"/>
            <w:shd w:fill="F9FAFB"/>
            <w:tcMar>
              <w:top w:w="100" w:type="dxa"/>
              <w:bottom w:w="100" w:type="dxa"/>
              <w:left w:w="140" w:type="dxa"/>
              <w:right w:w="140" w:type="dxa"/>
            </w:tcMar>
          </w:tcPr>
          <w:p>
            <w:pPr>
              <w:spacing w:before="60" w:after="60" w:line="260" w:lineRule="exact"/>
            </w:pPr>
            <w:r>
              <w:rPr>
                <w:sz w:val="19"/>
              </w:rPr>
              <w:t>Direct proxy for appliance dissatisfaction</w:t>
            </w:r>
          </w:p>
        </w:tc>
      </w:tr>
      <w:tr>
        <w:tc>
          <w:tcPr>
            <w:tcW w:type="dxa" w:w="2340"/>
            <w:shd w:fill="FFFFFF"/>
            <w:tcMar>
              <w:top w:w="100" w:type="dxa"/>
              <w:bottom w:w="100" w:type="dxa"/>
              <w:left w:w="140" w:type="dxa"/>
              <w:right w:w="140" w:type="dxa"/>
            </w:tcMar>
          </w:tcPr>
          <w:p>
            <w:pPr>
              <w:spacing w:before="60" w:after="60" w:line="260" w:lineRule="exact"/>
            </w:pPr>
            <w:r>
              <w:rPr>
                <w:rFonts w:ascii="Consolas" w:hAnsi="Consolas"/>
                <w:color w:val="C7254E"/>
                <w:sz w:val="19"/>
              </w:rPr>
              <w:t>cart_abandonment</w:t>
            </w:r>
          </w:p>
        </w:tc>
        <w:tc>
          <w:tcPr>
            <w:tcW w:type="dxa" w:w="2340"/>
            <w:shd w:fill="FFFFFF"/>
            <w:tcMar>
              <w:top w:w="100" w:type="dxa"/>
              <w:bottom w:w="100" w:type="dxa"/>
              <w:left w:w="140" w:type="dxa"/>
              <w:right w:w="140" w:type="dxa"/>
            </w:tcMar>
          </w:tcPr>
          <w:p>
            <w:pPr>
              <w:spacing w:before="60" w:after="60" w:line="260" w:lineRule="exact"/>
            </w:pPr>
            <w:r>
              <w:rPr>
                <w:sz w:val="19"/>
              </w:rPr>
              <w:t>Integer</w:t>
            </w:r>
          </w:p>
        </w:tc>
        <w:tc>
          <w:tcPr>
            <w:tcW w:type="dxa" w:w="2340"/>
            <w:shd w:fill="FFFFFF"/>
            <w:tcMar>
              <w:top w:w="100" w:type="dxa"/>
              <w:bottom w:w="100" w:type="dxa"/>
              <w:left w:w="140" w:type="dxa"/>
              <w:right w:w="140" w:type="dxa"/>
            </w:tcMar>
          </w:tcPr>
          <w:p>
            <w:pPr>
              <w:spacing w:before="60" w:after="60" w:line="260" w:lineRule="exact"/>
            </w:pPr>
            <w:r>
              <w:rPr>
                <w:sz w:val="19"/>
              </w:rPr>
              <w:t>Frequency of items added to cart but not leased</w:t>
            </w:r>
          </w:p>
        </w:tc>
        <w:tc>
          <w:tcPr>
            <w:tcW w:type="dxa" w:w="2340"/>
            <w:shd w:fill="FFFFFF"/>
            <w:tcMar>
              <w:top w:w="100" w:type="dxa"/>
              <w:bottom w:w="100" w:type="dxa"/>
              <w:left w:w="140" w:type="dxa"/>
              <w:right w:w="140" w:type="dxa"/>
            </w:tcMar>
          </w:tcPr>
          <w:p>
            <w:pPr>
              <w:spacing w:before="60" w:after="60" w:line="260" w:lineRule="exact"/>
            </w:pPr>
            <w:r>
              <w:rPr>
                <w:sz w:val="19"/>
              </w:rPr>
              <w:t>Signals price sensitivity or checkout hesitation</w:t>
            </w:r>
          </w:p>
        </w:tc>
      </w:tr>
      <w:tr>
        <w:tc>
          <w:tcPr>
            <w:tcW w:type="dxa" w:w="2340"/>
            <w:shd w:fill="F9FAFB"/>
            <w:tcMar>
              <w:top w:w="100" w:type="dxa"/>
              <w:bottom w:w="100" w:type="dxa"/>
              <w:left w:w="140" w:type="dxa"/>
              <w:right w:w="140" w:type="dxa"/>
            </w:tcMar>
          </w:tcPr>
          <w:p>
            <w:pPr>
              <w:spacing w:before="60" w:after="60" w:line="260" w:lineRule="exact"/>
            </w:pPr>
            <w:r>
              <w:rPr>
                <w:rFonts w:ascii="Consolas" w:hAnsi="Consolas"/>
                <w:color w:val="C7254E"/>
                <w:sz w:val="19"/>
              </w:rPr>
              <w:t>days_inactive</w:t>
            </w:r>
          </w:p>
        </w:tc>
        <w:tc>
          <w:tcPr>
            <w:tcW w:type="dxa" w:w="2340"/>
            <w:shd w:fill="F9FAFB"/>
            <w:tcMar>
              <w:top w:w="100" w:type="dxa"/>
              <w:bottom w:w="100" w:type="dxa"/>
              <w:left w:w="140" w:type="dxa"/>
              <w:right w:w="140" w:type="dxa"/>
            </w:tcMar>
          </w:tcPr>
          <w:p>
            <w:pPr>
              <w:spacing w:before="60" w:after="60" w:line="260" w:lineRule="exact"/>
            </w:pPr>
            <w:r>
              <w:rPr>
                <w:sz w:val="19"/>
              </w:rPr>
              <w:t>Integer</w:t>
            </w:r>
          </w:p>
        </w:tc>
        <w:tc>
          <w:tcPr>
            <w:tcW w:type="dxa" w:w="2340"/>
            <w:shd w:fill="F9FAFB"/>
            <w:tcMar>
              <w:top w:w="100" w:type="dxa"/>
              <w:bottom w:w="100" w:type="dxa"/>
              <w:left w:w="140" w:type="dxa"/>
              <w:right w:w="140" w:type="dxa"/>
            </w:tcMar>
          </w:tcPr>
          <w:p>
            <w:pPr>
              <w:spacing w:before="60" w:after="60" w:line="260" w:lineRule="exact"/>
            </w:pPr>
            <w:r>
              <w:rPr>
                <w:sz w:val="19"/>
              </w:rPr>
              <w:t>Consecutive days without platform interaction</w:t>
            </w:r>
          </w:p>
        </w:tc>
        <w:tc>
          <w:tcPr>
            <w:tcW w:type="dxa" w:w="2340"/>
            <w:shd w:fill="F9FAFB"/>
            <w:tcMar>
              <w:top w:w="100" w:type="dxa"/>
              <w:bottom w:w="100" w:type="dxa"/>
              <w:left w:w="140" w:type="dxa"/>
              <w:right w:w="140" w:type="dxa"/>
            </w:tcMar>
          </w:tcPr>
          <w:p>
            <w:pPr>
              <w:spacing w:before="60" w:after="60" w:line="260" w:lineRule="exact"/>
            </w:pPr>
            <w:r>
              <w:rPr>
                <w:sz w:val="19"/>
              </w:rPr>
              <w:t>Leading indicator of disengagement</w:t>
            </w:r>
          </w:p>
        </w:tc>
      </w:tr>
      <w:tr>
        <w:tc>
          <w:tcPr>
            <w:tcW w:type="dxa" w:w="2340"/>
            <w:shd w:fill="FFFFFF"/>
            <w:tcMar>
              <w:top w:w="100" w:type="dxa"/>
              <w:bottom w:w="100" w:type="dxa"/>
              <w:left w:w="140" w:type="dxa"/>
              <w:right w:w="140" w:type="dxa"/>
            </w:tcMar>
          </w:tcPr>
          <w:p>
            <w:pPr>
              <w:spacing w:before="60" w:after="60" w:line="260" w:lineRule="exact"/>
            </w:pPr>
            <w:r>
              <w:rPr>
                <w:rFonts w:ascii="Consolas" w:hAnsi="Consolas"/>
                <w:color w:val="C7254E"/>
                <w:sz w:val="19"/>
              </w:rPr>
              <w:t>avg_rating</w:t>
            </w:r>
          </w:p>
        </w:tc>
        <w:tc>
          <w:tcPr>
            <w:tcW w:type="dxa" w:w="2340"/>
            <w:shd w:fill="FFFFFF"/>
            <w:tcMar>
              <w:top w:w="100" w:type="dxa"/>
              <w:bottom w:w="100" w:type="dxa"/>
              <w:left w:w="140" w:type="dxa"/>
              <w:right w:w="140" w:type="dxa"/>
            </w:tcMar>
          </w:tcPr>
          <w:p>
            <w:pPr>
              <w:spacing w:before="60" w:after="60" w:line="260" w:lineRule="exact"/>
            </w:pPr>
            <w:r>
              <w:rPr>
                <w:sz w:val="19"/>
              </w:rPr>
              <w:t>Float</w:t>
            </w:r>
          </w:p>
        </w:tc>
        <w:tc>
          <w:tcPr>
            <w:tcW w:type="dxa" w:w="2340"/>
            <w:shd w:fill="FFFFFF"/>
            <w:tcMar>
              <w:top w:w="100" w:type="dxa"/>
              <w:bottom w:w="100" w:type="dxa"/>
              <w:left w:w="140" w:type="dxa"/>
              <w:right w:w="140" w:type="dxa"/>
            </w:tcMar>
          </w:tcPr>
          <w:p>
            <w:pPr>
              <w:spacing w:before="60" w:after="60" w:line="260" w:lineRule="exact"/>
            </w:pPr>
            <w:r>
              <w:rPr>
                <w:sz w:val="19"/>
              </w:rPr>
              <w:t>Mean review score provided by customer ($1.0 - 5.0$)</w:t>
            </w:r>
          </w:p>
        </w:tc>
        <w:tc>
          <w:tcPr>
            <w:tcW w:type="dxa" w:w="2340"/>
            <w:shd w:fill="FFFFFF"/>
            <w:tcMar>
              <w:top w:w="100" w:type="dxa"/>
              <w:bottom w:w="100" w:type="dxa"/>
              <w:left w:w="140" w:type="dxa"/>
              <w:right w:w="140" w:type="dxa"/>
            </w:tcMar>
          </w:tcPr>
          <w:p>
            <w:pPr>
              <w:spacing w:before="60" w:after="60" w:line="260" w:lineRule="exact"/>
            </w:pPr>
            <w:r>
              <w:rPr>
                <w:sz w:val="19"/>
              </w:rPr>
              <w:t>Direct sentiment indicator</w:t>
            </w:r>
          </w:p>
        </w:tc>
      </w:tr>
    </w:tbl>
    <w:p>
      <w:pPr>
        <w:spacing w:after="120"/>
      </w:pPr>
    </w:p>
    <w:p>
      <w:pPr>
        <w:spacing w:before="120" w:after="120"/>
        <w:pBdr>
          <w:bottom w:val="single" w:sz="6" w:space="1" w:color="D1D5DB"/>
        </w:pBdr>
      </w:pPr>
    </w:p>
    <w:p>
      <w:pPr>
        <w:keepNext/>
        <w:spacing w:before="280" w:after="120"/>
      </w:pPr>
      <w:r>
        <w:rPr>
          <w:b/>
          <w:color w:val="1E3A8A"/>
          <w:sz w:val="30"/>
        </w:rPr>
        <w:t>3. Customer Churn Prediction Engine (Model 1: LightGBM)</w:t>
      </w:r>
    </w:p>
    <w:p>
      <w:pPr>
        <w:keepNext/>
        <w:spacing w:before="200" w:after="80"/>
      </w:pPr>
      <w:r>
        <w:rPr>
          <w:b/>
          <w:color w:val="374151"/>
          <w:sz w:val="26"/>
        </w:rPr>
        <w:t>3.1 Algorithmic Formulation</w:t>
      </w:r>
    </w:p>
    <w:p>
      <w:pPr>
        <w:spacing w:after="120" w:before="0" w:line="276" w:lineRule="auto"/>
      </w:pPr>
      <w:r>
        <w:t>LightGBM constructs an ensemble of $K$ decision trees:</w:t>
      </w:r>
    </w:p>
    <w:p>
      <w:pPr>
        <w:spacing w:after="120" w:before="0" w:line="276" w:lineRule="auto"/>
      </w:pPr>
      <w:r>
        <w:t>$$\hat{y}_i = \sum_{k=1}^{K} f_k(\mathbf{x}_i), \quad f_k \in \mathcal{F}$$</w:t>
      </w:r>
    </w:p>
    <w:p>
      <w:pPr>
        <w:spacing w:after="120" w:before="0" w:line="276" w:lineRule="auto"/>
      </w:pPr>
      <w:r>
        <w:t>minimizing the regularized binary log-loss:</w:t>
      </w:r>
    </w:p>
    <w:p>
      <w:pPr>
        <w:spacing w:after="120" w:before="0" w:line="276" w:lineRule="auto"/>
      </w:pPr>
      <w:r>
        <w:t>$$\mathcal{L}^{(t)} = \sum_{i=1}^{n} \left[ y_i \log(1 + e^{-\hat{y}_i^{(t)}}) + (1 - y_i)\log(1 + e^{\hat{y}_i^{(t)}}) \right] + \sum_{k=1}^{t} \Omega(f_k)$$</w:t>
      </w:r>
    </w:p>
    <w:p>
      <w:pPr>
        <w:spacing w:after="120" w:before="0" w:line="276" w:lineRule="auto"/>
      </w:pPr>
      <w:r>
        <w:t>where $\Omega(f) = \gamma T + \frac{1}{2}\lambda \sum_{j=1}^T w_j^2$.</w:t>
      </w:r>
    </w:p>
    <w:p>
      <w:pPr>
        <w:keepNext/>
        <w:spacing w:before="200" w:after="80"/>
      </w:pPr>
      <w:r>
        <w:rPr>
          <w:b/>
          <w:color w:val="374151"/>
          <w:sz w:val="26"/>
        </w:rPr>
        <w:t>3.2 Hyperparameter Configuration (`train_model.py`)</w:t>
      </w:r>
    </w:p>
    <w:tbl>
      <w:tblPr>
        <w:tblW w:type="auto" w:w="0"/>
        <w:jc w:val="center"/>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after="80"/>
            </w:pPr>
            <w:r>
              <w:rPr>
                <w:b/>
                <w:color w:val="6C757D"/>
                <w:sz w:val="17"/>
              </w:rPr>
              <w:t>[PYTHON]</w:t>
            </w:r>
          </w:p>
          <w:p>
            <w:pPr>
              <w:spacing w:before="0" w:after="0" w:line="260" w:lineRule="exact"/>
            </w:pPr>
            <w:r>
              <w:rPr>
                <w:rFonts w:ascii="Consolas" w:hAnsi="Consolas"/>
                <w:color w:val="282C34"/>
                <w:sz w:val="19"/>
              </w:rPr>
              <w:t>lgb_params = {</w:t>
              <w:br/>
              <w:t xml:space="preserve">    'objective': 'binary',</w:t>
              <w:br/>
              <w:t xml:space="preserve">    'metric': 'auc',</w:t>
              <w:br/>
              <w:t xml:space="preserve">    'boosting_type': 'gbdt',</w:t>
              <w:br/>
              <w:t xml:space="preserve">    'learning_rate': 0.05,</w:t>
              <w:br/>
              <w:t xml:space="preserve">    'num_leaves': 31,</w:t>
              <w:br/>
              <w:t xml:space="preserve">    'max_depth': 6,</w:t>
              <w:br/>
              <w:t xml:space="preserve">    'feature_fraction': 0.8,</w:t>
              <w:br/>
              <w:t xml:space="preserve">    'bagging_fraction': 0.8,</w:t>
              <w:br/>
              <w:t xml:space="preserve">    'bagging_freq': 5,</w:t>
              <w:br/>
              <w:t xml:space="preserve">    'min_child_samples': 20,</w:t>
              <w:br/>
              <w:t xml:space="preserve">    'random_state': 42</w:t>
              <w:br/>
              <w:t>}</w:t>
            </w:r>
          </w:p>
        </w:tc>
      </w:tr>
    </w:tbl>
    <w:p>
      <w:pPr>
        <w:spacing w:after="80"/>
      </w:pPr>
    </w:p>
    <w:p>
      <w:pPr>
        <w:spacing w:before="120" w:after="120"/>
        <w:pBdr>
          <w:bottom w:val="single" w:sz="6" w:space="1" w:color="D1D5DB"/>
        </w:pBdr>
      </w:pPr>
    </w:p>
    <w:p>
      <w:pPr>
        <w:keepNext/>
        <w:spacing w:before="280" w:after="120"/>
      </w:pPr>
      <w:r>
        <w:rPr>
          <w:b/>
          <w:color w:val="1E3A8A"/>
          <w:sz w:val="30"/>
        </w:rPr>
        <w:t>4. Explainable AI (XAI) via TreeSHAP</w:t>
      </w:r>
    </w:p>
    <w:p>
      <w:pPr>
        <w:keepNext/>
        <w:spacing w:before="200" w:after="80"/>
      </w:pPr>
      <w:r>
        <w:rPr>
          <w:b/>
          <w:color w:val="374151"/>
          <w:sz w:val="26"/>
        </w:rPr>
        <w:t>4.1 Theoretical Foundation</w:t>
      </w:r>
    </w:p>
    <w:p>
      <w:pPr>
        <w:spacing w:after="120" w:before="0" w:line="276" w:lineRule="auto"/>
      </w:pPr>
      <w:r>
        <w:t xml:space="preserve">To make black-box tree predictions interpretable for retention operations, Rentora implements </w:t>
      </w:r>
      <w:r>
        <w:rPr>
          <w:b/>
        </w:rPr>
        <w:t>TreeSHAP</w:t>
      </w:r>
      <w:r>
        <w:t xml:space="preserve"> based on cooperative game theory:</w:t>
      </w:r>
    </w:p>
    <w:p>
      <w:pPr>
        <w:spacing w:after="120" w:before="0" w:line="276" w:lineRule="auto"/>
      </w:pPr>
      <w:r>
        <w:t>$$\phi_i(x) = \sum_{S \subseteq F \setminus \{i\}} \frac{|S|!(|F| - |S| - 1)!}{|F|!} \left[ f_x(S \cup \{i\}) - f_x(S) \right]$$</w:t>
      </w:r>
    </w:p>
    <w:p>
      <w:pPr>
        <w:spacing w:after="120" w:before="0" w:line="276" w:lineRule="auto"/>
      </w:pPr>
      <w:r>
        <w:t>where $F$ is the complete feature set and $S$ is a feature subset.</w:t>
      </w:r>
    </w:p>
    <w:p>
      <w:pPr>
        <w:keepNext/>
        <w:spacing w:before="200" w:after="80"/>
      </w:pPr>
      <w:r>
        <w:rPr>
          <w:b/>
          <w:color w:val="374151"/>
          <w:sz w:val="26"/>
        </w:rPr>
        <w:t>4.2 Translating Shapley Values to Plain-Language Reason Codes</w:t>
      </w:r>
    </w:p>
    <w:p>
      <w:pPr>
        <w:spacing w:after="120" w:before="0" w:line="276" w:lineRule="auto"/>
      </w:pPr>
      <w:r>
        <w:t xml:space="preserve">In </w:t>
      </w:r>
      <w:r>
        <w:rPr>
          <w:rFonts w:ascii="Consolas" w:hAnsi="Consolas"/>
          <w:color w:val="C7254E"/>
          <w:sz w:val="19"/>
        </w:rPr>
        <w:t>train_model.py</w:t>
      </w:r>
      <w:r>
        <w:t>, raw positive Shapley attributions ($\phi_i &gt; 0$) are programmatically mapped to intuitive operational explanations:</w:t>
      </w:r>
    </w:p>
    <w:tbl>
      <w:tblPr>
        <w:tblW w:type="auto" w:w="0"/>
        <w:jc w:val="center"/>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after="80"/>
            </w:pPr>
            <w:r>
              <w:rPr>
                <w:b/>
                <w:color w:val="6C757D"/>
                <w:sz w:val="17"/>
              </w:rPr>
              <w:t>[PYTHON]</w:t>
            </w:r>
          </w:p>
          <w:p>
            <w:pPr>
              <w:spacing w:before="0" w:after="0" w:line="260" w:lineRule="exact"/>
            </w:pPr>
            <w:r>
              <w:rPr>
                <w:rFonts w:ascii="Consolas" w:hAnsi="Consolas"/>
                <w:color w:val="282C34"/>
                <w:sz w:val="19"/>
              </w:rPr>
              <w:t>def generate_shap_reason(feature_contributions):</w:t>
              <w:br/>
              <w:t xml:space="preserve">    # Sort features by highest positive attribution toward churn</w:t>
              <w:br/>
              <w:t xml:space="preserve">    top_driver = sorted(feature_contributions.items(), key=lambda x: x[1], reverse=True)[0]</w:t>
              <w:br/>
              <w:t xml:space="preserve">    feature_name, shap_val = top_driver</w:t>
              <w:br/>
              <w:t xml:space="preserve">    </w:t>
              <w:br/>
              <w:t xml:space="preserve">    reasons_map = {</w:t>
              <w:br/>
              <w:t xml:space="preserve">        'late_payments': "High frequency of delayed rental payments",</w:t>
              <w:br/>
              <w:t xml:space="preserve">        'early_returns': "Premature appliance returns detected",</w:t>
              <w:br/>
              <w:t xml:space="preserve">        'days_inactive': "Over 20+ days of platform inactivity",</w:t>
              <w:br/>
              <w:t xml:space="preserve">        'avg_rating': "Low user satisfaction rating reported",</w:t>
              <w:br/>
              <w:t xml:space="preserve">        'cart_abandonment': "Repeated cart checkout abandonments"</w:t>
              <w:br/>
              <w:t xml:space="preserve">    }</w:t>
              <w:br/>
              <w:t xml:space="preserve">    return reasons_map.get(feature_name, "Elevated behavioral churn risk")</w:t>
            </w:r>
          </w:p>
        </w:tc>
      </w:tr>
    </w:tbl>
    <w:p>
      <w:pPr>
        <w:spacing w:after="80"/>
      </w:pPr>
    </w:p>
    <w:p>
      <w:pPr>
        <w:spacing w:before="120" w:after="120"/>
        <w:pBdr>
          <w:bottom w:val="single" w:sz="6" w:space="1" w:color="D1D5DB"/>
        </w:pBdr>
      </w:pPr>
    </w:p>
    <w:p>
      <w:pPr>
        <w:keepNext/>
        <w:spacing w:before="280" w:after="120"/>
      </w:pPr>
      <w:r>
        <w:rPr>
          <w:b/>
          <w:color w:val="1E3A8A"/>
          <w:sz w:val="30"/>
        </w:rPr>
        <w:t>5. Content-Aware Recommendation Engine (Model 2: TF-IDF &amp; Cosine Similarity)</w:t>
      </w:r>
    </w:p>
    <w:p>
      <w:pPr>
        <w:keepNext/>
        <w:spacing w:before="200" w:after="80"/>
      </w:pPr>
      <w:r>
        <w:rPr>
          <w:b/>
          <w:color w:val="374151"/>
          <w:sz w:val="26"/>
        </w:rPr>
        <w:t>5.1 Text Vectorization</w:t>
      </w:r>
    </w:p>
    <w:p>
      <w:pPr>
        <w:spacing w:after="120" w:before="0" w:line="276" w:lineRule="auto"/>
      </w:pPr>
      <w:r>
        <w:t>To eliminate cold-start issues in equipment leasing, product metadata is combined into composite document strings:</w:t>
      </w:r>
    </w:p>
    <w:p>
      <w:pPr>
        <w:spacing w:after="120" w:before="0" w:line="276" w:lineRule="auto"/>
      </w:pPr>
      <w:r>
        <w:t>$$\text{Document}_j = \text{Category}_j \oplus \text{Title}_j \oplus \text{Specs}_j \oplus \text{Description}_j$$</w:t>
      </w:r>
    </w:p>
    <w:p>
      <w:pPr>
        <w:spacing w:after="120" w:before="0" w:line="276" w:lineRule="auto"/>
      </w:pPr>
      <w:r>
        <w:t>We apply sublinear TF scaling:</w:t>
      </w:r>
    </w:p>
    <w:p>
      <w:pPr>
        <w:spacing w:after="120" w:before="0" w:line="276" w:lineRule="auto"/>
      </w:pPr>
      <w:r>
        <w:t>$$\text{TF}(t, d) = 1 + \log(\text{frequency}(t, d))$$</w:t>
      </w:r>
    </w:p>
    <w:p>
      <w:pPr>
        <w:spacing w:after="120" w:before="0" w:line="276" w:lineRule="auto"/>
      </w:pPr>
      <w:r>
        <w:t>$$\text{IDF}(t, D) = \log\left( \frac{1 + |D|}{1 + \text{DF}(t, D)} \right) + 1$$</w:t>
      </w:r>
    </w:p>
    <w:p>
      <w:pPr>
        <w:keepNext/>
        <w:spacing w:before="200" w:after="80"/>
      </w:pPr>
      <w:r>
        <w:rPr>
          <w:b/>
          <w:color w:val="374151"/>
          <w:sz w:val="26"/>
        </w:rPr>
        <w:t>5.2 Pairwise Similarity Computation</w:t>
      </w:r>
    </w:p>
    <w:p>
      <w:pPr>
        <w:spacing w:after="120" w:before="0" w:line="276" w:lineRule="auto"/>
      </w:pPr>
      <w:r>
        <w:t>Given the TF-IDF matrix $\mathbf{V}$, the similarity matrix $\mathbf{S}$ is:</w:t>
      </w:r>
    </w:p>
    <w:p>
      <w:pPr>
        <w:spacing w:after="120" w:before="0" w:line="276" w:lineRule="auto"/>
      </w:pPr>
      <w:r>
        <w:t>$$\mathbf{S}_{ij} = \frac{\mathbf{v}_i \cdot \mathbf{v}_j}{\|\mathbf{v}_i\|_2 \|\mathbf{v}_j\|_2}$$</w:t>
      </w:r>
    </w:p>
    <w:p>
      <w:pPr>
        <w:spacing w:after="120" w:before="0" w:line="276" w:lineRule="auto"/>
      </w:pPr>
      <w:r>
        <w:t>For a customer who previously rented item $i$, recommendations are fetched by selecting:</w:t>
      </w:r>
    </w:p>
    <w:p>
      <w:pPr>
        <w:spacing w:after="120" w:before="0" w:line="276" w:lineRule="auto"/>
      </w:pPr>
      <w:r>
        <w:t>$$\text{TopRecommendations}(i) = \arg\max_{j \neq i}^{(k)} \mathbf{S}_{ij}$$</w:t>
      </w:r>
    </w:p>
    <w:p>
      <w:pPr>
        <w:spacing w:before="120" w:after="120"/>
        <w:pBdr>
          <w:bottom w:val="single" w:sz="6" w:space="1" w:color="D1D5DB"/>
        </w:pBdr>
      </w:pPr>
    </w:p>
    <w:p>
      <w:pPr>
        <w:keepNext/>
        <w:spacing w:before="280" w:after="120"/>
      </w:pPr>
      <w:r>
        <w:rPr>
          <w:b/>
          <w:color w:val="1E3A8A"/>
          <w:sz w:val="30"/>
        </w:rPr>
        <w:t>6. Operational Synchronization to MongoDB</w:t>
      </w:r>
    </w:p>
    <w:p>
      <w:pPr>
        <w:spacing w:after="120" w:before="0" w:line="276" w:lineRule="auto"/>
      </w:pPr>
      <w:r>
        <w:t xml:space="preserve">The pipeline updates MongoDB in bulk using </w:t>
      </w:r>
      <w:r>
        <w:rPr>
          <w:rFonts w:ascii="Consolas" w:hAnsi="Consolas"/>
          <w:color w:val="C7254E"/>
          <w:sz w:val="19"/>
        </w:rPr>
        <w:t>UpdateOne</w:t>
      </w:r>
      <w:r>
        <w:t xml:space="preserve"> with </w:t>
      </w:r>
      <w:r>
        <w:rPr>
          <w:rFonts w:ascii="Consolas" w:hAnsi="Consolas"/>
          <w:color w:val="C7254E"/>
          <w:sz w:val="19"/>
        </w:rPr>
        <w:t>upsert=True</w:t>
      </w:r>
      <w:r>
        <w:t>:</w:t>
      </w:r>
    </w:p>
    <w:tbl>
      <w:tblPr>
        <w:tblW w:type="auto" w:w="0"/>
        <w:jc w:val="center"/>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after="80"/>
            </w:pPr>
            <w:r>
              <w:rPr>
                <w:b/>
                <w:color w:val="6C757D"/>
                <w:sz w:val="17"/>
              </w:rPr>
              <w:t>[PYTHON]</w:t>
            </w:r>
          </w:p>
          <w:p>
            <w:pPr>
              <w:spacing w:before="0" w:after="0" w:line="260" w:lineRule="exact"/>
            </w:pPr>
            <w:r>
              <w:rPr>
                <w:rFonts w:ascii="Consolas" w:hAnsi="Consolas"/>
                <w:color w:val="282C34"/>
                <w:sz w:val="19"/>
              </w:rPr>
              <w:t># Synchronizing scores to MongoDB</w:t>
              <w:br/>
              <w:t>operations = [</w:t>
              <w:br/>
              <w:t xml:space="preserve">    UpdateOne(</w:t>
              <w:br/>
              <w:t xml:space="preserve">        {"user_id": uid},</w:t>
              <w:br/>
              <w:t xml:space="preserve">        {"$set": {</w:t>
              <w:br/>
              <w:t xml:space="preserve">            "churn_risk_score": float(score),</w:t>
              <w:br/>
              <w:t xml:space="preserve">            "shap_reason": reason,</w:t>
              <w:br/>
              <w:t xml:space="preserve">            "last_updated": datetime.utcnow()</w:t>
              <w:br/>
              <w:t xml:space="preserve">        }},</w:t>
              <w:br/>
              <w:t xml:space="preserve">        upsert=True</w:t>
              <w:br/>
              <w:t xml:space="preserve">    )</w:t>
              <w:br/>
              <w:t xml:space="preserve">    for uid, score, reason in predictions</w:t>
              <w:br/>
              <w:t>]</w:t>
              <w:br/>
              <w:t>db.user_churn_scores.bulk_write(operations)</w:t>
            </w:r>
          </w:p>
        </w:tc>
      </w:tr>
    </w:tbl>
    <w:p>
      <w:pPr>
        <w:spacing w:after="80"/>
      </w:pPr>
    </w:p>
    <w:p>
      <w:pPr>
        <w:spacing w:after="120" w:before="0" w:line="276" w:lineRule="auto"/>
      </w:pPr>
      <w:r>
        <w:t xml:space="preserve">This guarantees that operational web requests to </w:t>
      </w:r>
      <w:r>
        <w:rPr>
          <w:rFonts w:ascii="Consolas" w:hAnsi="Consolas"/>
          <w:color w:val="C7254E"/>
          <w:sz w:val="19"/>
        </w:rPr>
        <w:t>/api/recommendations/</w:t>
      </w:r>
      <w:r>
        <w:t xml:space="preserve"> and </w:t>
      </w:r>
      <w:r>
        <w:rPr>
          <w:rFonts w:ascii="Consolas" w:hAnsi="Consolas"/>
          <w:color w:val="C7254E"/>
          <w:sz w:val="19"/>
        </w:rPr>
        <w:t>/api/admin/dashboard/</w:t>
      </w:r>
      <w:r>
        <w:t xml:space="preserve"> execute in </w:t>
      </w:r>
      <w:r>
        <w:rPr>
          <w:b/>
        </w:rPr>
        <w:t>sub-50ms</w:t>
      </w:r>
      <w:r>
        <w:t xml:space="preserve"> without triggering dynamic model inference.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