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Calibri" w:hAnsi="Calibri"/>
          <w:b/>
          <w:color w:val="294B71"/>
          <w:sz w:val="48"/>
        </w:rPr>
        <w:t>A Comprehensive Survey of Global Art History and Architectural Heritage</w:t>
      </w:r>
    </w:p>
    <w:p>
      <w:pPr>
        <w:spacing w:line="276" w:lineRule="auto" w:after="120"/>
      </w:pPr>
      <w:r>
        <w:rPr>
          <w:rFonts w:ascii="Calibri" w:hAnsi="Calibri"/>
          <w:color w:val="333333"/>
          <w:sz w:val="22"/>
        </w:rPr>
        <w:t>This document provides an in-depth exploration of major epochs in world art history, spanning from the High Renaissance in Western Europe to classical East Asian ink wash painting, and architectural marvels across diverse civilizations. Every topic is curated to highlight cultural heritage, technique, and historical context independently of computational technologies.</w:t>
      </w:r>
    </w:p>
    <w:p>
      <w:pPr>
        <w:spacing w:before="320" w:after="120"/>
      </w:pPr>
      <w:r>
        <w:rPr>
          <w:rFonts w:ascii="Calibri" w:hAnsi="Calibri"/>
          <w:b/>
          <w:color w:val="294B71"/>
          <w:sz w:val="32"/>
        </w:rPr>
        <w:t>1. The Italian High Renaissance (Late 15th to Early 16th Century)</w:t>
      </w:r>
    </w:p>
    <w:p>
      <w:pPr>
        <w:spacing w:line="276" w:lineRule="auto" w:after="120"/>
      </w:pPr>
      <w:r>
        <w:rPr>
          <w:rFonts w:ascii="Calibri" w:hAnsi="Calibri"/>
          <w:color w:val="333333"/>
          <w:sz w:val="22"/>
        </w:rPr>
        <w:t>The High Renaissance represents the culmination of the artistic developments of the early Renaissance, flourishing for roughly three decades from the 1490s to the sack of Rome in 1527. Centered primarily in Florence and Rome, this period was defined by a renewed mastery of perspective, anatomical realism, harmonious composition, and humanist philosophy.</w:t>
      </w:r>
    </w:p>
    <w:p>
      <w:pPr>
        <w:spacing w:before="240" w:after="80"/>
      </w:pPr>
      <w:r>
        <w:rPr>
          <w:rFonts w:ascii="Calibri" w:hAnsi="Calibri"/>
          <w:b/>
          <w:color w:val="5C768D"/>
          <w:sz w:val="26"/>
        </w:rPr>
        <w:t>Key Masters and Techniques</w:t>
      </w:r>
    </w:p>
    <w:p>
      <w:pPr>
        <w:pStyle w:val="ListBullet"/>
      </w:pPr>
      <w:r>
        <w:t>• Leonardo da Vinci (1452–1519): Renowned for pioneering the sfumato technique—a method of blurring transitions between colors and tones to mimic human vision—exemplified in masterpieces such as the Mona Lisa and The Last Supper.</w:t>
      </w:r>
    </w:p>
    <w:p>
      <w:pPr>
        <w:pStyle w:val="ListBullet"/>
      </w:pPr>
      <w:r>
        <w:t>• Michelangelo Buonarroti (1475–1564): Celebrated for his peerless mastery of human anatomy and sculpting, immortalized in the ceiling frescoes of the Sistine Chapel and marble sculptures including David and the Pietà.</w:t>
      </w:r>
    </w:p>
    <w:p>
      <w:pPr>
        <w:pStyle w:val="ListBullet"/>
      </w:pPr>
      <w:r>
        <w:t>• Raphael Sanzio (1483–1520): Celebrated for clarity of form, ease of composition, and visual achievement of Neoplatonic ideal beauty, highlighted in works like The School of Athens.</w:t>
      </w:r>
    </w:p>
    <w:p>
      <w:pPr>
        <w:spacing w:before="320" w:after="120"/>
      </w:pPr>
      <w:r>
        <w:rPr>
          <w:rFonts w:ascii="Calibri" w:hAnsi="Calibri"/>
          <w:b/>
          <w:color w:val="294B71"/>
          <w:sz w:val="32"/>
        </w:rPr>
        <w:t>2. Impressionism and Post-Impressionism in 19th-Century France</w:t>
      </w:r>
    </w:p>
    <w:p>
      <w:pPr>
        <w:spacing w:line="276" w:lineRule="auto" w:after="120"/>
      </w:pPr>
      <w:r>
        <w:rPr>
          <w:rFonts w:ascii="Calibri" w:hAnsi="Calibri"/>
          <w:color w:val="333333"/>
          <w:sz w:val="22"/>
        </w:rPr>
        <w:t>Originating as a radical association of Paris-based artists who exhibited independently in the 1870s and 1880s, Impressionism revolutionized Western painting. Impressionist painters broke away from academic traditions by painting en plein air (outdoors), capturing fleeting moments of light, visible brushstrokes, and everyday subjects.</w:t>
      </w:r>
    </w:p>
    <w:p>
      <w:pPr>
        <w:spacing w:before="240" w:after="80"/>
      </w:pPr>
      <w:r>
        <w:rPr>
          <w:rFonts w:ascii="Calibri" w:hAnsi="Calibri"/>
          <w:b/>
          <w:color w:val="5C768D"/>
          <w:sz w:val="26"/>
        </w:rPr>
        <w:t>Core Artistic Innovations</w:t>
      </w:r>
    </w:p>
    <w:p>
      <w:pPr>
        <w:spacing w:line="276" w:lineRule="auto" w:after="120"/>
      </w:pPr>
      <w:r>
        <w:rPr>
          <w:rFonts w:ascii="Calibri" w:hAnsi="Calibri"/>
          <w:color w:val="333333"/>
          <w:sz w:val="22"/>
        </w:rPr>
        <w:t>Painters such as Claude Monet, Edgar Degas, Camille Pissarro, and Pierre-Auguste Renoir focused on optical color mixing rather than mixing pigments on a palette. Later, Post-Impressionists like Vincent van Gogh, Paul Cézanne, and Georges Seurat expanded upon Impressionist color theory by emphasizing geometric structure, symbolic color expression, and pointillist divisionism.</w:t>
      </w:r>
    </w:p>
    <w:p>
      <w:pPr>
        <w:spacing w:before="320" w:after="120"/>
      </w:pPr>
      <w:r>
        <w:rPr>
          <w:rFonts w:ascii="Calibri" w:hAnsi="Calibri"/>
          <w:b/>
          <w:color w:val="294B71"/>
          <w:sz w:val="32"/>
        </w:rPr>
        <w:t>3. Architectural Marvels of Antiquity and the Middle Ages</w:t>
      </w:r>
    </w:p>
    <w:p>
      <w:pPr>
        <w:spacing w:line="276" w:lineRule="auto" w:after="120"/>
      </w:pPr>
      <w:r>
        <w:rPr>
          <w:rFonts w:ascii="Calibri" w:hAnsi="Calibri"/>
          <w:color w:val="333333"/>
          <w:sz w:val="22"/>
        </w:rPr>
        <w:t>Human architecture reflects technological capability, cosmological beliefs, and sociopolitical structures throughout history.</w:t>
      </w:r>
    </w:p>
    <w:p>
      <w:pPr>
        <w:spacing w:before="240" w:after="80"/>
      </w:pPr>
      <w:r>
        <w:rPr>
          <w:rFonts w:ascii="Calibri" w:hAnsi="Calibri"/>
          <w:b/>
          <w:color w:val="5C768D"/>
          <w:sz w:val="26"/>
        </w:rPr>
        <w:t>Gothic Cathedrals of Medieval Europe</w:t>
      </w:r>
    </w:p>
    <w:p>
      <w:pPr>
        <w:spacing w:line="276" w:lineRule="auto" w:after="120"/>
      </w:pPr>
      <w:r>
        <w:rPr>
          <w:rFonts w:ascii="Calibri" w:hAnsi="Calibri"/>
          <w:color w:val="333333"/>
          <w:sz w:val="22"/>
        </w:rPr>
        <w:t>Emerging in France during the 12th century, Gothic architecture replaced heavy Romanesque structures with soaring verticality, pointed arches, ribbed vaults, and flying buttresses. These engineering breakthroughs allowed cathedrals like Chartres, Notre-Dame de Paris, and Reims to pierce the heavens and flood interiors with colored light through magnificent stained glass rose windows.</w:t>
      </w:r>
    </w:p>
    <w:p>
      <w:pPr>
        <w:spacing w:before="240" w:after="80"/>
      </w:pPr>
      <w:r>
        <w:rPr>
          <w:rFonts w:ascii="Calibri" w:hAnsi="Calibri"/>
          <w:b/>
          <w:color w:val="5C768D"/>
          <w:sz w:val="26"/>
        </w:rPr>
        <w:t>Classical East Asian Timber Pagodas</w:t>
      </w:r>
    </w:p>
    <w:p>
      <w:pPr>
        <w:spacing w:line="276" w:lineRule="auto" w:after="120"/>
      </w:pPr>
      <w:r>
        <w:rPr>
          <w:rFonts w:ascii="Calibri" w:hAnsi="Calibri"/>
          <w:color w:val="333333"/>
          <w:sz w:val="22"/>
        </w:rPr>
        <w:t>Traditional East Asian timber architecture, exemplified by structures like Hōryū-ji in Japan and ancient pagodas in China, utilized intricate interlocking wooden bracket sets (dougong) without nails. This flexible joinery provided exceptional earthquake resistance while expressing elegant proportional harmony.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