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Machine-Learning–Based Classification of Standing Postures at Standing Workstations Using a Wii Balance Board.</w:t>
      </w:r>
      <w:r w:rsidDel="00000000" w:rsidR="00000000" w:rsidRPr="00000000">
        <w:rPr>
          <w:rtl w:val="0"/>
        </w:rPr>
      </w:r>
    </w:p>
    <w:p w:rsidR="00000000" w:rsidDel="00000000" w:rsidP="00000000" w:rsidRDefault="00000000" w:rsidRPr="00000000" w14:paraId="0000000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 pain is a near-universal human experience, and musculoskeletal pain is an extremely common health problem, both caused most frequently by poor posture. Holding an awkward or uncomfortable pose for an extended period of time puts a steady strain on the spine and surrounding muscles (Kang et al., 2026). Standing workstations can be a deterrent for back pain generated from long periods of sitting, but they require the user to maintain an upright stance the entire time they are using them. Unfortunately, people often naturally slouch as the day progresses (Tapanya &amp; Sangkarit, 2024). Unnoticed or unattended bad posture over time can become a serious health complication.</w:t>
      </w:r>
    </w:p>
    <w:p w:rsidR="00000000" w:rsidDel="00000000" w:rsidP="00000000" w:rsidRDefault="00000000" w:rsidRPr="00000000" w14:paraId="00000003">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Laboratory-grade force plates are able to accurately measure posture, but lack practicality for everyday use due to the significantly high prices. These devices can cost from one thousand to 10 thousand dollars, are heavy, bulky, and require dedicated lab space alongside trained operators to utilize efficiently (Kang et al., 2026). Consequently, many individuals, including people using standing desks regularly, the elderly, and patients with chronic conditions, lack a means of analyzing and fixing their posture.</w:t>
      </w:r>
    </w:p>
    <w:p w:rsidR="00000000" w:rsidDel="00000000" w:rsidP="00000000" w:rsidRDefault="00000000" w:rsidRPr="00000000" w14:paraId="0000000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examines the Nintendo Wii Balance Board. The board contains four sensors, one at each corner, that estimate weight/force distribution and the Center of Pressure(CoP). Past research shows that the metrics it can measure allow it to track posture and balance with accuracy comparable to expensive force plates (Clark et al., 2018). Evidence indicates that data from the board can still train accurate prediction models (Severini et al., 2017). This study collected balance data from people standing at a workstation in both neutral and slouched postures. We used that data to train Logistic Regression, Random Forest, and Decision Tree machine learning models to determine if the board alone can distinguish between the two postures.</w:t>
      </w:r>
      <w:r w:rsidDel="00000000" w:rsidR="00000000" w:rsidRPr="00000000">
        <w:rPr>
          <w:rtl w:val="0"/>
        </w:rPr>
      </w:r>
    </w:p>
    <w:p w:rsidR="00000000" w:rsidDel="00000000" w:rsidP="00000000" w:rsidRDefault="00000000" w:rsidRPr="00000000" w14:paraId="00000005">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0" w:before="0"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0" w:before="0"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0" w:before="0"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0" w:before="0"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0" w:before="0"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0" w:before="0"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0" w:before="0"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0" w:before="0"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0" w:before="0"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0" w:before="0"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0" w:before="0"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0" w:before="0"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0" w:before="0"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0" w:before="0"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0" w:before="0"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0" w:before="0"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0" w:before="0"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0" w:before="0"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spacing w:after="0" w:before="0" w:line="480" w:lineRule="auto"/>
        <w:ind w:left="720" w:hanging="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1B">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Clark, R. A., Mentiplay, B. F., Pua, Y.-H., &amp; Bower, K. J. (2018, March). </w:t>
      </w:r>
      <w:r w:rsidDel="00000000" w:rsidR="00000000" w:rsidRPr="00000000">
        <w:rPr>
          <w:rFonts w:ascii="Times New Roman" w:cs="Times New Roman" w:eastAsia="Times New Roman" w:hAnsi="Times New Roman"/>
          <w:i w:val="1"/>
          <w:iCs w:val="1"/>
          <w:sz w:val="24"/>
          <w:szCs w:val="24"/>
          <w:rtl w:val="0"/>
        </w:rPr>
        <w:t xml:space="preserve">Reliability and validity of the Wii Balance Board for assessment of Standing Balance: A systematic review - sciencedirect</w:t>
      </w:r>
      <w:r w:rsidDel="00000000" w:rsidR="00000000" w:rsidRPr="00000000">
        <w:rPr>
          <w:rFonts w:ascii="Times New Roman" w:cs="Times New Roman" w:eastAsia="Times New Roman" w:hAnsi="Times New Roman"/>
          <w:sz w:val="24"/>
          <w:szCs w:val="24"/>
          <w:rtl w:val="0"/>
        </w:rPr>
        <w:t xml:space="preserve">. ScienceDirect. </w:t>
      </w:r>
      <w:hyperlink r:id="rId6">
        <w:r w:rsidDel="00000000" w:rsidR="00000000" w:rsidRPr="00000000">
          <w:rPr>
            <w:rFonts w:ascii="Times New Roman" w:cs="Times New Roman" w:eastAsia="Times New Roman" w:hAnsi="Times New Roman"/>
            <w:color w:val="1155cc"/>
            <w:sz w:val="24"/>
            <w:szCs w:val="24"/>
            <w:u w:val="single"/>
            <w:rtl w:val="0"/>
          </w:rPr>
          <w:t xml:space="preserve">https://www.sciencedirect.com/science/article/abs/pii/S0966636217310512</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1C">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Kang, S., Hwang, J., &amp; Etebar Zadeh, M. (2026, March 27). </w:t>
      </w:r>
      <w:r w:rsidDel="00000000" w:rsidR="00000000" w:rsidRPr="00000000">
        <w:rPr>
          <w:rFonts w:ascii="Times New Roman" w:cs="Times New Roman" w:eastAsia="Times New Roman" w:hAnsi="Times New Roman"/>
          <w:i w:val="1"/>
          <w:iCs w:val="1"/>
          <w:sz w:val="24"/>
          <w:szCs w:val="24"/>
          <w:rtl w:val="0"/>
        </w:rPr>
        <w:t xml:space="preserve">A machine learning approach to predict objective and subjective low back fatigue using postural control features during sustained trunk flexion: IISE transactions on Occupational Ergonomics and Human Factors: Vol 0, no 0 - get access</w:t>
      </w:r>
      <w:r w:rsidDel="00000000" w:rsidR="00000000" w:rsidRPr="00000000">
        <w:rPr>
          <w:rFonts w:ascii="Times New Roman" w:cs="Times New Roman" w:eastAsia="Times New Roman" w:hAnsi="Times New Roman"/>
          <w:sz w:val="24"/>
          <w:szCs w:val="24"/>
          <w:rtl w:val="0"/>
        </w:rPr>
        <w:t xml:space="preserve">. Taylor &amp; Francis Online. </w:t>
      </w:r>
      <w:hyperlink r:id="rId7">
        <w:r w:rsidDel="00000000" w:rsidR="00000000" w:rsidRPr="00000000">
          <w:rPr>
            <w:rFonts w:ascii="Times New Roman" w:cs="Times New Roman" w:eastAsia="Times New Roman" w:hAnsi="Times New Roman"/>
            <w:color w:val="1155cc"/>
            <w:sz w:val="24"/>
            <w:szCs w:val="24"/>
            <w:u w:val="single"/>
            <w:rtl w:val="0"/>
          </w:rPr>
          <w:t xml:space="preserve">https://www.tandfonline.com/doi/full/10.1080/24725838.2026.2646995</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1D">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Severini, G., Straudi, S., Pavarelli, C., Da Roit, M., Martinuzzi, C., Di Marco Pizzongolo, L., &amp; Basaglia, N. (2017, March 11). </w:t>
      </w:r>
      <w:r w:rsidDel="00000000" w:rsidR="00000000" w:rsidRPr="00000000">
        <w:rPr>
          <w:rFonts w:ascii="Times New Roman" w:cs="Times New Roman" w:eastAsia="Times New Roman" w:hAnsi="Times New Roman"/>
          <w:i w:val="1"/>
          <w:iCs w:val="1"/>
          <w:sz w:val="24"/>
          <w:szCs w:val="24"/>
          <w:rtl w:val="0"/>
        </w:rPr>
        <w:t xml:space="preserve">Use of Nintendo Wii Balance Board for posturographic analysis of multiple sclerosis patients with minimal balance impairment | Journal of Neuroengineering and Rehabilitation | Springer Nature Link</w:t>
      </w:r>
      <w:r w:rsidDel="00000000" w:rsidR="00000000" w:rsidRPr="00000000">
        <w:rPr>
          <w:rFonts w:ascii="Times New Roman" w:cs="Times New Roman" w:eastAsia="Times New Roman" w:hAnsi="Times New Roman"/>
          <w:sz w:val="24"/>
          <w:szCs w:val="24"/>
          <w:rtl w:val="0"/>
        </w:rPr>
        <w:t xml:space="preserve">. Springer Nature Link. </w:t>
      </w:r>
      <w:hyperlink r:id="rId8">
        <w:r w:rsidDel="00000000" w:rsidR="00000000" w:rsidRPr="00000000">
          <w:rPr>
            <w:rFonts w:ascii="Times New Roman" w:cs="Times New Roman" w:eastAsia="Times New Roman" w:hAnsi="Times New Roman"/>
            <w:color w:val="1155cc"/>
            <w:sz w:val="24"/>
            <w:szCs w:val="24"/>
            <w:u w:val="single"/>
            <w:rtl w:val="0"/>
          </w:rPr>
          <w:t xml:space="preserve">https://link.springer.com/article/10.1186/s12984-017-0230-5</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1E">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Tapanya, W., &amp; Sangkarit, N. (2024, July 24). </w:t>
      </w:r>
      <w:r w:rsidDel="00000000" w:rsidR="00000000" w:rsidRPr="00000000">
        <w:rPr>
          <w:rFonts w:ascii="Times New Roman" w:cs="Times New Roman" w:eastAsia="Times New Roman" w:hAnsi="Times New Roman"/>
          <w:i w:val="1"/>
          <w:iCs w:val="1"/>
          <w:sz w:val="24"/>
          <w:szCs w:val="24"/>
          <w:rtl w:val="0"/>
        </w:rPr>
        <w:t xml:space="preserve">Smartphone usage and postural stability in individuals with forward head posture: A Nintendo Wii Balance Board analysis</w:t>
      </w:r>
      <w:r w:rsidDel="00000000" w:rsidR="00000000" w:rsidRPr="00000000">
        <w:rPr>
          <w:rFonts w:ascii="Times New Roman" w:cs="Times New Roman" w:eastAsia="Times New Roman" w:hAnsi="Times New Roman"/>
          <w:sz w:val="24"/>
          <w:szCs w:val="24"/>
          <w:rtl w:val="0"/>
        </w:rPr>
        <w:t xml:space="preserve">. e-arm.org. </w:t>
      </w:r>
      <w:hyperlink r:id="rId9">
        <w:r w:rsidDel="00000000" w:rsidR="00000000" w:rsidRPr="00000000">
          <w:rPr>
            <w:rFonts w:ascii="Times New Roman" w:cs="Times New Roman" w:eastAsia="Times New Roman" w:hAnsi="Times New Roman"/>
            <w:color w:val="1155cc"/>
            <w:sz w:val="24"/>
            <w:szCs w:val="24"/>
            <w:u w:val="single"/>
            <w:rtl w:val="0"/>
          </w:rPr>
          <w:t xml:space="preserve">https://www.e-arm.org/journal/view.php?doi=10.5535%2Farm.230034</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F">
      <w:pPr>
        <w:spacing w:after="0" w:before="0" w:line="480" w:lineRule="auto"/>
        <w:ind w:left="720" w:hanging="72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e-arm.org/journal/view.php?doi=10.5535%2Farm.230034" TargetMode="External"/><Relationship Id="rId5" Type="http://schemas.openxmlformats.org/officeDocument/2006/relationships/styles" Target="styles.xml"/><Relationship Id="rId6" Type="http://schemas.openxmlformats.org/officeDocument/2006/relationships/hyperlink" Target="https://www.sciencedirect.com/science/article/abs/pii/S0966636217310512" TargetMode="External"/><Relationship Id="rId7" Type="http://schemas.openxmlformats.org/officeDocument/2006/relationships/hyperlink" Target="https://www.tandfonline.com/doi/full/10.1080/24725838.2026.2646995" TargetMode="External"/><Relationship Id="rId8" Type="http://schemas.openxmlformats.org/officeDocument/2006/relationships/hyperlink" Target="https://link.springer.com/article/10.1186/s12984-017-023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