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Calibri" w:cs="Calibri" w:eastAsia="Calibri" w:hAnsi="Calibri"/>
          <w:b/>
          <w:bCs/>
          <w:color w:val="3730A3"/>
          <w:sz w:val="30"/>
          <w:szCs w:val="30"/>
        </w:rPr>
        <w:t xml:space="preserve">SEGUESYNC</w:t>
      </w:r>
    </w:p>
    <w:p>
      <w:pPr>
        <w:spacing w:after="60"/>
        <w:jc w:val="center"/>
      </w:pPr>
      <w:r>
        <w:rPr>
          <w:rFonts w:ascii="Calibri" w:cs="Calibri" w:eastAsia="Calibri" w:hAnsi="Calibri"/>
          <w:color w:val="52525B"/>
          <w:sz w:val="22"/>
          <w:szCs w:val="22"/>
        </w:rPr>
        <w:t xml:space="preserve">Client Document</w:t>
      </w:r>
    </w:p>
    <w:p>
      <w:pPr>
        <w:spacing w:after="500"/>
      </w:pPr>
    </w:p>
    <w:p>
      <w:pPr>
        <w:spacing w:after="200"/>
        <w:jc w:val="center"/>
      </w:pPr>
      <w:r>
        <w:rPr>
          <w:rFonts w:ascii="Calibri" w:cs="Calibri" w:eastAsia="Calibri" w:hAnsi="Calibri"/>
          <w:b/>
          <w:bCs/>
          <w:color w:val="3730A3"/>
          <w:sz w:val="48"/>
          <w:szCs w:val="48"/>
        </w:rPr>
        <w:t xml:space="preserve">Business Requirements
Document (BRD)</w:t>
      </w:r>
    </w:p>
    <w:p>
      <w:pPr>
        <w:spacing w:after="800"/>
        <w:jc w:val="center"/>
      </w:pPr>
      <w:r>
        <w:rPr>
          <w:rFonts w:ascii="Calibri" w:cs="Calibri" w:eastAsia="Calibri" w:hAnsi="Calibri"/>
          <w:i/>
          <w:iCs/>
          <w:color w:val="52525B"/>
          <w:sz w:val="22"/>
          <w:szCs w:val="22"/>
        </w:rPr>
        <w:t xml:space="preserve">Meeting &amp; Board Management Platform</w:t>
      </w:r>
    </w:p>
    <w:p>
      <w:pPr>
        <w:spacing w:after="14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773"/>
        <w:gridCol w:w="6200"/>
        <w:gridCol w:w="1773"/>
      </w:tblGrid>
      <w:tr>
        <w:tc>
          <w:tcPr>
            <w:tcW w:type="dxa" w:w="1773"/>
            <w:tcBorders>
              <w:top w:val="none" w:color="FFFFFF" w:sz="0"/>
              <w:left w:val="none" w:color="FFFFFF" w:sz="0"/>
              <w:bottom w:val="none" w:color="FFFFFF" w:sz="0"/>
              <w:right w:val="none" w:color="FFFFFF" w:sz="0"/>
            </w:tcBorders>
          </w:tcPr>
          <w:p/>
        </w:tc>
        <w:tc>
          <w:tcPr>
            <w:tcW w:type="dxa" w:w="6200"/>
            <w:tcBorders>
              <w:top w:val="single" w:color="3730A3" w:sz="6"/>
              <w:left w:val="single" w:color="3730A3" w:sz="6"/>
              <w:bottom w:val="single" w:color="3730A3" w:sz="6"/>
              <w:right w:val="single" w:color="3730A3" w:sz="6"/>
            </w:tcBorders>
            <w:shd w:fill="EEF2FF" w:color="auto" w:val="clear"/>
            <w:tcMar>
              <w:top w:type="dxa" w:w="200"/>
              <w:left w:type="dxa" w:w="260"/>
              <w:bottom w:type="dxa" w:w="200"/>
              <w:right w:type="dxa" w:w="260"/>
            </w:tcMar>
          </w:tcPr>
          <w:p>
            <w:pPr>
              <w:spacing w:after="80"/>
              <w:jc w:val="center"/>
            </w:pPr>
            <w:r>
              <w:rPr>
                <w:rFonts w:ascii="Calibri" w:cs="Calibri" w:eastAsia="Calibri" w:hAnsi="Calibri"/>
                <w:color w:val="52525B"/>
                <w:sz w:val="18"/>
                <w:szCs w:val="18"/>
              </w:rPr>
              <w:t xml:space="preserve">Prepared for:</w:t>
            </w:r>
            <w:r>
              <w:rPr>
                <w:rFonts w:ascii="Calibri" w:cs="Calibri" w:eastAsia="Calibri" w:hAnsi="Calibri"/>
                <w:b/>
                <w:bCs/>
                <w:color w:val="1F2933"/>
                <w:sz w:val="18"/>
                <w:szCs w:val="18"/>
              </w:rPr>
              <w:t xml:space="preserve">  Project Stakeholders</w:t>
            </w:r>
          </w:p>
          <w:p>
            <w:pPr>
              <w:spacing w:after="80"/>
              <w:jc w:val="center"/>
            </w:pPr>
            <w:r>
              <w:rPr>
                <w:rFonts w:ascii="Calibri" w:cs="Calibri" w:eastAsia="Calibri" w:hAnsi="Calibri"/>
                <w:color w:val="52525B"/>
                <w:sz w:val="18"/>
                <w:szCs w:val="18"/>
              </w:rPr>
              <w:t xml:space="preserve">Prepared by:</w:t>
            </w:r>
            <w:r>
              <w:rPr>
                <w:rFonts w:ascii="Calibri" w:cs="Calibri" w:eastAsia="Calibri" w:hAnsi="Calibri"/>
                <w:b/>
                <w:bCs/>
                <w:color w:val="1F2933"/>
                <w:sz w:val="18"/>
                <w:szCs w:val="18"/>
              </w:rPr>
              <w:t xml:space="preserve">  SegueIT — Product &amp; Engineering</w:t>
            </w:r>
          </w:p>
          <w:p>
            <w:pPr>
              <w:jc w:val="center"/>
            </w:pPr>
            <w:r>
              <w:rPr>
                <w:rFonts w:ascii="Calibri" w:cs="Calibri" w:eastAsia="Calibri" w:hAnsi="Calibri"/>
                <w:color w:val="52525B"/>
                <w:sz w:val="18"/>
                <w:szCs w:val="18"/>
              </w:rPr>
              <w:t xml:space="preserve">Date:</w:t>
            </w:r>
            <w:r>
              <w:rPr>
                <w:rFonts w:ascii="Calibri" w:cs="Calibri" w:eastAsia="Calibri" w:hAnsi="Calibri"/>
                <w:b/>
                <w:bCs/>
                <w:color w:val="1F2933"/>
                <w:sz w:val="18"/>
                <w:szCs w:val="18"/>
              </w:rPr>
              <w:t xml:space="preserve">  August 2026</w:t>
            </w:r>
          </w:p>
        </w:tc>
        <w:tc>
          <w:tcPr>
            <w:tcW w:type="dxa" w:w="1773"/>
            <w:tcBorders>
              <w:top w:val="none" w:color="FFFFFF" w:sz="0"/>
              <w:left w:val="none" w:color="FFFFFF" w:sz="0"/>
              <w:bottom w:val="none" w:color="FFFFFF" w:sz="0"/>
              <w:right w:val="none" w:color="FFFFFF" w:sz="0"/>
            </w:tcBorders>
          </w:tcPr>
          <w:p/>
        </w:tc>
      </w:tr>
    </w:tbl>
    <w:p>
      <w:pPr>
        <w:sectPr>
          <w:pgSz w:w="11906" w:h="16838" w:orient="portrait"/>
          <w:pgMar w:top="1080" w:right="1080" w:bottom="1080" w:left="1080" w:header="708" w:footer="708" w:gutter="0"/>
          <w:pgNumType/>
          <w:docGrid w:linePitch="360"/>
        </w:sectPr>
      </w:pPr>
    </w:p>
    <w:p>
      <w:pPr>
        <w:pStyle w:val="Heading1"/>
        <w:pBdr>
          <w:bottom w:val="single" w:color="3730A3" w:sz="8" w:space="6"/>
        </w:pBdr>
        <w:spacing w:after="240" w:before="0"/>
      </w:pPr>
      <w:r>
        <w:rPr>
          <w:rFonts w:ascii="Calibri" w:cs="Calibri" w:eastAsia="Calibri" w:hAnsi="Calibri"/>
          <w:b/>
          <w:bCs/>
          <w:color w:val="3730A3"/>
          <w:sz w:val="34"/>
          <w:szCs w:val="34"/>
        </w:rPr>
        <w:t xml:space="preserve">Table of Contents</w:t>
      </w:r>
    </w:p>
    <w:p>
      <w:pPr>
        <w:spacing w:after="200" w:before="0"/>
        <w:jc w:val="left"/>
      </w:pPr>
      <w:r>
        <w:rPr>
          <w:rFonts w:ascii="Calibri" w:cs="Calibri" w:eastAsia="Calibri" w:hAnsi="Calibri"/>
          <w:b w:val="false"/>
          <w:bCs w:val="false"/>
          <w:i/>
          <w:iCs/>
          <w:color w:val="52525B"/>
          <w:sz w:val="16"/>
          <w:szCs w:val="16"/>
        </w:rPr>
        <w:t xml:space="preserve">(Right-click and choose "Update Field" in Word if this list appears empty on first open.)</w:t>
      </w:r>
    </w:p>
    <w:sdt>
      <w:sdtPr>
        <w:alias w:val="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pBdr>
          <w:bottom w:val="single" w:color="3730A3" w:sz="8" w:space="6"/>
        </w:pBdr>
        <w:spacing w:after="240" w:before="0"/>
      </w:pPr>
      <w:r>
        <w:rPr>
          <w:rFonts w:ascii="Calibri" w:cs="Calibri" w:eastAsia="Calibri" w:hAnsi="Calibri"/>
          <w:b/>
          <w:bCs/>
          <w:color w:val="3730A3"/>
          <w:sz w:val="34"/>
          <w:szCs w:val="34"/>
        </w:rPr>
        <w:t xml:space="preserve">1. Purpose</w:t>
      </w:r>
    </w:p>
    <w:p>
      <w:pPr>
        <w:spacing w:after="220" w:before="0"/>
        <w:jc w:val="left"/>
      </w:pPr>
      <w:r>
        <w:rPr>
          <w:rFonts w:ascii="Calibri" w:cs="Calibri" w:eastAsia="Calibri" w:hAnsi="Calibri"/>
          <w:b w:val="false"/>
          <w:bCs w:val="false"/>
          <w:i w:val="false"/>
          <w:iCs w:val="false"/>
          <w:color w:val="1F2933"/>
          <w:sz w:val="21"/>
          <w:szCs w:val="21"/>
        </w:rPr>
        <w:t xml:space="preserve">This document describes, in plain business language, what the organisation needs from the SegueSync platform: who will use it, what it must be able to do, and the standards it must meet. It is the reference both sides use to confirm "this is what we agreed to build" before development begins.</w:t>
      </w:r>
    </w:p>
    <w:p>
      <w:pPr>
        <w:pStyle w:val="Heading1"/>
        <w:pBdr>
          <w:bottom w:val="single" w:color="3730A3" w:sz="8" w:space="6"/>
        </w:pBdr>
        <w:spacing w:after="240" w:before="0"/>
      </w:pPr>
      <w:r>
        <w:rPr>
          <w:rFonts w:ascii="Calibri" w:cs="Calibri" w:eastAsia="Calibri" w:hAnsi="Calibri"/>
          <w:b/>
          <w:bCs/>
          <w:color w:val="3730A3"/>
          <w:sz w:val="34"/>
          <w:szCs w:val="34"/>
        </w:rPr>
        <w:t xml:space="preserve">2. Background</w:t>
      </w:r>
    </w:p>
    <w:p>
      <w:pPr>
        <w:spacing w:after="220" w:before="0"/>
        <w:jc w:val="left"/>
      </w:pPr>
      <w:r>
        <w:rPr>
          <w:rFonts w:ascii="Calibri" w:cs="Calibri" w:eastAsia="Calibri" w:hAnsi="Calibri"/>
          <w:b w:val="false"/>
          <w:bCs w:val="false"/>
          <w:i w:val="false"/>
          <w:iCs w:val="false"/>
          <w:color w:val="1F2933"/>
          <w:sz w:val="21"/>
          <w:szCs w:val="21"/>
        </w:rPr>
        <w:t xml:space="preserve">Boards and committees today typically run meetings using a mix of email threads, shared spreadsheets, and printed or emailed documents. This makes it hard to find past decisions, track outstanding actions, keep a reliable audit trail, or run a formal vote without waiting for the next meeting. SegueSync replaces that patchwork with one connected system, modelled closely on BoardPro, an established commercial board-management product.</w:t>
      </w:r>
    </w:p>
    <w:p>
      <w:pPr>
        <w:pStyle w:val="Heading1"/>
        <w:pBdr>
          <w:bottom w:val="single" w:color="3730A3" w:sz="8" w:space="6"/>
        </w:pBdr>
        <w:spacing w:after="240" w:before="0"/>
      </w:pPr>
      <w:r>
        <w:rPr>
          <w:rFonts w:ascii="Calibri" w:cs="Calibri" w:eastAsia="Calibri" w:hAnsi="Calibri"/>
          <w:b/>
          <w:bCs/>
          <w:color w:val="3730A3"/>
          <w:sz w:val="34"/>
          <w:szCs w:val="34"/>
        </w:rPr>
        <w:t xml:space="preserve">3. Who Uses the System</w:t>
      </w:r>
    </w:p>
    <w:tbl>
      <w:tblPr>
        <w:tblW w:type="dxa" w:w="9746"/>
        <w:tblBorders>
          <w:top w:val="single" w:color="C7C7D1" w:sz="4"/>
          <w:left w:val="single" w:color="C7C7D1" w:sz="4"/>
          <w:bottom w:val="single" w:color="C7C7D1" w:sz="4"/>
          <w:right w:val="single" w:color="C7C7D1" w:sz="4"/>
          <w:insideH w:val="single" w:color="C7C7D1" w:sz="2"/>
          <w:insideV w:val="single" w:color="C7C7D1" w:sz="2"/>
        </w:tblBorders>
      </w:tblPr>
      <w:tblGrid>
        <w:gridCol w:w="3600"/>
        <w:gridCol w:w="6146"/>
      </w:tblGrid>
      <w:tr>
        <w:trPr>
          <w:tblHeader/>
        </w:trPr>
        <w:tc>
          <w:tcPr>
            <w:tcW w:type="dxa" w:w="3600"/>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w:t>
            </w:r>
          </w:p>
        </w:tc>
        <w:tc>
          <w:tcPr>
            <w:tcW w:type="dxa" w:w="6146"/>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They Do</w:t>
            </w:r>
          </w:p>
        </w:tc>
      </w:tr>
      <w:tr>
        <w:tc>
          <w:tcPr>
            <w:tcW w:type="dxa" w:w="36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Board Administrator / Company Secretary</w:t>
            </w:r>
          </w:p>
        </w:tc>
        <w:tc>
          <w:tcPr>
            <w:tcW w:type="dxa" w:w="61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Schedules meetings, builds agendas, manages people and organisation settings.</w:t>
            </w:r>
          </w:p>
        </w:tc>
      </w:tr>
      <w:tr>
        <w:tc>
          <w:tcPr>
            <w:tcW w:type="dxa" w:w="36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Chair / Board Secretary</w:t>
            </w:r>
          </w:p>
        </w:tc>
        <w:tc>
          <w:tcPr>
            <w:tcW w:type="dxa" w:w="61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Runs meetings, approves minutes, signs off documents.</w:t>
            </w:r>
          </w:p>
        </w:tc>
      </w:tr>
      <w:tr>
        <w:tc>
          <w:tcPr>
            <w:tcW w:type="dxa" w:w="36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Board Members / Senior Executives</w:t>
            </w:r>
          </w:p>
        </w:tc>
        <w:tc>
          <w:tcPr>
            <w:tcW w:type="dxa" w:w="61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Attend meetings, review board packs, vote, complete assigned actions.</w:t>
            </w:r>
          </w:p>
        </w:tc>
      </w:tr>
      <w:tr>
        <w:tc>
          <w:tcPr>
            <w:tcW w:type="dxa" w:w="36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Guests / External Advisors</w:t>
            </w:r>
          </w:p>
        </w:tc>
        <w:tc>
          <w:tcPr>
            <w:tcW w:type="dxa" w:w="61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Invited to specific meetings only; limited access to that meeting alone.</w:t>
            </w:r>
          </w:p>
        </w:tc>
      </w:tr>
    </w:tbl>
    <w:p>
      <w:pPr>
        <w:pStyle w:val="Heading1"/>
        <w:pBdr>
          <w:bottom w:val="single" w:color="3730A3" w:sz="8" w:space="6"/>
        </w:pBdr>
        <w:spacing w:after="240" w:before="0"/>
      </w:pPr>
      <w:r>
        <w:rPr>
          <w:rFonts w:ascii="Calibri" w:cs="Calibri" w:eastAsia="Calibri" w:hAnsi="Calibri"/>
          <w:b/>
          <w:bCs/>
          <w:color w:val="3730A3"/>
          <w:sz w:val="34"/>
          <w:szCs w:val="34"/>
        </w:rPr>
        <w:t xml:space="preserve">4. Business 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Eliminate manually assembled PDF meeting packs and email-based agenda distribution.</w:t>
      </w:r>
    </w:p>
    <w:p>
      <w:pPr>
        <w:pStyle w:val="ListParagraph"/>
        <w:numPr>
          <w:ilvl w:val="0"/>
          <w:numId w:val="2"/>
        </w:numPr>
        <w:spacing w:after="90"/>
      </w:pPr>
      <w:r>
        <w:rPr>
          <w:rFonts w:ascii="Calibri" w:cs="Calibri" w:eastAsia="Calibri" w:hAnsi="Calibri"/>
          <w:b w:val="false"/>
          <w:bCs w:val="false"/>
          <w:color w:val="1F2933"/>
          <w:sz w:val="21"/>
          <w:szCs w:val="21"/>
        </w:rPr>
        <w:t xml:space="preserve">Give every board decision and action a permanent, searchable record — the organisation's "institutional memory".</w:t>
      </w:r>
    </w:p>
    <w:p>
      <w:pPr>
        <w:pStyle w:val="ListParagraph"/>
        <w:numPr>
          <w:ilvl w:val="0"/>
          <w:numId w:val="2"/>
        </w:numPr>
        <w:spacing w:after="90"/>
      </w:pPr>
      <w:r>
        <w:rPr>
          <w:rFonts w:ascii="Calibri" w:cs="Calibri" w:eastAsia="Calibri" w:hAnsi="Calibri"/>
          <w:b w:val="false"/>
          <w:bCs w:val="false"/>
          <w:color w:val="1F2933"/>
          <w:sz w:val="21"/>
          <w:szCs w:val="21"/>
        </w:rPr>
        <w:t xml:space="preserve">Allow the board to formally vote and pass resolutions between scheduled meetings.</w:t>
      </w:r>
    </w:p>
    <w:p>
      <w:pPr>
        <w:pStyle w:val="ListParagraph"/>
        <w:numPr>
          <w:ilvl w:val="0"/>
          <w:numId w:val="2"/>
        </w:numPr>
        <w:spacing w:after="90"/>
      </w:pPr>
      <w:r>
        <w:rPr>
          <w:rFonts w:ascii="Calibri" w:cs="Calibri" w:eastAsia="Calibri" w:hAnsi="Calibri"/>
          <w:b w:val="false"/>
          <w:bCs w:val="false"/>
          <w:color w:val="1F2933"/>
          <w:sz w:val="21"/>
          <w:szCs w:val="21"/>
        </w:rPr>
        <w:t xml:space="preserve">Track conflicts of interest, member terms, and other compliance-related records in one place.</w:t>
      </w:r>
    </w:p>
    <w:p>
      <w:pPr>
        <w:pStyle w:val="ListParagraph"/>
        <w:numPr>
          <w:ilvl w:val="0"/>
          <w:numId w:val="2"/>
        </w:numPr>
        <w:spacing w:after="90"/>
      </w:pPr>
      <w:r>
        <w:rPr>
          <w:rFonts w:ascii="Calibri" w:cs="Calibri" w:eastAsia="Calibri" w:hAnsi="Calibri"/>
          <w:b w:val="false"/>
          <w:bCs w:val="false"/>
          <w:color w:val="1F2933"/>
          <w:sz w:val="21"/>
          <w:szCs w:val="21"/>
        </w:rPr>
        <w:t xml:space="preserve">Support multiple organisations on one platform in future, each fully and permanently isolated from the others.</w:t>
      </w:r>
    </w:p>
    <w:p>
      <w:pPr>
        <w:pStyle w:val="Heading1"/>
        <w:pBdr>
          <w:bottom w:val="single" w:color="3730A3" w:sz="8" w:space="6"/>
        </w:pBdr>
        <w:spacing w:after="240" w:before="0"/>
      </w:pPr>
      <w:r>
        <w:rPr>
          <w:rFonts w:ascii="Calibri" w:cs="Calibri" w:eastAsia="Calibri" w:hAnsi="Calibri"/>
          <w:b/>
          <w:bCs/>
          <w:color w:val="3730A3"/>
          <w:sz w:val="34"/>
          <w:szCs w:val="34"/>
        </w:rPr>
        <w:t xml:space="preserve">5. Functional Requirements</w:t>
      </w:r>
    </w:p>
    <w:p>
      <w:pPr>
        <w:spacing w:after="180" w:before="0"/>
        <w:jc w:val="left"/>
      </w:pPr>
      <w:r>
        <w:rPr>
          <w:rFonts w:ascii="Calibri" w:cs="Calibri" w:eastAsia="Calibri" w:hAnsi="Calibri"/>
          <w:b w:val="false"/>
          <w:bCs w:val="false"/>
          <w:i w:val="false"/>
          <w:iCs w:val="false"/>
          <w:color w:val="1F2933"/>
          <w:sz w:val="21"/>
          <w:szCs w:val="21"/>
        </w:rPr>
        <w:t xml:space="preserve">Each requirement is tagged Must-have (needed for a usable first release), Should-have (needed soon after), or Nice-to-have (valuable, but can wait).</w:t>
      </w:r>
    </w:p>
    <w:tbl>
      <w:tblPr>
        <w:tblW w:type="dxa" w:w="9746"/>
        <w:tblBorders>
          <w:top w:val="single" w:color="C7C7D1" w:sz="4"/>
          <w:left w:val="single" w:color="C7C7D1" w:sz="4"/>
          <w:bottom w:val="single" w:color="C7C7D1" w:sz="4"/>
          <w:right w:val="single" w:color="C7C7D1" w:sz="4"/>
          <w:insideH w:val="single" w:color="C7C7D1" w:sz="2"/>
          <w:insideV w:val="single" w:color="C7C7D1" w:sz="2"/>
        </w:tblBorders>
      </w:tblPr>
      <w:tblGrid>
        <w:gridCol w:w="900"/>
        <w:gridCol w:w="6900"/>
        <w:gridCol w:w="1946"/>
      </w:tblGrid>
      <w:tr>
        <w:trPr>
          <w:tblHeader/>
        </w:trPr>
        <w:tc>
          <w:tcPr>
            <w:tcW w:type="dxa" w:w="900"/>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t>
            </w:r>
          </w:p>
        </w:tc>
        <w:tc>
          <w:tcPr>
            <w:tcW w:type="dxa" w:w="6900"/>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Requirement</w:t>
            </w:r>
          </w:p>
        </w:tc>
        <w:tc>
          <w:tcPr>
            <w:tcW w:type="dxa" w:w="1946"/>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Priority</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FR-1</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create an organisation, invite people, and assign board roles.</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FR-2</w:t>
            </w:r>
          </w:p>
        </w:tc>
        <w:tc>
          <w:tcPr>
            <w:tcW w:type="dxa" w:w="6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schedule a meeting with date, time, location/video link, and attendees.</w:t>
            </w:r>
          </w:p>
        </w:tc>
        <w:tc>
          <w:tcPr>
            <w:tcW w:type="dxa" w:w="19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FR-3</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build a structured agenda (sections and items) and publish it.</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FR-4</w:t>
            </w:r>
          </w:p>
        </w:tc>
        <w:tc>
          <w:tcPr>
            <w:tcW w:type="dxa" w:w="6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system auto-generates a single, page-numbered Board Pack PDF from the agenda.</w:t>
            </w:r>
          </w:p>
        </w:tc>
        <w:tc>
          <w:tcPr>
            <w:tcW w:type="dxa" w:w="19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FR-5</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record minutes per agenda item as a Note, a Decision, or an Action.</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FR-6</w:t>
            </w:r>
          </w:p>
        </w:tc>
        <w:tc>
          <w:tcPr>
            <w:tcW w:type="dxa" w:w="6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Decisions and Actions recorded in minutes automatically populate their own registers, with no re-typing.</w:t>
            </w:r>
          </w:p>
        </w:tc>
        <w:tc>
          <w:tcPr>
            <w:tcW w:type="dxa" w:w="19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Must-have</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FR-7</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hold an electronic vote between meetings (a "Flying Minute").</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Should-have</w:t>
            </w:r>
          </w:p>
        </w:tc>
      </w:tr>
      <w:tr>
        <w:tc>
          <w:tcPr>
            <w:tcW w:type="dxa" w:w="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FR-8</w:t>
            </w:r>
          </w:p>
        </w:tc>
        <w:tc>
          <w:tcPr>
            <w:tcW w:type="dxa" w:w="6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system maintains a searchable document repository (governance + meeting documents).</w:t>
            </w:r>
          </w:p>
        </w:tc>
        <w:tc>
          <w:tcPr>
            <w:tcW w:type="dxa" w:w="19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Should-have</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FR-9</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system tracks conflicts of interest and member tenure, with automatic reminders.</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Should-have</w:t>
            </w:r>
          </w:p>
        </w:tc>
      </w:tr>
      <w:tr>
        <w:tc>
          <w:tcPr>
            <w:tcW w:type="dxa" w:w="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FR-10</w:t>
            </w:r>
          </w:p>
        </w:tc>
        <w:tc>
          <w:tcPr>
            <w:tcW w:type="dxa" w:w="69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AI can draft an agenda, draft minutes from a transcript, and answer questions over the board's own records.</w:t>
            </w:r>
          </w:p>
        </w:tc>
        <w:tc>
          <w:tcPr>
            <w:tcW w:type="dxa" w:w="19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Nice-to-have</w:t>
            </w:r>
          </w:p>
        </w:tc>
      </w:tr>
      <w:tr>
        <w:tc>
          <w:tcPr>
            <w:tcW w:type="dxa" w:w="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FR-11</w:t>
            </w:r>
          </w:p>
        </w:tc>
        <w:tc>
          <w:tcPr>
            <w:tcW w:type="dxa" w:w="69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Users can electronically sign board packs and minutes.</w:t>
            </w:r>
          </w:p>
        </w:tc>
        <w:tc>
          <w:tcPr>
            <w:tcW w:type="dxa" w:w="19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Nice-to-have</w:t>
            </w:r>
          </w:p>
        </w:tc>
      </w:tr>
    </w:tbl>
    <w:p>
      <w:pPr>
        <w:pStyle w:val="Heading1"/>
        <w:pBdr>
          <w:bottom w:val="single" w:color="3730A3" w:sz="8" w:space="6"/>
        </w:pBdr>
        <w:spacing w:after="240" w:before="0"/>
      </w:pPr>
      <w:r>
        <w:rPr>
          <w:rFonts w:ascii="Calibri" w:cs="Calibri" w:eastAsia="Calibri" w:hAnsi="Calibri"/>
          <w:b/>
          <w:bCs/>
          <w:color w:val="3730A3"/>
          <w:sz w:val="34"/>
          <w:szCs w:val="34"/>
        </w:rPr>
        <w:t xml:space="preserve">6. Non-Functional Requirements</w:t>
      </w:r>
    </w:p>
    <w:p>
      <w:pPr>
        <w:pStyle w:val="ListParagraph"/>
        <w:numPr>
          <w:ilvl w:val="0"/>
          <w:numId w:val="2"/>
        </w:numPr>
        <w:spacing w:after="90"/>
      </w:pPr>
      <w:r>
        <w:rPr>
          <w:rFonts w:ascii="Calibri" w:cs="Calibri" w:eastAsia="Calibri" w:hAnsi="Calibri"/>
          <w:b w:val="false"/>
          <w:bCs w:val="false"/>
          <w:color w:val="1F2933"/>
          <w:sz w:val="21"/>
          <w:szCs w:val="21"/>
        </w:rPr>
        <w:t xml:space="preserve">Security: every organisation's data must be completely isolated from every other organisation using the platform.</w:t>
      </w:r>
    </w:p>
    <w:p>
      <w:pPr>
        <w:pStyle w:val="ListParagraph"/>
        <w:numPr>
          <w:ilvl w:val="0"/>
          <w:numId w:val="2"/>
        </w:numPr>
        <w:spacing w:after="90"/>
      </w:pPr>
      <w:r>
        <w:rPr>
          <w:rFonts w:ascii="Calibri" w:cs="Calibri" w:eastAsia="Calibri" w:hAnsi="Calibri"/>
          <w:b w:val="false"/>
          <w:bCs w:val="false"/>
          <w:color w:val="1F2933"/>
          <w:sz w:val="21"/>
          <w:szCs w:val="21"/>
        </w:rPr>
        <w:t xml:space="preserve">Auditability: every meaningful change to people, settings, or governance records must be logged with who made it and when.</w:t>
      </w:r>
    </w:p>
    <w:p>
      <w:pPr>
        <w:pStyle w:val="ListParagraph"/>
        <w:numPr>
          <w:ilvl w:val="0"/>
          <w:numId w:val="2"/>
        </w:numPr>
        <w:spacing w:after="90"/>
      </w:pPr>
      <w:r>
        <w:rPr>
          <w:rFonts w:ascii="Calibri" w:cs="Calibri" w:eastAsia="Calibri" w:hAnsi="Calibri"/>
          <w:b w:val="false"/>
          <w:bCs w:val="false"/>
          <w:color w:val="1F2933"/>
          <w:sz w:val="21"/>
          <w:szCs w:val="21"/>
        </w:rPr>
        <w:t xml:space="preserve">Reliability: no automatic email is ever sent as a side-effect of an internal status change — every notification is a separate, explicit, and reviewable step.</w:t>
      </w:r>
    </w:p>
    <w:p>
      <w:pPr>
        <w:pStyle w:val="ListParagraph"/>
        <w:numPr>
          <w:ilvl w:val="0"/>
          <w:numId w:val="2"/>
        </w:numPr>
        <w:spacing w:after="90"/>
      </w:pPr>
      <w:r>
        <w:rPr>
          <w:rFonts w:ascii="Calibri" w:cs="Calibri" w:eastAsia="Calibri" w:hAnsi="Calibri"/>
          <w:b w:val="false"/>
          <w:bCs w:val="false"/>
          <w:color w:val="1F2933"/>
          <w:sz w:val="21"/>
          <w:szCs w:val="21"/>
        </w:rPr>
        <w:t xml:space="preserve">Accessibility: usable on desktop and tablet, written in plain language, with helpful guidance shown on empty screens.</w:t>
      </w:r>
    </w:p>
    <w:p>
      <w:pPr>
        <w:spacing w:after="200"/>
      </w:pPr>
    </w:p>
    <w:p>
      <w:pPr>
        <w:pStyle w:val="Heading1"/>
        <w:pBdr>
          <w:bottom w:val="single" w:color="3730A3" w:sz="8" w:space="6"/>
        </w:pBdr>
        <w:spacing w:after="240" w:before="0"/>
      </w:pPr>
      <w:r>
        <w:rPr>
          <w:rFonts w:ascii="Calibri" w:cs="Calibri" w:eastAsia="Calibri" w:hAnsi="Calibri"/>
          <w:b/>
          <w:bCs/>
          <w:color w:val="3730A3"/>
          <w:sz w:val="34"/>
          <w:szCs w:val="34"/>
        </w:rPr>
        <w:t xml:space="preserve">7. How a Meeting Flows Through the System</w:t>
      </w:r>
    </w:p>
    <w:p>
      <w:pPr>
        <w:spacing w:after="200" w:before="0"/>
        <w:jc w:val="left"/>
      </w:pPr>
      <w:r>
        <w:rPr>
          <w:rFonts w:ascii="Calibri" w:cs="Calibri" w:eastAsia="Calibri" w:hAnsi="Calibri"/>
          <w:b w:val="false"/>
          <w:bCs w:val="false"/>
          <w:i w:val="false"/>
          <w:iCs w:val="false"/>
          <w:color w:val="1F2933"/>
          <w:sz w:val="21"/>
          <w:szCs w:val="21"/>
        </w:rPr>
        <w:t xml:space="preserve">This is the lifecycle every meeting goes through — the core of what is being built.</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224"/>
        <w:gridCol w:w="480"/>
        <w:gridCol w:w="1224"/>
        <w:gridCol w:w="480"/>
        <w:gridCol w:w="1224"/>
        <w:gridCol w:w="480"/>
        <w:gridCol w:w="1224"/>
        <w:gridCol w:w="480"/>
        <w:gridCol w:w="1224"/>
        <w:gridCol w:w="480"/>
        <w:gridCol w:w="1226"/>
      </w:tblGrid>
      <w:tr>
        <w:trPr>
          <w:trHeight w:val="760" w:hRule="atLeast"/>
        </w:trPr>
        <w:tc>
          <w:tcPr>
            <w:tcW w:type="dxa" w:w="1224"/>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1. Notice</w:t>
            </w:r>
          </w:p>
          <w:p>
            <w:pPr>
              <w:jc w:val="center"/>
            </w:pPr>
            <w:r>
              <w:rPr>
                <w:rFonts w:ascii="Calibri" w:cs="Calibri" w:eastAsia="Calibri" w:hAnsi="Calibri"/>
                <w:color w:val="FFFFFF"/>
                <w:sz w:val="15"/>
                <w:szCs w:val="15"/>
              </w:rPr>
              <w:t xml:space="preserve">date, time, invitees</w:t>
            </w:r>
          </w:p>
        </w:tc>
        <w:tc>
          <w:tcPr>
            <w:tcW w:type="dxa" w:w="48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D9488"/>
                <w:sz w:val="26"/>
                <w:szCs w:val="26"/>
              </w:rPr>
              <w:t xml:space="preserve">➜</w:t>
            </w:r>
          </w:p>
        </w:tc>
        <w:tc>
          <w:tcPr>
            <w:tcW w:type="dxa" w:w="1224"/>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2. Draft Agenda</w:t>
            </w:r>
          </w:p>
          <w:p>
            <w:pPr>
              <w:jc w:val="center"/>
            </w:pPr>
            <w:r>
              <w:rPr>
                <w:rFonts w:ascii="Calibri" w:cs="Calibri" w:eastAsia="Calibri" w:hAnsi="Calibri"/>
                <w:color w:val="FFFFFF"/>
                <w:sz w:val="15"/>
                <w:szCs w:val="15"/>
              </w:rPr>
              <w:t xml:space="preserve">sections &amp; items</w:t>
            </w:r>
          </w:p>
        </w:tc>
        <w:tc>
          <w:tcPr>
            <w:tcW w:type="dxa" w:w="48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D9488"/>
                <w:sz w:val="26"/>
                <w:szCs w:val="26"/>
              </w:rPr>
              <w:t xml:space="preserve">➜</w:t>
            </w:r>
          </w:p>
        </w:tc>
        <w:tc>
          <w:tcPr>
            <w:tcW w:type="dxa" w:w="1224"/>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3. Publish</w:t>
            </w:r>
          </w:p>
          <w:p>
            <w:pPr>
              <w:jc w:val="center"/>
            </w:pPr>
            <w:r>
              <w:rPr>
                <w:rFonts w:ascii="Calibri" w:cs="Calibri" w:eastAsia="Calibri" w:hAnsi="Calibri"/>
                <w:color w:val="FFFFFF"/>
                <w:sz w:val="15"/>
                <w:szCs w:val="15"/>
              </w:rPr>
              <w:t xml:space="preserve">locks structure</w:t>
            </w:r>
          </w:p>
        </w:tc>
        <w:tc>
          <w:tcPr>
            <w:tcW w:type="dxa" w:w="48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D9488"/>
                <w:sz w:val="26"/>
                <w:szCs w:val="26"/>
              </w:rPr>
              <w:t xml:space="preserve">➜</w:t>
            </w:r>
          </w:p>
        </w:tc>
        <w:tc>
          <w:tcPr>
            <w:tcW w:type="dxa" w:w="1224"/>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4. Board Pack</w:t>
            </w:r>
          </w:p>
          <w:p>
            <w:pPr>
              <w:jc w:val="center"/>
            </w:pPr>
            <w:r>
              <w:rPr>
                <w:rFonts w:ascii="Calibri" w:cs="Calibri" w:eastAsia="Calibri" w:hAnsi="Calibri"/>
                <w:color w:val="FFFFFF"/>
                <w:sz w:val="15"/>
                <w:szCs w:val="15"/>
              </w:rPr>
              <w:t xml:space="preserve">auto-generated PDF</w:t>
            </w:r>
          </w:p>
        </w:tc>
        <w:tc>
          <w:tcPr>
            <w:tcW w:type="dxa" w:w="48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D9488"/>
                <w:sz w:val="26"/>
                <w:szCs w:val="26"/>
              </w:rPr>
              <w:t xml:space="preserve">➜</w:t>
            </w:r>
          </w:p>
        </w:tc>
        <w:tc>
          <w:tcPr>
            <w:tcW w:type="dxa" w:w="1224"/>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5. Minutes</w:t>
            </w:r>
          </w:p>
          <w:p>
            <w:pPr>
              <w:jc w:val="center"/>
            </w:pPr>
            <w:r>
              <w:rPr>
                <w:rFonts w:ascii="Calibri" w:cs="Calibri" w:eastAsia="Calibri" w:hAnsi="Calibri"/>
                <w:color w:val="FFFFFF"/>
                <w:sz w:val="15"/>
                <w:szCs w:val="15"/>
              </w:rPr>
              <w:t xml:space="preserve">note / decision / action</w:t>
            </w:r>
          </w:p>
        </w:tc>
        <w:tc>
          <w:tcPr>
            <w:tcW w:type="dxa" w:w="48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0D9488"/>
                <w:sz w:val="26"/>
                <w:szCs w:val="26"/>
              </w:rPr>
              <w:t xml:space="preserve">➜</w:t>
            </w:r>
          </w:p>
        </w:tc>
        <w:tc>
          <w:tcPr>
            <w:tcW w:type="dxa" w:w="1226"/>
            <w:tcBorders>
              <w:top w:val="single" w:color="3730A3" w:sz="4"/>
              <w:left w:val="single" w:color="3730A3" w:sz="4"/>
              <w:bottom w:val="single" w:color="3730A3" w:sz="4"/>
              <w:right w:val="single" w:color="3730A3" w:sz="4"/>
            </w:tcBorders>
            <w:shd w:fill="3730A3" w:color="auto" w:val="clear"/>
            <w:tcMar>
              <w:top w:type="dxa" w:w="160"/>
              <w:left w:type="dxa" w:w="90"/>
              <w:bottom w:type="dxa" w:w="160"/>
              <w:right w:type="dxa" w:w="90"/>
            </w:tcMar>
            <w:vAlign w:val="center"/>
          </w:tcPr>
          <w:p>
            <w:pPr>
              <w:spacing w:after="40"/>
              <w:jc w:val="center"/>
            </w:pPr>
            <w:r>
              <w:rPr>
                <w:rFonts w:ascii="Calibri" w:cs="Calibri" w:eastAsia="Calibri" w:hAnsi="Calibri"/>
                <w:b/>
                <w:bCs/>
                <w:color w:val="FFFFFF"/>
                <w:sz w:val="19"/>
                <w:szCs w:val="19"/>
              </w:rPr>
              <w:t xml:space="preserve">6. Confirmed</w:t>
            </w:r>
          </w:p>
          <w:p>
            <w:pPr>
              <w:jc w:val="center"/>
            </w:pPr>
            <w:r>
              <w:rPr>
                <w:rFonts w:ascii="Calibri" w:cs="Calibri" w:eastAsia="Calibri" w:hAnsi="Calibri"/>
                <w:color w:val="FFFFFF"/>
                <w:sz w:val="15"/>
                <w:szCs w:val="15"/>
              </w:rPr>
              <w:t xml:space="preserve">permanent record</w:t>
            </w:r>
          </w:p>
        </w:tc>
      </w:tr>
    </w:tbl>
    <w:p>
      <w:pPr>
        <w:pStyle w:val="Heading1"/>
        <w:pBdr>
          <w:bottom w:val="single" w:color="3730A3" w:sz="8" w:space="6"/>
        </w:pBdr>
        <w:spacing w:after="240" w:before="0"/>
      </w:pPr>
      <w:r>
        <w:rPr>
          <w:rFonts w:ascii="Calibri" w:cs="Calibri" w:eastAsia="Calibri" w:hAnsi="Calibri"/>
          <w:b/>
          <w:bCs/>
          <w:color w:val="3730A3"/>
          <w:sz w:val="34"/>
          <w:szCs w:val="34"/>
        </w:rPr>
        <w:t xml:space="preserve">8. Multi-Tenant Structure</w:t>
      </w:r>
    </w:p>
    <w:p>
      <w:pPr>
        <w:spacing w:after="180" w:before="0"/>
        <w:jc w:val="left"/>
      </w:pPr>
      <w:r>
        <w:rPr>
          <w:rFonts w:ascii="Calibri" w:cs="Calibri" w:eastAsia="Calibri" w:hAnsi="Calibri"/>
          <w:b w:val="false"/>
          <w:bCs w:val="false"/>
          <w:i w:val="false"/>
          <w:iCs w:val="false"/>
          <w:color w:val="1F2933"/>
          <w:sz w:val="21"/>
          <w:szCs w:val="21"/>
        </w:rPr>
        <w:t xml:space="preserve">Every client organisation using SegueSync is a separate, fully isolated "tenant" — one company can never see another company's boards, meetings, or documents.</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273"/>
        <w:gridCol w:w="5200"/>
        <w:gridCol w:w="2273"/>
      </w:tblGrid>
      <w:tr>
        <w:tc>
          <w:tcPr>
            <w:tcW w:type="dxa" w:w="2273"/>
            <w:tcBorders>
              <w:top w:val="none" w:color="FFFFFF" w:sz="0"/>
              <w:left w:val="none" w:color="FFFFFF" w:sz="0"/>
              <w:bottom w:val="none" w:color="FFFFFF" w:sz="0"/>
              <w:right w:val="none" w:color="FFFFFF" w:sz="0"/>
            </w:tcBorders>
          </w:tcPr>
          <w:p/>
        </w:tc>
        <w:tc>
          <w:tcPr>
            <w:tcW w:type="dxa" w:w="5200"/>
            <w:tcBorders>
              <w:top w:val="single" w:color="1E1B4B" w:sz="4"/>
              <w:left w:val="single" w:color="1E1B4B" w:sz="4"/>
              <w:bottom w:val="single" w:color="1E1B4B" w:sz="4"/>
              <w:right w:val="single" w:color="1E1B4B" w:sz="4"/>
            </w:tcBorders>
            <w:shd w:fill="1E1B4B" w:color="auto" w:val="clear"/>
            <w:tcMar>
              <w:top w:type="dxa" w:w="140"/>
              <w:left w:type="dxa" w:w="120"/>
              <w:bottom w:type="dxa" w:w="140"/>
              <w:right w:type="dxa" w:w="120"/>
            </w:tcMar>
            <w:vAlign w:val="center"/>
          </w:tcPr>
          <w:p>
            <w:pPr>
              <w:spacing w:after="40"/>
              <w:jc w:val="center"/>
            </w:pPr>
            <w:r>
              <w:rPr>
                <w:rFonts w:ascii="Calibri" w:cs="Calibri" w:eastAsia="Calibri" w:hAnsi="Calibri"/>
                <w:b/>
                <w:bCs/>
                <w:color w:val="FFFFFF"/>
                <w:sz w:val="21"/>
                <w:szCs w:val="21"/>
              </w:rPr>
              <w:t xml:space="preserve">Organisation (Tenant)</w:t>
            </w:r>
          </w:p>
          <w:p>
            <w:pPr>
              <w:jc w:val="center"/>
            </w:pPr>
            <w:r>
              <w:rPr>
                <w:rFonts w:ascii="Calibri" w:cs="Calibri" w:eastAsia="Calibri" w:hAnsi="Calibri"/>
                <w:color w:val="FFFFFF"/>
                <w:sz w:val="16"/>
                <w:szCs w:val="16"/>
              </w:rPr>
              <w:t xml:space="preserve">e.g. "SegueIT" — fully isolated from every other tenant</w:t>
            </w:r>
          </w:p>
        </w:tc>
        <w:tc>
          <w:tcPr>
            <w:tcW w:type="dxa" w:w="2273"/>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0D9488"/>
          <w:sz w:val="26"/>
          <w:szCs w:val="26"/>
        </w:rPr>
        <w:t xml:space="preserv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2673"/>
        <w:gridCol w:w="4400"/>
        <w:gridCol w:w="2673"/>
      </w:tblGrid>
      <w:tr>
        <w:tc>
          <w:tcPr>
            <w:tcW w:type="dxa" w:w="2673"/>
            <w:tcBorders>
              <w:top w:val="none" w:color="FFFFFF" w:sz="0"/>
              <w:left w:val="none" w:color="FFFFFF" w:sz="0"/>
              <w:bottom w:val="none" w:color="FFFFFF" w:sz="0"/>
              <w:right w:val="none" w:color="FFFFFF" w:sz="0"/>
            </w:tcBorders>
          </w:tcPr>
          <w:p/>
        </w:tc>
        <w:tc>
          <w:tcPr>
            <w:tcW w:type="dxa" w:w="4400"/>
            <w:tcBorders>
              <w:top w:val="single" w:color="3730A3" w:sz="4"/>
              <w:left w:val="single" w:color="3730A3" w:sz="4"/>
              <w:bottom w:val="single" w:color="3730A3" w:sz="4"/>
              <w:right w:val="single" w:color="3730A3" w:sz="4"/>
            </w:tcBorders>
            <w:shd w:fill="3730A3" w:color="auto" w:val="clear"/>
            <w:tcMar>
              <w:top w:type="dxa" w:w="140"/>
              <w:left w:type="dxa" w:w="120"/>
              <w:bottom w:type="dxa" w:w="140"/>
              <w:right w:type="dxa" w:w="120"/>
            </w:tcMar>
            <w:vAlign w:val="center"/>
          </w:tcPr>
          <w:p>
            <w:pPr>
              <w:spacing w:after="40"/>
              <w:jc w:val="center"/>
            </w:pPr>
            <w:r>
              <w:rPr>
                <w:rFonts w:ascii="Calibri" w:cs="Calibri" w:eastAsia="Calibri" w:hAnsi="Calibri"/>
                <w:b/>
                <w:bCs/>
                <w:color w:val="FFFFFF"/>
                <w:sz w:val="21"/>
                <w:szCs w:val="21"/>
              </w:rPr>
              <w:t xml:space="preserve">Board</w:t>
            </w:r>
          </w:p>
          <w:p>
            <w:pPr>
              <w:jc w:val="center"/>
            </w:pPr>
            <w:r>
              <w:rPr>
                <w:rFonts w:ascii="Calibri" w:cs="Calibri" w:eastAsia="Calibri" w:hAnsi="Calibri"/>
                <w:color w:val="FFFFFF"/>
                <w:sz w:val="16"/>
                <w:szCs w:val="16"/>
              </w:rPr>
              <w:t xml:space="preserve">a board, or a sub-committee of a board</w:t>
            </w:r>
          </w:p>
        </w:tc>
        <w:tc>
          <w:tcPr>
            <w:tcW w:type="dxa" w:w="2673"/>
            <w:tcBorders>
              <w:top w:val="none" w:color="FFFFFF" w:sz="0"/>
              <w:left w:val="none" w:color="FFFFFF" w:sz="0"/>
              <w:bottom w:val="none" w:color="FFFFFF" w:sz="0"/>
              <w:right w:val="none" w:color="FFFFFF" w:sz="0"/>
            </w:tcBorders>
          </w:tcPr>
          <w:p/>
        </w:tc>
      </w:tr>
    </w:tbl>
    <w:p>
      <w:pPr>
        <w:spacing w:after="20" w:before="20"/>
        <w:jc w:val="center"/>
      </w:pPr>
      <w:r>
        <w:rPr>
          <w:rFonts w:ascii="Calibri" w:cs="Calibri" w:eastAsia="Calibri" w:hAnsi="Calibri"/>
          <w:b/>
          <w:bCs/>
          <w:color w:val="0D9488"/>
          <w:sz w:val="26"/>
          <w:szCs w:val="26"/>
        </w:rPr>
        <w:t xml:space="preserve">⬇</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1491"/>
        <w:gridCol w:w="160"/>
        <w:gridCol w:w="1491"/>
        <w:gridCol w:w="160"/>
        <w:gridCol w:w="1491"/>
        <w:gridCol w:w="160"/>
        <w:gridCol w:w="1491"/>
        <w:gridCol w:w="160"/>
        <w:gridCol w:w="1491"/>
        <w:gridCol w:w="160"/>
        <w:gridCol w:w="1491"/>
      </w:tblGrid>
      <w:tr>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Meetings</w:t>
            </w:r>
          </w:p>
        </w:tc>
        <w:tc>
          <w:tcPr>
            <w:tcW w:type="dxa" w:w="160"/>
            <w:tcBorders>
              <w:top w:val="none" w:color="FFFFFF" w:sz="0"/>
              <w:left w:val="none" w:color="FFFFFF" w:sz="0"/>
              <w:bottom w:val="none" w:color="FFFFFF" w:sz="0"/>
              <w:right w:val="none" w:color="FFFFFF" w:sz="0"/>
            </w:tcBorders>
          </w:tcPr>
          <w:p/>
        </w:tc>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People</w:t>
            </w:r>
          </w:p>
        </w:tc>
        <w:tc>
          <w:tcPr>
            <w:tcW w:type="dxa" w:w="160"/>
            <w:tcBorders>
              <w:top w:val="none" w:color="FFFFFF" w:sz="0"/>
              <w:left w:val="none" w:color="FFFFFF" w:sz="0"/>
              <w:bottom w:val="none" w:color="FFFFFF" w:sz="0"/>
              <w:right w:val="none" w:color="FFFFFF" w:sz="0"/>
            </w:tcBorders>
          </w:tcPr>
          <w:p/>
        </w:tc>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Documents</w:t>
            </w:r>
          </w:p>
        </w:tc>
        <w:tc>
          <w:tcPr>
            <w:tcW w:type="dxa" w:w="160"/>
            <w:tcBorders>
              <w:top w:val="none" w:color="FFFFFF" w:sz="0"/>
              <w:left w:val="none" w:color="FFFFFF" w:sz="0"/>
              <w:bottom w:val="none" w:color="FFFFFF" w:sz="0"/>
              <w:right w:val="none" w:color="FFFFFF" w:sz="0"/>
            </w:tcBorders>
          </w:tcPr>
          <w:p/>
        </w:tc>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Actions</w:t>
            </w:r>
          </w:p>
        </w:tc>
        <w:tc>
          <w:tcPr>
            <w:tcW w:type="dxa" w:w="160"/>
            <w:tcBorders>
              <w:top w:val="none" w:color="FFFFFF" w:sz="0"/>
              <w:left w:val="none" w:color="FFFFFF" w:sz="0"/>
              <w:bottom w:val="none" w:color="FFFFFF" w:sz="0"/>
              <w:right w:val="none" w:color="FFFFFF" w:sz="0"/>
            </w:tcBorders>
          </w:tcPr>
          <w:p/>
        </w:tc>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Decisions</w:t>
            </w:r>
          </w:p>
        </w:tc>
        <w:tc>
          <w:tcPr>
            <w:tcW w:type="dxa" w:w="160"/>
            <w:tcBorders>
              <w:top w:val="none" w:color="FFFFFF" w:sz="0"/>
              <w:left w:val="none" w:color="FFFFFF" w:sz="0"/>
              <w:bottom w:val="none" w:color="FFFFFF" w:sz="0"/>
              <w:right w:val="none" w:color="FFFFFF" w:sz="0"/>
            </w:tcBorders>
          </w:tcPr>
          <w:p/>
        </w:tc>
        <w:tc>
          <w:tcPr>
            <w:tcW w:type="dxa" w:w="1491"/>
            <w:tcBorders>
              <w:top w:val="single" w:color="0D9488" w:sz="4"/>
              <w:left w:val="single" w:color="0D9488" w:sz="4"/>
              <w:bottom w:val="single" w:color="0D9488" w:sz="4"/>
              <w:right w:val="single" w:color="0D9488" w:sz="4"/>
            </w:tcBorders>
            <w:shd w:fill="0D9488" w:color="auto" w:val="clear"/>
            <w:tcMar>
              <w:top w:type="dxa" w:w="110"/>
              <w:left w:type="dxa" w:w="60"/>
              <w:bottom w:type="dxa" w:w="110"/>
              <w:right w:type="dxa" w:w="60"/>
            </w:tcMar>
            <w:vAlign w:val="center"/>
          </w:tcPr>
          <w:p>
            <w:pPr>
              <w:jc w:val="center"/>
            </w:pPr>
            <w:r>
              <w:rPr>
                <w:rFonts w:ascii="Calibri" w:cs="Calibri" w:eastAsia="Calibri" w:hAnsi="Calibri"/>
                <w:b/>
                <w:bCs/>
                <w:color w:val="FFFFFF"/>
                <w:sz w:val="17"/>
                <w:szCs w:val="17"/>
              </w:rPr>
              <w:t xml:space="preserve">Flying Minutes</w:t>
            </w:r>
          </w:p>
        </w:tc>
      </w:tr>
    </w:tbl>
    <w:p>
      <w:pPr>
        <w:pStyle w:val="Heading1"/>
        <w:pBdr>
          <w:bottom w:val="single" w:color="3730A3" w:sz="8" w:space="6"/>
        </w:pBdr>
        <w:spacing w:after="240" w:before="0"/>
      </w:pPr>
      <w:r>
        <w:rPr>
          <w:rFonts w:ascii="Calibri" w:cs="Calibri" w:eastAsia="Calibri" w:hAnsi="Calibri"/>
          <w:b/>
          <w:bCs/>
          <w:color w:val="3730A3"/>
          <w:sz w:val="34"/>
          <w:szCs w:val="34"/>
        </w:rPr>
        <w:t xml:space="preserve">9. Two Design Principles</w:t>
      </w:r>
    </w:p>
    <w:tbl>
      <w:tblPr>
        <w:tblW w:type="dxa" w:w="9746"/>
        <w:tblBorders>
          <w:top w:val="single" w:color="3730A3" w:sz="4"/>
          <w:left w:val="single" w:color="3730A3" w:sz="24"/>
          <w:bottom w:val="single" w:color="3730A3" w:sz="4"/>
          <w:right w:val="single" w:color="3730A3" w:sz="4"/>
          <w:insideH w:val="single" w:color="auto" w:sz="4"/>
          <w:insideV w:val="single" w:color="auto" w:sz="4"/>
        </w:tblBorders>
      </w:tblPr>
      <w:tblGrid>
        <w:gridCol w:w="9746"/>
      </w:tblGrid>
      <w:tr>
        <w:tc>
          <w:tcPr>
            <w:tcW w:type="dxa" w:w="9746"/>
            <w:shd w:fill="EEF2FF" w:color="auto" w:val="clear"/>
            <w:tcMar>
              <w:top w:type="dxa" w:w="160"/>
              <w:left w:type="dxa" w:w="220"/>
              <w:bottom w:type="dxa" w:w="160"/>
              <w:right w:type="dxa" w:w="220"/>
            </w:tcMar>
          </w:tcPr>
          <w:p>
            <w:pPr>
              <w:spacing w:after="80"/>
            </w:pPr>
            <w:r>
              <w:rPr>
                <w:rFonts w:ascii="Calibri" w:cs="Calibri" w:eastAsia="Calibri" w:hAnsi="Calibri"/>
                <w:b/>
                <w:bCs/>
                <w:color w:val="3730A3"/>
                <w:sz w:val="22"/>
                <w:szCs w:val="22"/>
              </w:rPr>
              <w:t xml:space="preserve">1 — Nothing is emailed automatically</w:t>
            </w:r>
          </w:p>
          <w:p>
            <w:pPr>
              <w:spacing w:after="60"/>
            </w:pPr>
            <w:r>
              <w:rPr>
                <w:rFonts w:ascii="Calibri" w:cs="Calibri" w:eastAsia="Calibri" w:hAnsi="Calibri"/>
                <w:color w:val="1F2933"/>
                <w:sz w:val="20"/>
                <w:szCs w:val="20"/>
              </w:rPr>
              <w:t xml:space="preserve">Publishing an agenda, finishing minutes, or any other status change never sends an email as a side effect.</w:t>
            </w:r>
          </w:p>
          <w:p>
            <w:pPr>
              <w:spacing w:after="60"/>
            </w:pPr>
            <w:r>
              <w:rPr>
                <w:rFonts w:ascii="Calibri" w:cs="Calibri" w:eastAsia="Calibri" w:hAnsi="Calibri"/>
                <w:color w:val="1F2933"/>
                <w:sz w:val="20"/>
                <w:szCs w:val="20"/>
              </w:rPr>
              <w:t xml:space="preserve">Every notification (emailing the pack, sending minutes, inviting people to vote) is always a separate, visible, and skippable step.</w:t>
            </w:r>
          </w:p>
        </w:tc>
      </w:tr>
    </w:tbl>
    <w:p>
      <w:pPr>
        <w:spacing w:after="200"/>
      </w:pPr>
    </w:p>
    <w:tbl>
      <w:tblPr>
        <w:tblW w:type="dxa" w:w="9746"/>
        <w:tblBorders>
          <w:top w:val="single" w:color="0D9488" w:sz="4"/>
          <w:left w:val="single" w:color="0D9488" w:sz="24"/>
          <w:bottom w:val="single" w:color="0D9488" w:sz="4"/>
          <w:right w:val="single" w:color="0D9488" w:sz="4"/>
          <w:insideH w:val="single" w:color="auto" w:sz="4"/>
          <w:insideV w:val="single" w:color="auto" w:sz="4"/>
        </w:tblBorders>
      </w:tblPr>
      <w:tblGrid>
        <w:gridCol w:w="9746"/>
      </w:tblGrid>
      <w:tr>
        <w:tc>
          <w:tcPr>
            <w:tcW w:type="dxa" w:w="9746"/>
            <w:shd w:fill="CCFBF1" w:color="auto" w:val="clear"/>
            <w:tcMar>
              <w:top w:type="dxa" w:w="160"/>
              <w:left w:type="dxa" w:w="220"/>
              <w:bottom w:type="dxa" w:w="160"/>
              <w:right w:type="dxa" w:w="220"/>
            </w:tcMar>
          </w:tcPr>
          <w:p>
            <w:pPr>
              <w:spacing w:after="80"/>
            </w:pPr>
            <w:r>
              <w:rPr>
                <w:rFonts w:ascii="Calibri" w:cs="Calibri" w:eastAsia="Calibri" w:hAnsi="Calibri"/>
                <w:b/>
                <w:bCs/>
                <w:color w:val="0D9488"/>
                <w:sz w:val="22"/>
                <w:szCs w:val="22"/>
              </w:rPr>
              <w:t xml:space="preserve">2 — Only people with active access can be emailed or vote</w:t>
            </w:r>
          </w:p>
          <w:p>
            <w:pPr>
              <w:spacing w:after="60"/>
            </w:pPr>
            <w:r>
              <w:rPr>
                <w:rFonts w:ascii="Calibri" w:cs="Calibri" w:eastAsia="Calibri" w:hAnsi="Calibri"/>
                <w:color w:val="1F2933"/>
                <w:sz w:val="20"/>
                <w:szCs w:val="20"/>
              </w:rPr>
              <w:t xml:space="preserve">A board member who hasn't activated their account cannot receive notifications or vote themselves.</w:t>
            </w:r>
          </w:p>
          <w:p>
            <w:pPr>
              <w:spacing w:after="60"/>
            </w:pPr>
            <w:r>
              <w:rPr>
                <w:rFonts w:ascii="Calibri" w:cs="Calibri" w:eastAsia="Calibri" w:hAnsi="Calibri"/>
                <w:color w:val="1F2933"/>
                <w:sz w:val="20"/>
                <w:szCs w:val="20"/>
              </w:rPr>
              <w:t xml:space="preserve">In that case, an administrator can act on their behalf, keeping a full record of who did what.</w:t>
            </w:r>
          </w:p>
        </w:tc>
      </w:tr>
    </w:tbl>
    <w:p>
      <w:pPr>
        <w:pStyle w:val="Heading1"/>
        <w:pBdr>
          <w:bottom w:val="single" w:color="3730A3" w:sz="8" w:space="6"/>
        </w:pBdr>
        <w:spacing w:after="240" w:before="0"/>
      </w:pPr>
      <w:r>
        <w:rPr>
          <w:rFonts w:ascii="Calibri" w:cs="Calibri" w:eastAsia="Calibri" w:hAnsi="Calibri"/>
          <w:b/>
          <w:bCs/>
          <w:color w:val="3730A3"/>
          <w:sz w:val="34"/>
          <w:szCs w:val="34"/>
        </w:rPr>
        <w:t xml:space="preserve">10. Assumptions &amp; Dependencies</w:t>
      </w:r>
    </w:p>
    <w:p>
      <w:pPr>
        <w:pStyle w:val="ListParagraph"/>
        <w:numPr>
          <w:ilvl w:val="0"/>
          <w:numId w:val="2"/>
        </w:numPr>
        <w:spacing w:after="90"/>
      </w:pPr>
      <w:r>
        <w:rPr>
          <w:rFonts w:ascii="Calibri" w:cs="Calibri" w:eastAsia="Calibri" w:hAnsi="Calibri"/>
          <w:b w:val="false"/>
          <w:bCs w:val="false"/>
          <w:color w:val="1F2933"/>
          <w:sz w:val="21"/>
          <w:szCs w:val="21"/>
        </w:rPr>
        <w:t xml:space="preserve">The client will provide branding assets (logo, colour palette) before Phase 2 begins.</w:t>
      </w:r>
    </w:p>
    <w:p>
      <w:pPr>
        <w:pStyle w:val="ListParagraph"/>
        <w:numPr>
          <w:ilvl w:val="0"/>
          <w:numId w:val="2"/>
        </w:numPr>
        <w:spacing w:after="90"/>
      </w:pPr>
      <w:r>
        <w:rPr>
          <w:rFonts w:ascii="Calibri" w:cs="Calibri" w:eastAsia="Calibri" w:hAnsi="Calibri"/>
          <w:b w:val="false"/>
          <w:bCs w:val="false"/>
          <w:color w:val="1F2933"/>
          <w:sz w:val="21"/>
          <w:szCs w:val="21"/>
        </w:rPr>
        <w:t xml:space="preserve">Email delivery depends on a third-party transactional email service being configured.</w:t>
      </w:r>
    </w:p>
    <w:p>
      <w:pPr>
        <w:pStyle w:val="ListParagraph"/>
        <w:numPr>
          <w:ilvl w:val="0"/>
          <w:numId w:val="2"/>
        </w:numPr>
        <w:spacing w:after="90"/>
      </w:pPr>
      <w:r>
        <w:rPr>
          <w:rFonts w:ascii="Calibri" w:cs="Calibri" w:eastAsia="Calibri" w:hAnsi="Calibri"/>
          <w:b w:val="false"/>
          <w:bCs w:val="false"/>
          <w:color w:val="1F2933"/>
          <w:sz w:val="21"/>
          <w:szCs w:val="21"/>
        </w:rPr>
        <w:t xml:space="preserve">AI features depend on an external AI provider's API being reachable and within its usage limits.</w:t>
      </w:r>
    </w:p>
    <w:p>
      <w:pPr>
        <w:pStyle w:val="Heading1"/>
        <w:pBdr>
          <w:bottom w:val="single" w:color="3730A3" w:sz="8" w:space="6"/>
        </w:pBdr>
        <w:spacing w:after="240" w:before="0"/>
      </w:pPr>
      <w:r>
        <w:rPr>
          <w:rFonts w:ascii="Calibri" w:cs="Calibri" w:eastAsia="Calibri" w:hAnsi="Calibri"/>
          <w:b/>
          <w:bCs/>
          <w:color w:val="3730A3"/>
          <w:sz w:val="34"/>
          <w:szCs w:val="34"/>
        </w:rPr>
        <w:t xml:space="preserve">11. Glossary</w:t>
      </w:r>
    </w:p>
    <w:tbl>
      <w:tblPr>
        <w:tblW w:type="dxa" w:w="9746"/>
        <w:tblBorders>
          <w:top w:val="single" w:color="C7C7D1" w:sz="4"/>
          <w:left w:val="single" w:color="C7C7D1" w:sz="4"/>
          <w:bottom w:val="single" w:color="C7C7D1" w:sz="4"/>
          <w:right w:val="single" w:color="C7C7D1" w:sz="4"/>
          <w:insideH w:val="single" w:color="C7C7D1" w:sz="2"/>
          <w:insideV w:val="single" w:color="C7C7D1" w:sz="2"/>
        </w:tblBorders>
      </w:tblPr>
      <w:tblGrid>
        <w:gridCol w:w="2400"/>
        <w:gridCol w:w="7346"/>
      </w:tblGrid>
      <w:tr>
        <w:trPr>
          <w:tblHeader/>
        </w:trPr>
        <w:tc>
          <w:tcPr>
            <w:tcW w:type="dxa" w:w="2400"/>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Term</w:t>
            </w:r>
          </w:p>
        </w:tc>
        <w:tc>
          <w:tcPr>
            <w:tcW w:type="dxa" w:w="7346"/>
            <w:shd w:fill="3730A3" w:color="auto"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 Simple Words</w:t>
            </w:r>
          </w:p>
        </w:tc>
      </w:tr>
      <w:tr>
        <w:tc>
          <w:tcPr>
            <w:tcW w:type="dxa" w:w="24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Tenant / Organisation</w:t>
            </w:r>
          </w:p>
        </w:tc>
        <w:tc>
          <w:tcPr>
            <w:tcW w:type="dxa" w:w="73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One client company using the app. Its data is completely walled off from every other tenant.</w:t>
            </w:r>
          </w:p>
        </w:tc>
      </w:tr>
      <w:tr>
        <w:tc>
          <w:tcPr>
            <w:tcW w:type="dxa" w:w="24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Board</w:t>
            </w:r>
          </w:p>
        </w:tc>
        <w:tc>
          <w:tcPr>
            <w:tcW w:type="dxa" w:w="73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actual board (or committee) that holds meetings.</w:t>
            </w:r>
          </w:p>
        </w:tc>
      </w:tr>
      <w:tr>
        <w:tc>
          <w:tcPr>
            <w:tcW w:type="dxa" w:w="24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Agenda</w:t>
            </w:r>
          </w:p>
        </w:tc>
        <w:tc>
          <w:tcPr>
            <w:tcW w:type="dxa" w:w="73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plan for a meeting — sections and items, each marked as for noting, decision, or discussion.</w:t>
            </w:r>
          </w:p>
        </w:tc>
      </w:tr>
      <w:tr>
        <w:tc>
          <w:tcPr>
            <w:tcW w:type="dxa" w:w="24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Board Pack</w:t>
            </w:r>
          </w:p>
        </w:tc>
        <w:tc>
          <w:tcPr>
            <w:tcW w:type="dxa" w:w="73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one auto-generated, page-numbered PDF containing the agenda plus every attached document.</w:t>
            </w:r>
          </w:p>
        </w:tc>
      </w:tr>
      <w:tr>
        <w:tc>
          <w:tcPr>
            <w:tcW w:type="dxa" w:w="24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Minutes</w:t>
            </w:r>
          </w:p>
        </w:tc>
        <w:tc>
          <w:tcPr>
            <w:tcW w:type="dxa" w:w="73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written record of what actually happened in the meeting, item by item.</w:t>
            </w:r>
          </w:p>
        </w:tc>
      </w:tr>
      <w:tr>
        <w:tc>
          <w:tcPr>
            <w:tcW w:type="dxa" w:w="24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Flying Minute</w:t>
            </w:r>
          </w:p>
        </w:tc>
        <w:tc>
          <w:tcPr>
            <w:tcW w:type="dxa" w:w="73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An electronic vote held between scheduled meetings, with a defined voting window.</w:t>
            </w:r>
          </w:p>
        </w:tc>
      </w:tr>
      <w:tr>
        <w:tc>
          <w:tcPr>
            <w:tcW w:type="dxa" w:w="2400"/>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Quorum</w:t>
            </w:r>
          </w:p>
        </w:tc>
        <w:tc>
          <w:tcPr>
            <w:tcW w:type="dxa" w:w="7346"/>
            <w:shd w:fill="FFFFFF"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The minimum percentage of members who must be present/participating for a vote to be valid.</w:t>
            </w:r>
          </w:p>
        </w:tc>
      </w:tr>
      <w:tr>
        <w:tc>
          <w:tcPr>
            <w:tcW w:type="dxa" w:w="2400"/>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Audit trail</w:t>
            </w:r>
          </w:p>
        </w:tc>
        <w:tc>
          <w:tcPr>
            <w:tcW w:type="dxa" w:w="7346"/>
            <w:shd w:fill="F5F5F7" w:color="auto" w:val="clear"/>
            <w:tcMar>
              <w:top w:type="dxa" w:w="80"/>
              <w:left w:type="dxa" w:w="120"/>
              <w:bottom w:type="dxa" w:w="80"/>
              <w:right w:type="dxa" w:w="120"/>
            </w:tcMar>
            <w:vAlign w:val="center"/>
          </w:tcPr>
          <w:p>
            <w:r>
              <w:rPr>
                <w:rFonts w:ascii="Calibri" w:cs="Calibri" w:eastAsia="Calibri" w:hAnsi="Calibri"/>
                <w:color w:val="1F2933"/>
                <w:sz w:val="19"/>
                <w:szCs w:val="19"/>
              </w:rPr>
              <w:t xml:space="preserve">A permanent record of who changed what, and when — never edited or deleted.</w:t>
            </w:r>
          </w:p>
        </w:tc>
      </w:tr>
    </w:tbl>
    <w:sectPr>
      <w:headerReference w:type="default" r:id="rId9"/>
      <w:footerReference w:type="default" r:id="rId10"/>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25B"/>
        <w:sz w:val="15"/>
        <w:szCs w:val="15"/>
      </w:rPr>
      <w:t xml:space="preserve">Page </w:t>
    </w:r>
    <w:r>
      <w:rPr>
        <w:rFonts w:ascii="Calibri" w:cs="Calibri" w:eastAsia="Calibri" w:hAnsi="Calibri"/>
        <w:color w:val="52525B"/>
        <w:sz w:val="15"/>
        <w:szCs w:val="15"/>
      </w:rPr>
      <w:fldChar w:fldCharType="begin"/>
      <w:instrText xml:space="preserve">PAGE</w:instrText>
      <w:fldChar w:fldCharType="separate"/>
      <w:fldChar w:fldCharType="end"/>
    </w:r>
    <w:r>
      <w:rPr>
        <w:rFonts w:ascii="Calibri" w:cs="Calibri" w:eastAsia="Calibri" w:hAnsi="Calibri"/>
        <w:color w:val="52525B"/>
        <w:sz w:val="15"/>
        <w:szCs w:val="15"/>
      </w:rPr>
      <w:t xml:space="preserve"> of </w:t>
    </w:r>
    <w:r>
      <w:rPr>
        <w:rFonts w:ascii="Calibri" w:cs="Calibri" w:eastAsia="Calibri" w:hAnsi="Calibri"/>
        <w:color w:val="52525B"/>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25B"/>
        <w:sz w:val="15"/>
        <w:szCs w:val="15"/>
      </w:rPr>
      <w:t xml:space="preserve">Page </w:t>
    </w:r>
    <w:r>
      <w:rPr>
        <w:rFonts w:ascii="Calibri" w:cs="Calibri" w:eastAsia="Calibri" w:hAnsi="Calibri"/>
        <w:color w:val="52525B"/>
        <w:sz w:val="15"/>
        <w:szCs w:val="15"/>
      </w:rPr>
      <w:fldChar w:fldCharType="begin"/>
      <w:instrText xml:space="preserve">PAGE</w:instrText>
      <w:fldChar w:fldCharType="separate"/>
      <w:fldChar w:fldCharType="end"/>
    </w:r>
    <w:r>
      <w:rPr>
        <w:rFonts w:ascii="Calibri" w:cs="Calibri" w:eastAsia="Calibri" w:hAnsi="Calibri"/>
        <w:color w:val="52525B"/>
        <w:sz w:val="15"/>
        <w:szCs w:val="15"/>
      </w:rPr>
      <w:t xml:space="preserve"> of </w:t>
    </w:r>
    <w:r>
      <w:rPr>
        <w:rFonts w:ascii="Calibri" w:cs="Calibri" w:eastAsia="Calibri" w:hAnsi="Calibri"/>
        <w:color w:val="5252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7D1" w:sz="4" w:space="4"/>
      </w:pBdr>
    </w:pPr>
    <w:r>
      <w:rPr>
        <w:rFonts w:ascii="Calibri" w:cs="Calibri" w:eastAsia="Calibri" w:hAnsi="Calibri"/>
        <w:color w:val="52525B"/>
        <w:sz w:val="15"/>
        <w:szCs w:val="15"/>
      </w:rPr>
      <w:t xml:space="preserve">SegueSync — 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7D1" w:sz="4" w:space="4"/>
      </w:pBdr>
    </w:pPr>
    <w:r>
      <w:rPr>
        <w:rFonts w:ascii="Calibri" w:cs="Calibri" w:eastAsia="Calibri" w:hAnsi="Calibri"/>
        <w:color w:val="52525B"/>
        <w:sz w:val="15"/>
        <w:szCs w:val="15"/>
      </w:rPr>
      <w:t xml:space="preserve">SegueSync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2026-08-11T07:53:25.516Z</dcterms:created>
  <dcterms:modified xsi:type="dcterms:W3CDTF">2026-08-11T07:53:25.517Z</dcterms:modified>
</cp:coreProperties>
</file>

<file path=docProps/custom.xml><?xml version="1.0" encoding="utf-8"?>
<Properties xmlns="http://schemas.openxmlformats.org/officeDocument/2006/custom-properties" xmlns:vt="http://schemas.openxmlformats.org/officeDocument/2006/docPropsVTypes"/>
</file>