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SEGUESYNC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Development Team Document</w:t>
      </w:r>
    </w:p>
    <w:p>
      <w:pPr>
        <w:spacing w:after="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730A3"/>
          <w:sz w:val="48"/>
          <w:szCs w:val="48"/>
        </w:rPr>
        <w:t xml:space="preserve">Coding Standards &amp;
Contribution Guide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2525B"/>
          <w:sz w:val="22"/>
          <w:szCs w:val="22"/>
        </w:rPr>
        <w:t xml:space="preserve">SegueSync Engineering Handbook</w:t>
      </w:r>
    </w:p>
    <w:p>
      <w:pPr>
        <w:spacing w:after="140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73"/>
        <w:gridCol w:w="6200"/>
        <w:gridCol w:w="1773"/>
      </w:tblGrid>
      <w:tr>
        <w:tc>
          <w:tcPr>
            <w:tcW w:type="dxa" w:w="1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200"/>
            <w:tcBorders>
              <w:top w:val="single" w:color="3730A3" w:sz="6"/>
              <w:left w:val="single" w:color="3730A3" w:sz="6"/>
              <w:bottom w:val="single" w:color="3730A3" w:sz="6"/>
              <w:right w:val="single" w:color="3730A3" w:sz="6"/>
            </w:tcBorders>
            <w:shd w:fill="EEF2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Prepared for: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  Project Stakeholders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Prepared by: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  SegueIT — Product &amp; Engineering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Date: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  August 2026</w:t>
            </w:r>
          </w:p>
        </w:tc>
        <w:tc>
          <w:tcPr>
            <w:tcW w:type="dxa" w:w="1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Table of Contents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16"/>
          <w:szCs w:val="16"/>
        </w:rPr>
        <w:t xml:space="preserve">(Right-click and choose "Update Field" in Word if this list appears empty on first open.)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1. Purpose</w:t>
      </w:r>
    </w:p>
    <w:p>
      <w:pPr>
        <w:spacing w:after="2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This guide keeps code consistent and reviewable as more than one engineer contributes to SegueSync. Read this before your first Pull Request.</w:t>
      </w: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2. Tech Stack Recap</w:t>
      </w:r>
    </w:p>
    <w:tbl>
      <w:tblPr>
        <w:tblW w:type="dxa" w:w="9346"/>
        <w:tblBorders>
          <w:top w:val="single" w:color="C7C7D1" w:sz="4"/>
          <w:left w:val="single" w:color="C7C7D1" w:sz="4"/>
          <w:bottom w:val="single" w:color="C7C7D1" w:sz="4"/>
          <w:right w:val="single" w:color="C7C7D1" w:sz="4"/>
          <w:insideH w:val="single" w:color="C7C7D1" w:sz="2"/>
          <w:insideV w:val="single" w:color="C7C7D1" w:sz="2"/>
        </w:tblBorders>
      </w:tblPr>
      <w:tblGrid>
        <w:gridCol w:w="2200"/>
        <w:gridCol w:w="7146"/>
      </w:tblGrid>
      <w:tr>
        <w:trPr>
          <w:tblHeader/>
        </w:trPr>
        <w:tc>
          <w:tcPr>
            <w:tcW w:type="dxa" w:w="2200"/>
            <w:shd w:fill="3730A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146"/>
            <w:shd w:fill="3730A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Frontend</w:t>
            </w:r>
          </w:p>
        </w:tc>
        <w:tc>
          <w:tcPr>
            <w:tcW w:type="dxa" w:w="71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Next.js 14+ (App Router), TypeScript, Tailwind CSS, shadcn/ui</w:t>
            </w:r>
          </w:p>
        </w:tc>
      </w:tr>
      <w:tr>
        <w:tc>
          <w:tcPr>
            <w:tcW w:type="dxa" w:w="2200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State / Data</w:t>
            </w:r>
          </w:p>
        </w:tc>
        <w:tc>
          <w:tcPr>
            <w:tcW w:type="dxa" w:w="714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TanStack Query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Backend</w:t>
            </w:r>
          </w:p>
        </w:tc>
        <w:tc>
          <w:tcPr>
            <w:tcW w:type="dxa" w:w="71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NestJS + Prisma ORM</w:t>
            </w:r>
          </w:p>
        </w:tc>
      </w:tr>
      <w:tr>
        <w:tc>
          <w:tcPr>
            <w:tcW w:type="dxa" w:w="2200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Database</w:t>
            </w:r>
          </w:p>
        </w:tc>
        <w:tc>
          <w:tcPr>
            <w:tcW w:type="dxa" w:w="714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71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S3-compatible object storage (AWS S3 / Cloudflare R2)</w:t>
            </w:r>
          </w:p>
        </w:tc>
      </w:tr>
      <w:tr>
        <w:tc>
          <w:tcPr>
            <w:tcW w:type="dxa" w:w="2200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714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Puppeteer (HTML → PDF)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Auth</w:t>
            </w:r>
          </w:p>
        </w:tc>
        <w:tc>
          <w:tcPr>
            <w:tcW w:type="dxa" w:w="71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Auth.js / Clerk / Auth0, MFA via TOTP</w:t>
            </w:r>
          </w:p>
        </w:tc>
      </w:tr>
      <w:tr>
        <w:tc>
          <w:tcPr>
            <w:tcW w:type="dxa" w:w="2200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Email</w:t>
            </w:r>
          </w:p>
        </w:tc>
        <w:tc>
          <w:tcPr>
            <w:tcW w:type="dxa" w:w="714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Resend / SendGrid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AI</w:t>
            </w:r>
          </w:p>
        </w:tc>
        <w:tc>
          <w:tcPr>
            <w:tcW w:type="dxa" w:w="71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Google Gemini API (free tier) for development, swappable to Anthropic/OpenAI</w:t>
            </w:r>
          </w:p>
        </w:tc>
      </w:tr>
    </w:tbl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25B"/>
          <w:sz w:val="18"/>
          <w:szCs w:val="18"/>
        </w:rPr>
        <w:t xml:space="preserve">Full architecture rationale is in IMPLEMENTATION_PLAN.md §2.</w:t>
      </w: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3. Naming Conventions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Variables &amp; functions: camelCase — e.g. getMeetingById.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Components &amp; classes: PascalCase — e.g. AgendaBuilder, MeetingsService.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Files &amp; folders: kebab-case — e.g. agenda-builder.tsx, flying-minutes/.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Database tables/columns: snake_case, matching Prisma's default mapping.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Booleans read as a question: isPublished, hasAccess, loginEnabled — not published, access.</w:t>
      </w:r>
    </w:p>
    <w:p>
      <w:pPr>
        <w:spacing w:after="20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4. Project Structure Conventions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One NestJS module per feature (meetings, agenda, minutes, actions, decisions, flying-minutes, people, documents, ai, notifications) — see 05_Project_Folder_Structure.docx for the full layout.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Shared cross-cutting logic (tenant-isolation guard, audit-log interceptor, auth guard) lives in common/, never duplicated inside a feature module.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Frontend routes mirror the sidebar navigation 1:1 — a new nav item gets its own route folder under app/(dashboard)/.</w:t>
      </w:r>
    </w:p>
    <w:p>
      <w:pPr>
        <w:spacing w:after="20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5. Git Workflow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main — always deployable; protected, no direct commits.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develop — integration branch for the current phase.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feature/&lt;short-description&gt; — one branch per task, branched from develop.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Every feature branch merges via Pull Request — no direct pushes to develop or main.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5.1 Commit Message Format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Follow Conventional Commits so history stays scannable and changelogs can be generated automatically:</w:t>
      </w:r>
    </w:p>
    <w:tbl>
      <w:tblPr>
        <w:tblW w:type="dxa" w:w="9746"/>
        <w:tblBorders>
          <w:top w:val="single" w:color="C7C7D1" w:sz="4"/>
          <w:left w:val="single" w:color="C7C7D1" w:sz="4"/>
          <w:bottom w:val="single" w:color="C7C7D1" w:sz="4"/>
          <w:right w:val="single" w:color="C7C7D1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1E1E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feat: add Flying Minute recipient access-gate check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fix: prevent agenda publish when no sections exist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docs: update API spec for /agenda/rollback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refactor: extract notification service from meetings module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E8"/>
                <w:sz w:val="18"/>
                <w:szCs w:val="18"/>
              </w:rPr>
              <w:t xml:space="preserve">test: add cross-tenant isolation suite for meetings API</w:t>
            </w:r>
          </w:p>
        </w:tc>
      </w:tr>
    </w:tbl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6. Pull Request Checklist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Every PR description should be able to answer "yes" to each of these before requesting review: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Does this change respect tenant isolation — is every query scoped to organisationId/boardId?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Does any new notification path check Membership.loginEnabled before sending or allowing an action?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Are meaningful mutations (People, Settings, Meetings, Documents) writing a ChangesLogEntry?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Is there at least one automated test covering the new behaviour?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Has the relevant section of FEATURES.md / IMPLEMENTATION_PLAN.md / API spec been updated if behaviour changed?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Does the PR description explain the why, not just the what?</w:t>
      </w:r>
    </w:p>
    <w:p>
      <w:pPr>
        <w:spacing w:after="20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7. Non-Negotiable Engineering Rules</w:t>
      </w:r>
    </w:p>
    <w:tbl>
      <w:tblPr>
        <w:tblW w:type="dxa" w:w="9746"/>
        <w:tblBorders>
          <w:top w:val="single" w:color="9F1239" w:sz="4"/>
          <w:left w:val="single" w:color="9F1239" w:sz="24"/>
          <w:bottom w:val="single" w:color="9F1239" w:sz="4"/>
          <w:right w:val="single" w:color="9F1239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F1239"/>
                <w:sz w:val="22"/>
                <w:szCs w:val="22"/>
              </w:rPr>
              <w:t xml:space="preserve">Tenant isolation is enforced in one shared place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Never write organisationId/boardId filtering by hand inside a feature's business logic.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Use the shared repository base class / query middleware so it cannot be forgotten in a new feature.</w:t>
            </w:r>
          </w:p>
        </w:tc>
      </w:tr>
    </w:tbl>
    <w:p>
      <w:pPr>
        <w:spacing w:after="180"/>
      </w:pPr>
    </w:p>
    <w:tbl>
      <w:tblPr>
        <w:tblW w:type="dxa" w:w="9746"/>
        <w:tblBorders>
          <w:top w:val="single" w:color="3730A3" w:sz="4"/>
          <w:left w:val="single" w:color="3730A3" w:sz="24"/>
          <w:bottom w:val="single" w:color="3730A3" w:sz="4"/>
          <w:right w:val="single" w:color="3730A3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E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2"/>
                <w:szCs w:val="22"/>
              </w:rPr>
              <w:t xml:space="preserve">Notifications never fire as a side effect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status-changing action (Publish Agenda, Finish Minutes) and a notify action (send email) are always two separate calls.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Recipient lists must always be filtered to loginEnabled=true members before a send is allowed to proceed.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8. Testing Expectations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Unit tests for business logic — especially quorum/vote-outcome calculation and access-gating rules.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Integration tests for every API endpoint, including a dedicated cross-tenant isolation test suite that asserts Org A can never read Org B's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One end-to-end test covering the full meeting lifecycle (schedule → publish → minutes → confirm) before each phase is marked done.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No PR merges to develop with a failing test suite.</w:t>
      </w:r>
    </w:p>
    <w:p>
      <w:pPr>
        <w:spacing w:after="200"/>
      </w:pPr>
    </w:p>
    <w:p>
      <w:pPr>
        <w:pStyle w:val="Heading1"/>
        <w:pBdr>
          <w:bottom w:val="single" w:color="3730A3" w:sz="8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9. Code Review Etiquette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Review within one business day where possible — don't let PRs go stale.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Distinguish blocking comments ("must fix before merge") from suggestions ("consider...") explicitly.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F2933"/>
          <w:sz w:val="21"/>
          <w:szCs w:val="21"/>
        </w:rPr>
        <w:t xml:space="preserve">The author merges after approval, not the reviewer — keeps ownership of the merge with the person who tested it locally.</w:t>
      </w:r>
    </w:p>
    <w:sectPr>
      <w:headerReference w:type="default" r:id="rId9"/>
      <w:footerReference w:type="default" r:id="rId1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25B"/>
        <w:sz w:val="15"/>
        <w:szCs w:val="15"/>
      </w:rPr>
      <w:t xml:space="preserve">Page </w:t>
    </w:r>
    <w:r>
      <w:rPr>
        <w:rFonts w:ascii="Calibri" w:cs="Calibri" w:eastAsia="Calibri" w:hAnsi="Calibri"/>
        <w:color w:val="5252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525B"/>
        <w:sz w:val="15"/>
        <w:szCs w:val="15"/>
      </w:rPr>
      <w:t xml:space="preserve"> of </w:t>
    </w:r>
    <w:r>
      <w:rPr>
        <w:rFonts w:ascii="Calibri" w:cs="Calibri" w:eastAsia="Calibri" w:hAnsi="Calibri"/>
        <w:color w:val="5252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25B"/>
        <w:sz w:val="15"/>
        <w:szCs w:val="15"/>
      </w:rPr>
      <w:t xml:space="preserve">Page </w:t>
    </w:r>
    <w:r>
      <w:rPr>
        <w:rFonts w:ascii="Calibri" w:cs="Calibri" w:eastAsia="Calibri" w:hAnsi="Calibri"/>
        <w:color w:val="5252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525B"/>
        <w:sz w:val="15"/>
        <w:szCs w:val="15"/>
      </w:rPr>
      <w:t xml:space="preserve"> of </w:t>
    </w:r>
    <w:r>
      <w:rPr>
        <w:rFonts w:ascii="Calibri" w:cs="Calibri" w:eastAsia="Calibri" w:hAnsi="Calibri"/>
        <w:color w:val="5252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7D1" w:sz="4" w:space="4"/>
      </w:pBdr>
    </w:pPr>
    <w:r>
      <w:rPr>
        <w:rFonts w:ascii="Calibri" w:cs="Calibri" w:eastAsia="Calibri" w:hAnsi="Calibri"/>
        <w:color w:val="52525B"/>
        <w:sz w:val="15"/>
        <w:szCs w:val="15"/>
      </w:rPr>
      <w:t xml:space="preserve">SegueSync — Coding Standards &amp; Contribution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7D1" w:sz="4" w:space="4"/>
      </w:pBdr>
    </w:pPr>
    <w:r>
      <w:rPr>
        <w:rFonts w:ascii="Calibri" w:cs="Calibri" w:eastAsia="Calibri" w:hAnsi="Calibri"/>
        <w:color w:val="52525B"/>
        <w:sz w:val="15"/>
        <w:szCs w:val="15"/>
      </w:rPr>
      <w:t xml:space="preserve">SegueSync — Coding Standards &amp; Contribution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2026-08-11T07:53:05.320Z</dcterms:created>
  <dcterms:modified xsi:type="dcterms:W3CDTF">2026-08-11T07:53:05.320Z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