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Calibri" w:cs="Calibri" w:eastAsia="Calibri" w:hAnsi="Calibri"/>
          <w:b/>
          <w:bCs/>
          <w:color w:val="000000"/>
          <w:sz w:val="34"/>
          <w:szCs w:val="34"/>
        </w:rPr>
        <w:t xml:space="preserve">OEE ANALYTICS &amp; AI DECISION SUPPORT AGENT</w:t>
      </w:r>
    </w:p>
    <w:p>
      <w:pPr>
        <w:spacing w:after="40"/>
        <w:jc w:val="center"/>
      </w:pPr>
      <w:r>
        <w:rPr>
          <w:rFonts w:ascii="Calibri" w:cs="Calibri" w:eastAsia="Calibri" w:hAnsi="Calibri"/>
          <w:b/>
          <w:bCs/>
          <w:color w:val="000000"/>
          <w:sz w:val="25"/>
          <w:szCs w:val="25"/>
        </w:rPr>
        <w:t xml:space="preserve">Approach Document</w:t>
      </w:r>
    </w:p>
    <w:p>
      <w:pPr>
        <w:spacing w:after="40"/>
        <w:jc w:val="center"/>
      </w:pPr>
      <w:r>
        <w:rPr>
          <w:rFonts w:ascii="Calibri" w:cs="Calibri" w:eastAsia="Calibri" w:hAnsi="Calibri"/>
          <w:i/>
          <w:iCs/>
          <w:color w:val="595959"/>
          <w:sz w:val="18"/>
          <w:szCs w:val="18"/>
        </w:rPr>
        <w:t xml:space="preserve">(Originally scoped as: OEE Loss Analysis &amp; Improvement Agent)</w:t>
      </w:r>
    </w:p>
    <w:p>
      <w:pPr>
        <w:spacing w:after="240"/>
        <w:jc w:val="center"/>
      </w:pPr>
      <w:r>
        <w:rPr>
          <w:rFonts w:ascii="Calibri" w:cs="Calibri" w:eastAsia="Calibri" w:hAnsi="Calibri"/>
          <w:i/>
          <w:iCs/>
          <w:color w:val="595959"/>
          <w:sz w:val="20"/>
          <w:szCs w:val="20"/>
        </w:rPr>
        <w:t xml:space="preserve">Proposed Design Approach &amp; Implementation Methodology</w:t>
      </w:r>
    </w:p>
    <w:p>
      <w:pPr>
        <w:pBdr>
          <w:bottom w:val="single" w:color="000000" w:sz="10" w:space="8"/>
        </w:pBdr>
        <w:spacing w:after="220"/>
      </w:pPr>
      <w:r>
        <w:rPr>
          <w:sz w:val="2"/>
          <w:szCs w:val="2"/>
        </w:rPr>
        <w:t xml:space="preserve"/>
      </w:r>
    </w:p>
    <w:p>
      <w:pPr>
        <w:pStyle w:val="Heading1"/>
        <w:pBdr>
          <w:bottom w:val="single" w:color="000000" w:sz="6" w:space="4"/>
        </w:pBdr>
        <w:spacing w:after="130" w:before="300"/>
      </w:pPr>
      <w:r>
        <w:rPr>
          <w:rFonts w:ascii="Calibri" w:cs="Calibri" w:eastAsia="Calibri" w:hAnsi="Calibri"/>
          <w:b/>
          <w:bCs/>
          <w:color w:val="000000"/>
          <w:sz w:val="28"/>
          <w:szCs w:val="28"/>
        </w:rPr>
        <w:t xml:space="preserve">1. Purpose of this Document</w:t>
      </w:r>
    </w:p>
    <w:p>
      <w:pPr>
        <w:spacing w:after="150" w:line="280"/>
        <w:jc w:val="both"/>
      </w:pPr>
      <w:r>
        <w:rPr>
          <w:rFonts w:ascii="Calibri" w:cs="Calibri" w:eastAsia="Calibri" w:hAnsi="Calibri"/>
          <w:color w:val="000000"/>
          <w:sz w:val="21"/>
          <w:szCs w:val="21"/>
        </w:rPr>
        <w:t xml:space="preserve">This document presents the proposed approach and implementation methodology for building the Enterprise OEE Analytics &amp; AI Decision Support Agent. The initiative was first scoped through a short requirement brief — reproduced in full in Section 2 — under the working name "OEE Loss Analysis &amp; Improvement Agent." That brief was expanded into the Business Case &amp; Market Analysis document, and this Approach Document now brings the two together into a single, structured methodology.</w:t>
      </w:r>
    </w:p>
    <w:p>
      <w:pPr>
        <w:spacing w:after="150" w:line="280"/>
        <w:jc w:val="both"/>
      </w:pPr>
      <w:r>
        <w:rPr>
          <w:rFonts w:ascii="Calibri" w:cs="Calibri" w:eastAsia="Calibri" w:hAnsi="Calibri"/>
          <w:color w:val="000000"/>
          <w:sz w:val="21"/>
          <w:szCs w:val="21"/>
        </w:rPr>
        <w:t xml:space="preserve">Every section that follows — objectives, scope, methodology, architecture, and success criteria — is written so that it can be traced directly back to the original requirement brief. Nothing in the original brief is dropped or reinterpreted; it is expanded with the detail needed to move from requirement to design.</w:t>
      </w:r>
    </w:p>
    <w:p>
      <w:pPr>
        <w:pStyle w:val="Heading1"/>
        <w:pBdr>
          <w:bottom w:val="single" w:color="000000" w:sz="6" w:space="4"/>
        </w:pBdr>
        <w:spacing w:after="130" w:before="300"/>
      </w:pPr>
      <w:r>
        <w:rPr>
          <w:rFonts w:ascii="Calibri" w:cs="Calibri" w:eastAsia="Calibri" w:hAnsi="Calibri"/>
          <w:b/>
          <w:bCs/>
          <w:color w:val="000000"/>
          <w:sz w:val="28"/>
          <w:szCs w:val="28"/>
        </w:rPr>
        <w:t xml:space="preserve">2. Reference: Original Requirement Brief</w:t>
      </w:r>
    </w:p>
    <w:p>
      <w:pPr>
        <w:spacing w:after="150" w:line="280"/>
        <w:jc w:val="both"/>
      </w:pPr>
      <w:r>
        <w:rPr>
          <w:rFonts w:ascii="Calibri" w:cs="Calibri" w:eastAsia="Calibri" w:hAnsi="Calibri"/>
          <w:color w:val="000000"/>
          <w:sz w:val="21"/>
          <w:szCs w:val="21"/>
        </w:rPr>
        <w:t xml:space="preserve">Before the business case and this approach were developed, the initiative was scoped through the following requirement brief. It is reproduced here in full so that every later section can be checked against it.</w:t>
      </w:r>
    </w:p>
    <w:tbl>
      <w:tblPr>
        <w:tblW w:type="dxa" w:w="9350"/>
        <w:tblBorders>
          <w:top w:val="single" w:color="000000" w:sz="4"/>
          <w:left w:val="single" w:color="000000" w:sz="4"/>
          <w:bottom w:val="single" w:color="000000" w:sz="4"/>
          <w:right w:val="single" w:color="000000" w:sz="4"/>
          <w:insideH w:val="single" w:color="000000" w:sz="4"/>
          <w:insideV w:val="single" w:color="000000" w:sz="4"/>
        </w:tblBorders>
      </w:tblPr>
      <w:tblGrid>
        <w:gridCol w:w="2200"/>
        <w:gridCol w:w="7150"/>
      </w:tblGrid>
      <w:tr>
        <w:tc>
          <w:tcPr>
            <w:tcW w:type="dxa" w:w="2200"/>
            <w:shd w:fill="D9D9D9" w:val="clear"/>
            <w:tcMar>
              <w:top w:type="dxa" w:w="80"/>
              <w:left w:type="dxa" w:w="100"/>
              <w:bottom w:type="dxa" w:w="80"/>
              <w:right w:type="dxa" w:w="100"/>
            </w:tcMar>
          </w:tcPr>
          <w:p>
            <w:r>
              <w:rPr>
                <w:rFonts w:ascii="Calibri" w:cs="Calibri" w:eastAsia="Calibri" w:hAnsi="Calibri"/>
                <w:b/>
                <w:bCs/>
                <w:i w:val="false"/>
                <w:iCs w:val="false"/>
                <w:color w:val="000000"/>
                <w:sz w:val="18"/>
                <w:szCs w:val="18"/>
              </w:rPr>
              <w:t xml:space="preserve">Agent Name</w:t>
            </w:r>
          </w:p>
        </w:tc>
        <w:tc>
          <w:tcPr>
            <w:tcW w:type="dxa" w:w="7150"/>
            <w:tcMar>
              <w:top w:type="dxa" w:w="80"/>
              <w:left w:type="dxa" w:w="100"/>
              <w:bottom w:type="dxa" w:w="80"/>
              <w:right w:type="dxa" w:w="100"/>
            </w:tcMar>
          </w:tcPr>
          <w:p>
            <w:r>
              <w:rPr>
                <w:rFonts w:ascii="Calibri" w:cs="Calibri" w:eastAsia="Calibri" w:hAnsi="Calibri"/>
                <w:b/>
                <w:bCs/>
                <w:i w:val="false"/>
                <w:iCs w:val="false"/>
                <w:color w:val="000000"/>
                <w:sz w:val="18"/>
                <w:szCs w:val="18"/>
              </w:rPr>
              <w:t xml:space="preserve">OEE Loss Analysis &amp; Improvement Agent</w:t>
            </w:r>
          </w:p>
        </w:tc>
      </w:tr>
      <w:tr>
        <w:tc>
          <w:tcPr>
            <w:tcW w:type="dxa" w:w="2200"/>
            <w:shd w:fill="D9D9D9" w:val="clear"/>
            <w:tcMar>
              <w:top w:type="dxa" w:w="80"/>
              <w:left w:type="dxa" w:w="100"/>
              <w:bottom w:type="dxa" w:w="80"/>
              <w:right w:type="dxa" w:w="100"/>
            </w:tcMar>
          </w:tcPr>
          <w:p>
            <w:r>
              <w:rPr>
                <w:rFonts w:ascii="Calibri" w:cs="Calibri" w:eastAsia="Calibri" w:hAnsi="Calibri"/>
                <w:b/>
                <w:bCs/>
                <w:i w:val="false"/>
                <w:iCs w:val="false"/>
                <w:color w:val="000000"/>
                <w:sz w:val="18"/>
                <w:szCs w:val="18"/>
              </w:rPr>
              <w:t xml:space="preserve">Description</w:t>
            </w:r>
          </w:p>
        </w:tc>
        <w:tc>
          <w:tcPr>
            <w:tcW w:type="dxa" w:w="7150"/>
            <w:tcMar>
              <w:top w:type="dxa" w:w="80"/>
              <w:left w:type="dxa" w:w="100"/>
              <w:bottom w:type="dxa" w:w="80"/>
              <w:right w:type="dxa" w:w="100"/>
            </w:tcMar>
          </w:tcPr>
          <w:p>
            <w:r>
              <w:rPr>
                <w:rFonts w:ascii="Calibri" w:cs="Calibri" w:eastAsia="Calibri" w:hAnsi="Calibri"/>
                <w:b w:val="false"/>
                <w:bCs w:val="false"/>
                <w:i w:val="false"/>
                <w:iCs w:val="false"/>
                <w:color w:val="000000"/>
                <w:sz w:val="18"/>
                <w:szCs w:val="18"/>
              </w:rPr>
              <w:t xml:space="preserve">Analyzes Availability, Performance, and Quality losses to identify key drivers of poor OEE and recommend actions to improve operational efficiency and equipment productivity.</w:t>
            </w:r>
          </w:p>
        </w:tc>
      </w:tr>
      <w:tr>
        <w:tc>
          <w:tcPr>
            <w:tcW w:type="dxa" w:w="2200"/>
            <w:shd w:fill="D9D9D9" w:val="clear"/>
            <w:tcMar>
              <w:top w:type="dxa" w:w="80"/>
              <w:left w:type="dxa" w:w="100"/>
              <w:bottom w:type="dxa" w:w="80"/>
              <w:right w:type="dxa" w:w="100"/>
            </w:tcMar>
          </w:tcPr>
          <w:p>
            <w:r>
              <w:rPr>
                <w:rFonts w:ascii="Calibri" w:cs="Calibri" w:eastAsia="Calibri" w:hAnsi="Calibri"/>
                <w:b/>
                <w:bCs/>
                <w:i w:val="false"/>
                <w:iCs w:val="false"/>
                <w:color w:val="000000"/>
                <w:sz w:val="18"/>
                <w:szCs w:val="18"/>
              </w:rPr>
              <w:t xml:space="preserve">Target Users</w:t>
            </w:r>
          </w:p>
        </w:tc>
        <w:tc>
          <w:tcPr>
            <w:tcW w:type="dxa" w:w="7150"/>
            <w:tcMar>
              <w:top w:type="dxa" w:w="80"/>
              <w:left w:type="dxa" w:w="100"/>
              <w:bottom w:type="dxa" w:w="80"/>
              <w:right w:type="dxa" w:w="100"/>
            </w:tcMar>
          </w:tcPr>
          <w:p>
            <w:r>
              <w:rPr>
                <w:rFonts w:ascii="Calibri" w:cs="Calibri" w:eastAsia="Calibri" w:hAnsi="Calibri"/>
                <w:b w:val="false"/>
                <w:bCs w:val="false"/>
                <w:i w:val="false"/>
                <w:iCs w:val="false"/>
                <w:color w:val="000000"/>
                <w:sz w:val="18"/>
                <w:szCs w:val="18"/>
              </w:rPr>
              <w:t xml:space="preserve">Plant Manager, Operations Excellence Manager, Production Manager, Continuous Improvement Lead</w:t>
            </w:r>
          </w:p>
        </w:tc>
      </w:tr>
      <w:tr>
        <w:tc>
          <w:tcPr>
            <w:tcW w:type="dxa" w:w="2200"/>
            <w:shd w:fill="D9D9D9" w:val="clear"/>
            <w:tcMar>
              <w:top w:type="dxa" w:w="80"/>
              <w:left w:type="dxa" w:w="100"/>
              <w:bottom w:type="dxa" w:w="80"/>
              <w:right w:type="dxa" w:w="100"/>
            </w:tcMar>
          </w:tcPr>
          <w:p>
            <w:r>
              <w:rPr>
                <w:rFonts w:ascii="Calibri" w:cs="Calibri" w:eastAsia="Calibri" w:hAnsi="Calibri"/>
                <w:b/>
                <w:bCs/>
                <w:i w:val="false"/>
                <w:iCs w:val="false"/>
                <w:color w:val="000000"/>
                <w:sz w:val="18"/>
                <w:szCs w:val="18"/>
              </w:rPr>
              <w:t xml:space="preserve">Sub-Tasks</w:t>
            </w:r>
          </w:p>
        </w:tc>
        <w:tc>
          <w:tcPr>
            <w:tcW w:type="dxa" w:w="7150"/>
            <w:tcMar>
              <w:top w:type="dxa" w:w="80"/>
              <w:left w:type="dxa" w:w="100"/>
              <w:bottom w:type="dxa" w:w="80"/>
              <w:right w:type="dxa" w:w="100"/>
            </w:tcMar>
          </w:tcPr>
          <w:p>
            <w:pPr>
              <w:pStyle w:val="ListParagraph"/>
              <w:numPr>
                <w:ilvl w:val="0"/>
                <w:numId w:val="2"/>
              </w:numPr>
              <w:spacing w:after="40"/>
            </w:pPr>
            <w:r>
              <w:rPr>
                <w:rFonts w:ascii="Calibri" w:cs="Calibri" w:eastAsia="Calibri" w:hAnsi="Calibri"/>
                <w:color w:val="000000"/>
                <w:sz w:val="18"/>
                <w:szCs w:val="18"/>
              </w:rPr>
              <w:t xml:space="preserve">OEE breakdown analysis</w:t>
            </w:r>
          </w:p>
          <w:p>
            <w:pPr>
              <w:pStyle w:val="ListParagraph"/>
              <w:numPr>
                <w:ilvl w:val="0"/>
                <w:numId w:val="2"/>
              </w:numPr>
              <w:spacing w:after="40"/>
            </w:pPr>
            <w:r>
              <w:rPr>
                <w:rFonts w:ascii="Calibri" w:cs="Calibri" w:eastAsia="Calibri" w:hAnsi="Calibri"/>
                <w:color w:val="000000"/>
                <w:sz w:val="18"/>
                <w:szCs w:val="18"/>
              </w:rPr>
              <w:t xml:space="preserve">Availability loss analysis</w:t>
            </w:r>
          </w:p>
          <w:p>
            <w:pPr>
              <w:pStyle w:val="ListParagraph"/>
              <w:numPr>
                <w:ilvl w:val="0"/>
                <w:numId w:val="2"/>
              </w:numPr>
              <w:spacing w:after="40"/>
            </w:pPr>
            <w:r>
              <w:rPr>
                <w:rFonts w:ascii="Calibri" w:cs="Calibri" w:eastAsia="Calibri" w:hAnsi="Calibri"/>
                <w:color w:val="000000"/>
                <w:sz w:val="18"/>
                <w:szCs w:val="18"/>
              </w:rPr>
              <w:t xml:space="preserve">Performance loss analysis</w:t>
            </w:r>
          </w:p>
          <w:p>
            <w:pPr>
              <w:pStyle w:val="ListParagraph"/>
              <w:numPr>
                <w:ilvl w:val="0"/>
                <w:numId w:val="2"/>
              </w:numPr>
              <w:spacing w:after="40"/>
            </w:pPr>
            <w:r>
              <w:rPr>
                <w:rFonts w:ascii="Calibri" w:cs="Calibri" w:eastAsia="Calibri" w:hAnsi="Calibri"/>
                <w:color w:val="000000"/>
                <w:sz w:val="18"/>
                <w:szCs w:val="18"/>
              </w:rPr>
              <w:t xml:space="preserve">Quality loss analysis</w:t>
            </w:r>
          </w:p>
          <w:p>
            <w:pPr>
              <w:pStyle w:val="ListParagraph"/>
              <w:numPr>
                <w:ilvl w:val="0"/>
                <w:numId w:val="2"/>
              </w:numPr>
              <w:spacing w:after="40"/>
            </w:pPr>
            <w:r>
              <w:rPr>
                <w:rFonts w:ascii="Calibri" w:cs="Calibri" w:eastAsia="Calibri" w:hAnsi="Calibri"/>
                <w:color w:val="000000"/>
                <w:sz w:val="18"/>
                <w:szCs w:val="18"/>
              </w:rPr>
              <w:t xml:space="preserve">Downtime categorization</w:t>
            </w:r>
          </w:p>
          <w:p>
            <w:pPr>
              <w:pStyle w:val="ListParagraph"/>
              <w:numPr>
                <w:ilvl w:val="0"/>
                <w:numId w:val="2"/>
              </w:numPr>
              <w:spacing w:after="40"/>
            </w:pPr>
            <w:r>
              <w:rPr>
                <w:rFonts w:ascii="Calibri" w:cs="Calibri" w:eastAsia="Calibri" w:hAnsi="Calibri"/>
                <w:color w:val="000000"/>
                <w:sz w:val="18"/>
                <w:szCs w:val="18"/>
              </w:rPr>
              <w:t xml:space="preserve">Line comparison</w:t>
            </w:r>
          </w:p>
          <w:p>
            <w:pPr>
              <w:pStyle w:val="ListParagraph"/>
              <w:numPr>
                <w:ilvl w:val="0"/>
                <w:numId w:val="2"/>
              </w:numPr>
              <w:spacing w:after="0"/>
            </w:pPr>
            <w:r>
              <w:rPr>
                <w:rFonts w:ascii="Calibri" w:cs="Calibri" w:eastAsia="Calibri" w:hAnsi="Calibri"/>
                <w:color w:val="000000"/>
                <w:sz w:val="18"/>
                <w:szCs w:val="18"/>
              </w:rPr>
              <w:t xml:space="preserve">Improvement recommendations</w:t>
            </w:r>
          </w:p>
        </w:tc>
      </w:tr>
      <w:tr>
        <w:tc>
          <w:tcPr>
            <w:tcW w:type="dxa" w:w="2200"/>
            <w:shd w:fill="D9D9D9" w:val="clear"/>
            <w:tcMar>
              <w:top w:type="dxa" w:w="80"/>
              <w:left w:type="dxa" w:w="100"/>
              <w:bottom w:type="dxa" w:w="80"/>
              <w:right w:type="dxa" w:w="100"/>
            </w:tcMar>
          </w:tcPr>
          <w:p>
            <w:r>
              <w:rPr>
                <w:rFonts w:ascii="Calibri" w:cs="Calibri" w:eastAsia="Calibri" w:hAnsi="Calibri"/>
                <w:b/>
                <w:bCs/>
                <w:i w:val="false"/>
                <w:iCs w:val="false"/>
                <w:color w:val="000000"/>
                <w:sz w:val="18"/>
                <w:szCs w:val="18"/>
              </w:rPr>
              <w:t xml:space="preserve">Success Criteria</w:t>
            </w:r>
          </w:p>
        </w:tc>
        <w:tc>
          <w:tcPr>
            <w:tcW w:type="dxa" w:w="7150"/>
            <w:tcMar>
              <w:top w:type="dxa" w:w="80"/>
              <w:left w:type="dxa" w:w="100"/>
              <w:bottom w:type="dxa" w:w="80"/>
              <w:right w:type="dxa" w:w="100"/>
            </w:tcMar>
          </w:tcPr>
          <w:p>
            <w:pPr>
              <w:pStyle w:val="ListParagraph"/>
              <w:numPr>
                <w:ilvl w:val="0"/>
                <w:numId w:val="2"/>
              </w:numPr>
              <w:spacing w:after="40"/>
            </w:pPr>
            <w:r>
              <w:rPr>
                <w:rFonts w:ascii="Calibri" w:cs="Calibri" w:eastAsia="Calibri" w:hAnsi="Calibri"/>
                <w:color w:val="000000"/>
                <w:sz w:val="18"/>
                <w:szCs w:val="18"/>
              </w:rPr>
              <w:t xml:space="preserve">OEE losses categorized correctly</w:t>
            </w:r>
          </w:p>
          <w:p>
            <w:pPr>
              <w:pStyle w:val="ListParagraph"/>
              <w:numPr>
                <w:ilvl w:val="0"/>
                <w:numId w:val="2"/>
              </w:numPr>
              <w:spacing w:after="40"/>
            </w:pPr>
            <w:r>
              <w:rPr>
                <w:rFonts w:ascii="Calibri" w:cs="Calibri" w:eastAsia="Calibri" w:hAnsi="Calibri"/>
                <w:color w:val="000000"/>
                <w:sz w:val="18"/>
                <w:szCs w:val="18"/>
              </w:rPr>
              <w:t xml:space="preserve">Top performance degradation drivers identified</w:t>
            </w:r>
          </w:p>
          <w:p>
            <w:pPr>
              <w:pStyle w:val="ListParagraph"/>
              <w:numPr>
                <w:ilvl w:val="0"/>
                <w:numId w:val="2"/>
              </w:numPr>
              <w:spacing w:after="40"/>
            </w:pPr>
            <w:r>
              <w:rPr>
                <w:rFonts w:ascii="Calibri" w:cs="Calibri" w:eastAsia="Calibri" w:hAnsi="Calibri"/>
                <w:color w:val="000000"/>
                <w:sz w:val="18"/>
                <w:szCs w:val="18"/>
              </w:rPr>
              <w:t xml:space="preserve">Business impact quantified</w:t>
            </w:r>
          </w:p>
          <w:p>
            <w:pPr>
              <w:pStyle w:val="ListParagraph"/>
              <w:numPr>
                <w:ilvl w:val="0"/>
                <w:numId w:val="2"/>
              </w:numPr>
              <w:spacing w:after="40"/>
            </w:pPr>
            <w:r>
              <w:rPr>
                <w:rFonts w:ascii="Calibri" w:cs="Calibri" w:eastAsia="Calibri" w:hAnsi="Calibri"/>
                <w:color w:val="000000"/>
                <w:sz w:val="18"/>
                <w:szCs w:val="18"/>
              </w:rPr>
              <w:t xml:space="preserve">Improvement opportunities recommended</w:t>
            </w:r>
          </w:p>
          <w:p>
            <w:pPr>
              <w:pStyle w:val="ListParagraph"/>
              <w:numPr>
                <w:ilvl w:val="0"/>
                <w:numId w:val="2"/>
              </w:numPr>
              <w:spacing w:after="40"/>
            </w:pPr>
            <w:r>
              <w:rPr>
                <w:rFonts w:ascii="Calibri" w:cs="Calibri" w:eastAsia="Calibri" w:hAnsi="Calibri"/>
                <w:color w:val="000000"/>
                <w:sz w:val="18"/>
                <w:szCs w:val="18"/>
              </w:rPr>
              <w:t xml:space="preserve">Management-ready summary generated</w:t>
            </w:r>
          </w:p>
          <w:p>
            <w:pPr>
              <w:pStyle w:val="ListParagraph"/>
              <w:numPr>
                <w:ilvl w:val="0"/>
                <w:numId w:val="2"/>
              </w:numPr>
              <w:spacing w:after="0"/>
            </w:pPr>
            <w:r>
              <w:rPr>
                <w:rFonts w:ascii="Calibri" w:cs="Calibri" w:eastAsia="Calibri" w:hAnsi="Calibri"/>
                <w:color w:val="000000"/>
                <w:sz w:val="18"/>
                <w:szCs w:val="18"/>
              </w:rPr>
              <w:t xml:space="preserve">Supports minimum 3 OEE improvement scenarios</w:t>
            </w:r>
          </w:p>
        </w:tc>
      </w:tr>
    </w:tbl>
    <w:p>
      <w:pPr>
        <w:spacing w:after="140"/>
      </w:pPr>
    </w:p>
    <w:p>
      <w:pPr>
        <w:pStyle w:val="Heading1"/>
        <w:pBdr>
          <w:bottom w:val="single" w:color="000000" w:sz="6" w:space="4"/>
        </w:pBdr>
        <w:spacing w:after="130" w:before="300"/>
      </w:pPr>
      <w:r>
        <w:rPr>
          <w:rFonts w:ascii="Calibri" w:cs="Calibri" w:eastAsia="Calibri" w:hAnsi="Calibri"/>
          <w:b/>
          <w:bCs/>
          <w:color w:val="000000"/>
          <w:sz w:val="28"/>
          <w:szCs w:val="28"/>
        </w:rPr>
        <w:t xml:space="preserve">3. Objective</w:t>
      </w:r>
    </w:p>
    <w:p>
      <w:pPr>
        <w:spacing w:after="150" w:line="280"/>
        <w:jc w:val="both"/>
      </w:pPr>
      <w:r>
        <w:rPr>
          <w:rFonts w:ascii="Calibri" w:cs="Calibri" w:eastAsia="Calibri" w:hAnsi="Calibri"/>
          <w:color w:val="000000"/>
          <w:sz w:val="21"/>
          <w:szCs w:val="21"/>
        </w:rPr>
        <w:t xml:space="preserve">Directly from the requirement brief, the objective of this initiative is to design and build an agent that analyzes Availability, Performance, and Quality losses, identifies the key drivers of poor OEE, and recommends actions to improve operational efficiency and equipment productivity. Expanded for design purposes, the platform is intended to:</w:t>
      </w:r>
    </w:p>
    <w:p>
      <w:pPr>
        <w:pStyle w:val="ListParagraph"/>
        <w:numPr>
          <w:ilvl w:val="0"/>
          <w:numId w:val="3"/>
        </w:numPr>
        <w:spacing w:after="80"/>
      </w:pPr>
      <w:r>
        <w:rPr>
          <w:rFonts w:ascii="Calibri" w:cs="Calibri" w:eastAsia="Calibri" w:hAnsi="Calibri"/>
          <w:color w:val="000000"/>
          <w:sz w:val="21"/>
          <w:szCs w:val="21"/>
        </w:rPr>
        <w:t xml:space="preserve">Calculate OEE deterministically from validated manufacturing data (Availability, Performance, Quality).</w:t>
      </w:r>
    </w:p>
    <w:p>
      <w:pPr>
        <w:pStyle w:val="ListParagraph"/>
        <w:numPr>
          <w:ilvl w:val="0"/>
          <w:numId w:val="3"/>
        </w:numPr>
        <w:spacing w:after="80"/>
      </w:pPr>
      <w:r>
        <w:rPr>
          <w:rFonts w:ascii="Calibri" w:cs="Calibri" w:eastAsia="Calibri" w:hAnsi="Calibri"/>
          <w:color w:val="000000"/>
          <w:sz w:val="21"/>
          <w:szCs w:val="21"/>
        </w:rPr>
        <w:t xml:space="preserve">Identify, categorize, and rank the dominant loss drivers behind OEE underperformance.</w:t>
      </w:r>
    </w:p>
    <w:p>
      <w:pPr>
        <w:pStyle w:val="ListParagraph"/>
        <w:numPr>
          <w:ilvl w:val="0"/>
          <w:numId w:val="3"/>
        </w:numPr>
        <w:spacing w:after="80"/>
      </w:pPr>
      <w:r>
        <w:rPr>
          <w:rFonts w:ascii="Calibri" w:cs="Calibri" w:eastAsia="Calibri" w:hAnsi="Calibri"/>
          <w:color w:val="000000"/>
          <w:sz w:val="21"/>
          <w:szCs w:val="21"/>
        </w:rPr>
        <w:t xml:space="preserve">Compare performance across lines to surface relative, not just absolute, degradation.</w:t>
      </w:r>
    </w:p>
    <w:p>
      <w:pPr>
        <w:pStyle w:val="ListParagraph"/>
        <w:numPr>
          <w:ilvl w:val="0"/>
          <w:numId w:val="3"/>
        </w:numPr>
        <w:spacing w:after="80"/>
      </w:pPr>
      <w:r>
        <w:rPr>
          <w:rFonts w:ascii="Calibri" w:cs="Calibri" w:eastAsia="Calibri" w:hAnsi="Calibri"/>
          <w:color w:val="000000"/>
          <w:sz w:val="21"/>
          <w:szCs w:val="21"/>
        </w:rPr>
        <w:t xml:space="preserve">Quantify the financial and production impact of each identified loss.</w:t>
      </w:r>
    </w:p>
    <w:p>
      <w:pPr>
        <w:pStyle w:val="ListParagraph"/>
        <w:numPr>
          <w:ilvl w:val="0"/>
          <w:numId w:val="3"/>
        </w:numPr>
        <w:spacing w:after="80"/>
      </w:pPr>
      <w:r>
        <w:rPr>
          <w:rFonts w:ascii="Calibri" w:cs="Calibri" w:eastAsia="Calibri" w:hAnsi="Calibri"/>
          <w:color w:val="000000"/>
          <w:sz w:val="21"/>
          <w:szCs w:val="21"/>
        </w:rPr>
        <w:t xml:space="preserve">Generate evidence-backed, explainable improvement recommendations rather than generic AI output.</w:t>
      </w:r>
    </w:p>
    <w:p>
      <w:pPr>
        <w:pStyle w:val="ListParagraph"/>
        <w:numPr>
          <w:ilvl w:val="0"/>
          <w:numId w:val="3"/>
        </w:numPr>
        <w:spacing w:after="80"/>
      </w:pPr>
      <w:r>
        <w:rPr>
          <w:rFonts w:ascii="Calibri" w:cs="Calibri" w:eastAsia="Calibri" w:hAnsi="Calibri"/>
          <w:color w:val="000000"/>
          <w:sz w:val="21"/>
          <w:szCs w:val="21"/>
        </w:rPr>
        <w:t xml:space="preserve">Support a minimum of three concurrent what-if improvement scenarios before changes are implemented.</w:t>
      </w:r>
    </w:p>
    <w:p>
      <w:pPr>
        <w:pStyle w:val="ListParagraph"/>
        <w:numPr>
          <w:ilvl w:val="0"/>
          <w:numId w:val="3"/>
        </w:numPr>
        <w:spacing w:after="80"/>
      </w:pPr>
      <w:r>
        <w:rPr>
          <w:rFonts w:ascii="Calibri" w:cs="Calibri" w:eastAsia="Calibri" w:hAnsi="Calibri"/>
          <w:color w:val="000000"/>
          <w:sz w:val="21"/>
          <w:szCs w:val="21"/>
        </w:rPr>
        <w:t xml:space="preserve">Produce a management-ready summary suitable for direct use by plant leadership.</w:t>
      </w:r>
    </w:p>
    <w:p>
      <w:pPr>
        <w:pStyle w:val="Heading1"/>
        <w:pBdr>
          <w:bottom w:val="single" w:color="000000" w:sz="6" w:space="4"/>
        </w:pBdr>
        <w:spacing w:after="130" w:before="300"/>
      </w:pPr>
      <w:r>
        <w:rPr>
          <w:rFonts w:ascii="Calibri" w:cs="Calibri" w:eastAsia="Calibri" w:hAnsi="Calibri"/>
          <w:b/>
          <w:bCs/>
          <w:color w:val="000000"/>
          <w:sz w:val="28"/>
          <w:szCs w:val="28"/>
        </w:rPr>
        <w:t xml:space="preserve">4. Target Users &amp; Stakeholder Needs</w:t>
      </w:r>
    </w:p>
    <w:p>
      <w:pPr>
        <w:spacing w:after="150" w:line="280"/>
        <w:jc w:val="both"/>
      </w:pPr>
      <w:r>
        <w:rPr>
          <w:rFonts w:ascii="Calibri" w:cs="Calibri" w:eastAsia="Calibri" w:hAnsi="Calibri"/>
          <w:color w:val="000000"/>
          <w:sz w:val="21"/>
          <w:szCs w:val="21"/>
        </w:rPr>
        <w:t xml:space="preserve">The requirement brief names four target user roles. Each has a distinct decision they need the agent to support:</w:t>
      </w:r>
    </w:p>
    <w:tbl>
      <w:tblPr>
        <w:tblW w:type="dxa" w:w="9350"/>
        <w:tblBorders>
          <w:top w:val="single" w:color="000000" w:sz="4"/>
          <w:left w:val="single" w:color="000000" w:sz="4"/>
          <w:bottom w:val="single" w:color="000000" w:sz="4"/>
          <w:right w:val="single" w:color="000000" w:sz="4"/>
          <w:insideH w:val="single" w:color="000000" w:sz="4"/>
          <w:insideV w:val="single" w:color="000000" w:sz="4"/>
        </w:tblBorders>
      </w:tblPr>
      <w:tblGrid>
        <w:gridCol w:w="2400"/>
        <w:gridCol w:w="3450"/>
        <w:gridCol w:w="3500"/>
      </w:tblGrid>
      <w:tr>
        <w:trPr>
          <w:tblHeader/>
        </w:trPr>
        <w:tc>
          <w:tcPr>
            <w:tcW w:type="dxa" w:w="2400"/>
            <w:shd w:fill="D9D9D9" w:val="clear"/>
            <w:tcMar>
              <w:top w:type="dxa" w:w="80"/>
              <w:left w:type="dxa" w:w="100"/>
              <w:bottom w:type="dxa" w:w="80"/>
              <w:right w:type="dxa" w:w="100"/>
            </w:tcMar>
          </w:tcPr>
          <w:p>
            <w:r>
              <w:rPr>
                <w:rFonts w:ascii="Calibri" w:cs="Calibri" w:eastAsia="Calibri" w:hAnsi="Calibri"/>
                <w:b/>
                <w:bCs/>
                <w:i w:val="false"/>
                <w:iCs w:val="false"/>
                <w:color w:val="000000"/>
                <w:sz w:val="18"/>
                <w:szCs w:val="18"/>
              </w:rPr>
              <w:t xml:space="preserve">Role</w:t>
            </w:r>
          </w:p>
        </w:tc>
        <w:tc>
          <w:tcPr>
            <w:tcW w:type="dxa" w:w="3450"/>
            <w:shd w:fill="D9D9D9" w:val="clear"/>
            <w:tcMar>
              <w:top w:type="dxa" w:w="80"/>
              <w:left w:type="dxa" w:w="100"/>
              <w:bottom w:type="dxa" w:w="80"/>
              <w:right w:type="dxa" w:w="100"/>
            </w:tcMar>
          </w:tcPr>
          <w:p>
            <w:r>
              <w:rPr>
                <w:rFonts w:ascii="Calibri" w:cs="Calibri" w:eastAsia="Calibri" w:hAnsi="Calibri"/>
                <w:b/>
                <w:bCs/>
                <w:i w:val="false"/>
                <w:iCs w:val="false"/>
                <w:color w:val="000000"/>
                <w:sz w:val="18"/>
                <w:szCs w:val="18"/>
              </w:rPr>
              <w:t xml:space="preserve">Primary Need</w:t>
            </w:r>
          </w:p>
        </w:tc>
        <w:tc>
          <w:tcPr>
            <w:tcW w:type="dxa" w:w="3500"/>
            <w:shd w:fill="D9D9D9" w:val="clear"/>
            <w:tcMar>
              <w:top w:type="dxa" w:w="80"/>
              <w:left w:type="dxa" w:w="100"/>
              <w:bottom w:type="dxa" w:w="80"/>
              <w:right w:type="dxa" w:w="100"/>
            </w:tcMar>
          </w:tcPr>
          <w:p>
            <w:r>
              <w:rPr>
                <w:rFonts w:ascii="Calibri" w:cs="Calibri" w:eastAsia="Calibri" w:hAnsi="Calibri"/>
                <w:b/>
                <w:bCs/>
                <w:i w:val="false"/>
                <w:iCs w:val="false"/>
                <w:color w:val="000000"/>
                <w:sz w:val="18"/>
                <w:szCs w:val="18"/>
              </w:rPr>
              <w:t xml:space="preserve">How the Agent Serves This Role</w:t>
            </w:r>
          </w:p>
        </w:tc>
      </w:tr>
      <w:tr>
        <w:tc>
          <w:tcPr>
            <w:tcW w:type="dxa" w:w="2400"/>
            <w:tcMar>
              <w:top w:type="dxa" w:w="80"/>
              <w:left w:type="dxa" w:w="100"/>
              <w:bottom w:type="dxa" w:w="80"/>
              <w:right w:type="dxa" w:w="100"/>
            </w:tcMar>
          </w:tcPr>
          <w:p>
            <w:r>
              <w:rPr>
                <w:rFonts w:ascii="Calibri" w:cs="Calibri" w:eastAsia="Calibri" w:hAnsi="Calibri"/>
                <w:b/>
                <w:bCs/>
                <w:i w:val="false"/>
                <w:iCs w:val="false"/>
                <w:color w:val="000000"/>
                <w:sz w:val="18"/>
                <w:szCs w:val="18"/>
              </w:rPr>
              <w:t xml:space="preserve">Plant Manager</w:t>
            </w:r>
          </w:p>
        </w:tc>
        <w:tc>
          <w:tcPr>
            <w:tcW w:type="dxa" w:w="3450"/>
            <w:tcMar>
              <w:top w:type="dxa" w:w="80"/>
              <w:left w:type="dxa" w:w="100"/>
              <w:bottom w:type="dxa" w:w="80"/>
              <w:right w:type="dxa" w:w="100"/>
            </w:tcMar>
          </w:tcPr>
          <w:p>
            <w:r>
              <w:rPr>
                <w:rFonts w:ascii="Calibri" w:cs="Calibri" w:eastAsia="Calibri" w:hAnsi="Calibri"/>
                <w:b w:val="false"/>
                <w:bCs w:val="false"/>
                <w:i w:val="false"/>
                <w:iCs w:val="false"/>
                <w:color w:val="000000"/>
                <w:sz w:val="18"/>
                <w:szCs w:val="18"/>
              </w:rPr>
              <w:t xml:space="preserve">A prioritized, financial view of what is hurting OEE most.</w:t>
            </w:r>
          </w:p>
        </w:tc>
        <w:tc>
          <w:tcPr>
            <w:tcW w:type="dxa" w:w="3500"/>
            <w:tcMar>
              <w:top w:type="dxa" w:w="80"/>
              <w:left w:type="dxa" w:w="100"/>
              <w:bottom w:type="dxa" w:w="80"/>
              <w:right w:type="dxa" w:w="100"/>
            </w:tcMar>
          </w:tcPr>
          <w:p>
            <w:r>
              <w:rPr>
                <w:rFonts w:ascii="Calibri" w:cs="Calibri" w:eastAsia="Calibri" w:hAnsi="Calibri"/>
                <w:b w:val="false"/>
                <w:bCs w:val="false"/>
                <w:i w:val="false"/>
                <w:iCs w:val="false"/>
                <w:color w:val="000000"/>
                <w:sz w:val="18"/>
                <w:szCs w:val="18"/>
              </w:rPr>
              <w:t xml:space="preserve">Executive decision brief with ranked losses and projected savings.</w:t>
            </w:r>
          </w:p>
        </w:tc>
      </w:tr>
      <w:tr>
        <w:tc>
          <w:tcPr>
            <w:tcW w:type="dxa" w:w="2400"/>
            <w:tcMar>
              <w:top w:type="dxa" w:w="80"/>
              <w:left w:type="dxa" w:w="100"/>
              <w:bottom w:type="dxa" w:w="80"/>
              <w:right w:type="dxa" w:w="100"/>
            </w:tcMar>
          </w:tcPr>
          <w:p>
            <w:r>
              <w:rPr>
                <w:rFonts w:ascii="Calibri" w:cs="Calibri" w:eastAsia="Calibri" w:hAnsi="Calibri"/>
                <w:b/>
                <w:bCs/>
                <w:i w:val="false"/>
                <w:iCs w:val="false"/>
                <w:color w:val="000000"/>
                <w:sz w:val="18"/>
                <w:szCs w:val="18"/>
              </w:rPr>
              <w:t xml:space="preserve">Operations Excellence Manager</w:t>
            </w:r>
          </w:p>
        </w:tc>
        <w:tc>
          <w:tcPr>
            <w:tcW w:type="dxa" w:w="3450"/>
            <w:tcMar>
              <w:top w:type="dxa" w:w="80"/>
              <w:left w:type="dxa" w:w="100"/>
              <w:bottom w:type="dxa" w:w="80"/>
              <w:right w:type="dxa" w:w="100"/>
            </w:tcMar>
          </w:tcPr>
          <w:p>
            <w:r>
              <w:rPr>
                <w:rFonts w:ascii="Calibri" w:cs="Calibri" w:eastAsia="Calibri" w:hAnsi="Calibri"/>
                <w:b w:val="false"/>
                <w:bCs w:val="false"/>
                <w:i w:val="false"/>
                <w:iCs w:val="false"/>
                <w:color w:val="000000"/>
                <w:sz w:val="18"/>
                <w:szCs w:val="18"/>
              </w:rPr>
              <w:t xml:space="preserve">A way to test improvement ideas before committing resources.</w:t>
            </w:r>
          </w:p>
        </w:tc>
        <w:tc>
          <w:tcPr>
            <w:tcW w:type="dxa" w:w="3500"/>
            <w:tcMar>
              <w:top w:type="dxa" w:w="80"/>
              <w:left w:type="dxa" w:w="100"/>
              <w:bottom w:type="dxa" w:w="80"/>
              <w:right w:type="dxa" w:w="100"/>
            </w:tcMar>
          </w:tcPr>
          <w:p>
            <w:r>
              <w:rPr>
                <w:rFonts w:ascii="Calibri" w:cs="Calibri" w:eastAsia="Calibri" w:hAnsi="Calibri"/>
                <w:b w:val="false"/>
                <w:bCs w:val="false"/>
                <w:i w:val="false"/>
                <w:iCs w:val="false"/>
                <w:color w:val="000000"/>
                <w:sz w:val="18"/>
                <w:szCs w:val="18"/>
              </w:rPr>
              <w:t xml:space="preserve">Multi-scenario simulation with projected OEE and financial benefit.</w:t>
            </w:r>
          </w:p>
        </w:tc>
      </w:tr>
      <w:tr>
        <w:tc>
          <w:tcPr>
            <w:tcW w:type="dxa" w:w="2400"/>
            <w:tcMar>
              <w:top w:type="dxa" w:w="80"/>
              <w:left w:type="dxa" w:w="100"/>
              <w:bottom w:type="dxa" w:w="80"/>
              <w:right w:type="dxa" w:w="100"/>
            </w:tcMar>
          </w:tcPr>
          <w:p>
            <w:r>
              <w:rPr>
                <w:rFonts w:ascii="Calibri" w:cs="Calibri" w:eastAsia="Calibri" w:hAnsi="Calibri"/>
                <w:b/>
                <w:bCs/>
                <w:i w:val="false"/>
                <w:iCs w:val="false"/>
                <w:color w:val="000000"/>
                <w:sz w:val="18"/>
                <w:szCs w:val="18"/>
              </w:rPr>
              <w:t xml:space="preserve">Production Manager</w:t>
            </w:r>
          </w:p>
        </w:tc>
        <w:tc>
          <w:tcPr>
            <w:tcW w:type="dxa" w:w="3450"/>
            <w:tcMar>
              <w:top w:type="dxa" w:w="80"/>
              <w:left w:type="dxa" w:w="100"/>
              <w:bottom w:type="dxa" w:w="80"/>
              <w:right w:type="dxa" w:w="100"/>
            </w:tcMar>
          </w:tcPr>
          <w:p>
            <w:r>
              <w:rPr>
                <w:rFonts w:ascii="Calibri" w:cs="Calibri" w:eastAsia="Calibri" w:hAnsi="Calibri"/>
                <w:b w:val="false"/>
                <w:bCs w:val="false"/>
                <w:i w:val="false"/>
                <w:iCs w:val="false"/>
                <w:color w:val="000000"/>
                <w:sz w:val="18"/>
                <w:szCs w:val="18"/>
              </w:rPr>
              <w:t xml:space="preserve">Line- and machine-level visibility into where losses occur.</w:t>
            </w:r>
          </w:p>
        </w:tc>
        <w:tc>
          <w:tcPr>
            <w:tcW w:type="dxa" w:w="3500"/>
            <w:tcMar>
              <w:top w:type="dxa" w:w="80"/>
              <w:left w:type="dxa" w:w="100"/>
              <w:bottom w:type="dxa" w:w="80"/>
              <w:right w:type="dxa" w:w="100"/>
            </w:tcMar>
          </w:tcPr>
          <w:p>
            <w:r>
              <w:rPr>
                <w:rFonts w:ascii="Calibri" w:cs="Calibri" w:eastAsia="Calibri" w:hAnsi="Calibri"/>
                <w:b w:val="false"/>
                <w:bCs w:val="false"/>
                <w:i w:val="false"/>
                <w:iCs w:val="false"/>
                <w:color w:val="000000"/>
                <w:sz w:val="18"/>
                <w:szCs w:val="18"/>
              </w:rPr>
              <w:t xml:space="preserve">Machine-wise breakdown and line comparison analysis.</w:t>
            </w:r>
          </w:p>
        </w:tc>
      </w:tr>
      <w:tr>
        <w:tc>
          <w:tcPr>
            <w:tcW w:type="dxa" w:w="2400"/>
            <w:tcMar>
              <w:top w:type="dxa" w:w="80"/>
              <w:left w:type="dxa" w:w="100"/>
              <w:bottom w:type="dxa" w:w="80"/>
              <w:right w:type="dxa" w:w="100"/>
            </w:tcMar>
          </w:tcPr>
          <w:p>
            <w:r>
              <w:rPr>
                <w:rFonts w:ascii="Calibri" w:cs="Calibri" w:eastAsia="Calibri" w:hAnsi="Calibri"/>
                <w:b/>
                <w:bCs/>
                <w:i w:val="false"/>
                <w:iCs w:val="false"/>
                <w:color w:val="000000"/>
                <w:sz w:val="18"/>
                <w:szCs w:val="18"/>
              </w:rPr>
              <w:t xml:space="preserve">Continuous Improvement Lead</w:t>
            </w:r>
          </w:p>
        </w:tc>
        <w:tc>
          <w:tcPr>
            <w:tcW w:type="dxa" w:w="3450"/>
            <w:tcMar>
              <w:top w:type="dxa" w:w="80"/>
              <w:left w:type="dxa" w:w="100"/>
              <w:bottom w:type="dxa" w:w="80"/>
              <w:right w:type="dxa" w:w="100"/>
            </w:tcMar>
          </w:tcPr>
          <w:p>
            <w:r>
              <w:rPr>
                <w:rFonts w:ascii="Calibri" w:cs="Calibri" w:eastAsia="Calibri" w:hAnsi="Calibri"/>
                <w:b w:val="false"/>
                <w:bCs w:val="false"/>
                <w:i w:val="false"/>
                <w:iCs w:val="false"/>
                <w:color w:val="000000"/>
                <w:sz w:val="18"/>
                <w:szCs w:val="18"/>
              </w:rPr>
              <w:t xml:space="preserve">Validated root causes and a ranked list of opportunities.</w:t>
            </w:r>
          </w:p>
        </w:tc>
        <w:tc>
          <w:tcPr>
            <w:tcW w:type="dxa" w:w="3500"/>
            <w:tcMar>
              <w:top w:type="dxa" w:w="80"/>
              <w:left w:type="dxa" w:w="100"/>
              <w:bottom w:type="dxa" w:w="80"/>
              <w:right w:type="dxa" w:w="100"/>
            </w:tcMar>
          </w:tcPr>
          <w:p>
            <w:r>
              <w:rPr>
                <w:rFonts w:ascii="Calibri" w:cs="Calibri" w:eastAsia="Calibri" w:hAnsi="Calibri"/>
                <w:b w:val="false"/>
                <w:bCs w:val="false"/>
                <w:i w:val="false"/>
                <w:iCs w:val="false"/>
                <w:color w:val="000000"/>
                <w:sz w:val="18"/>
                <w:szCs w:val="18"/>
              </w:rPr>
              <w:t xml:space="preserve">Evidence-backed recommendation engine with root cause validation.</w:t>
            </w:r>
          </w:p>
        </w:tc>
      </w:tr>
    </w:tbl>
    <w:p>
      <w:pPr>
        <w:spacing w:after="140"/>
      </w:pPr>
    </w:p>
    <w:p>
      <w:pPr>
        <w:pStyle w:val="Heading1"/>
        <w:pBdr>
          <w:bottom w:val="single" w:color="000000" w:sz="6" w:space="4"/>
        </w:pBdr>
        <w:spacing w:after="130" w:before="300"/>
      </w:pPr>
      <w:r>
        <w:rPr>
          <w:rFonts w:ascii="Calibri" w:cs="Calibri" w:eastAsia="Calibri" w:hAnsi="Calibri"/>
          <w:b/>
          <w:bCs/>
          <w:color w:val="000000"/>
          <w:sz w:val="28"/>
          <w:szCs w:val="28"/>
        </w:rPr>
        <w:t xml:space="preserve">5. Scope of Work</w:t>
      </w:r>
    </w:p>
    <w:p>
      <w:pPr>
        <w:pStyle w:val="Heading2"/>
        <w:spacing w:after="90" w:before="200"/>
      </w:pPr>
      <w:r>
        <w:rPr>
          <w:rFonts w:ascii="Calibri" w:cs="Calibri" w:eastAsia="Calibri" w:hAnsi="Calibri"/>
          <w:b/>
          <w:bCs/>
          <w:color w:val="000000"/>
          <w:sz w:val="23"/>
          <w:szCs w:val="23"/>
        </w:rPr>
        <w:t xml:space="preserve">In Scope</w:t>
      </w:r>
    </w:p>
    <w:p>
      <w:pPr>
        <w:spacing w:after="150" w:line="280"/>
        <w:jc w:val="both"/>
      </w:pPr>
      <w:r>
        <w:rPr>
          <w:rFonts w:ascii="Calibri" w:cs="Calibri" w:eastAsia="Calibri" w:hAnsi="Calibri"/>
          <w:color w:val="000000"/>
          <w:sz w:val="21"/>
          <w:szCs w:val="21"/>
        </w:rPr>
        <w:t xml:space="preserve">All seven sub-tasks named in the original brief are treated as in-scope deliverables for this build:</w:t>
      </w:r>
    </w:p>
    <w:p>
      <w:pPr>
        <w:pStyle w:val="ListParagraph"/>
        <w:numPr>
          <w:ilvl w:val="0"/>
          <w:numId w:val="3"/>
        </w:numPr>
        <w:spacing w:after="80"/>
      </w:pPr>
      <w:r>
        <w:rPr>
          <w:rFonts w:ascii="Calibri" w:cs="Calibri" w:eastAsia="Calibri" w:hAnsi="Calibri"/>
          <w:color w:val="000000"/>
          <w:sz w:val="21"/>
          <w:szCs w:val="21"/>
        </w:rPr>
        <w:t xml:space="preserve">OEE breakdown analysis across Availability, Performance, and Quality.</w:t>
      </w:r>
    </w:p>
    <w:p>
      <w:pPr>
        <w:pStyle w:val="ListParagraph"/>
        <w:numPr>
          <w:ilvl w:val="0"/>
          <w:numId w:val="3"/>
        </w:numPr>
        <w:spacing w:after="80"/>
      </w:pPr>
      <w:r>
        <w:rPr>
          <w:rFonts w:ascii="Calibri" w:cs="Calibri" w:eastAsia="Calibri" w:hAnsi="Calibri"/>
          <w:color w:val="000000"/>
          <w:sz w:val="21"/>
          <w:szCs w:val="21"/>
        </w:rPr>
        <w:t xml:space="preserve">Availability loss analysis, including downtime duration and frequency.</w:t>
      </w:r>
    </w:p>
    <w:p>
      <w:pPr>
        <w:pStyle w:val="ListParagraph"/>
        <w:numPr>
          <w:ilvl w:val="0"/>
          <w:numId w:val="3"/>
        </w:numPr>
        <w:spacing w:after="80"/>
      </w:pPr>
      <w:r>
        <w:rPr>
          <w:rFonts w:ascii="Calibri" w:cs="Calibri" w:eastAsia="Calibri" w:hAnsi="Calibri"/>
          <w:color w:val="000000"/>
          <w:sz w:val="21"/>
          <w:szCs w:val="21"/>
        </w:rPr>
        <w:t xml:space="preserve">Performance loss analysis, including speed loss and micro-stops.</w:t>
      </w:r>
    </w:p>
    <w:p>
      <w:pPr>
        <w:pStyle w:val="ListParagraph"/>
        <w:numPr>
          <w:ilvl w:val="0"/>
          <w:numId w:val="3"/>
        </w:numPr>
        <w:spacing w:after="80"/>
      </w:pPr>
      <w:r>
        <w:rPr>
          <w:rFonts w:ascii="Calibri" w:cs="Calibri" w:eastAsia="Calibri" w:hAnsi="Calibri"/>
          <w:color w:val="000000"/>
          <w:sz w:val="21"/>
          <w:szCs w:val="21"/>
        </w:rPr>
        <w:t xml:space="preserve">Quality loss analysis, including scrap, rework, and rejects.</w:t>
      </w:r>
    </w:p>
    <w:p>
      <w:pPr>
        <w:pStyle w:val="ListParagraph"/>
        <w:numPr>
          <w:ilvl w:val="0"/>
          <w:numId w:val="3"/>
        </w:numPr>
        <w:spacing w:after="80"/>
      </w:pPr>
      <w:r>
        <w:rPr>
          <w:rFonts w:ascii="Calibri" w:cs="Calibri" w:eastAsia="Calibri" w:hAnsi="Calibri"/>
          <w:color w:val="000000"/>
          <w:sz w:val="21"/>
          <w:szCs w:val="21"/>
        </w:rPr>
        <w:t xml:space="preserve">Downtime categorization by reason code and planned/unplanned status.</w:t>
      </w:r>
    </w:p>
    <w:p>
      <w:pPr>
        <w:pStyle w:val="ListParagraph"/>
        <w:numPr>
          <w:ilvl w:val="0"/>
          <w:numId w:val="3"/>
        </w:numPr>
        <w:spacing w:after="80"/>
      </w:pPr>
      <w:r>
        <w:rPr>
          <w:rFonts w:ascii="Calibri" w:cs="Calibri" w:eastAsia="Calibri" w:hAnsi="Calibri"/>
          <w:color w:val="000000"/>
          <w:sz w:val="21"/>
          <w:szCs w:val="21"/>
        </w:rPr>
        <w:t xml:space="preserve">Line comparison to benchmark relative performance across production lines.</w:t>
      </w:r>
    </w:p>
    <w:p>
      <w:pPr>
        <w:pStyle w:val="ListParagraph"/>
        <w:numPr>
          <w:ilvl w:val="0"/>
          <w:numId w:val="3"/>
        </w:numPr>
        <w:spacing w:after="80"/>
      </w:pPr>
      <w:r>
        <w:rPr>
          <w:rFonts w:ascii="Calibri" w:cs="Calibri" w:eastAsia="Calibri" w:hAnsi="Calibri"/>
          <w:color w:val="000000"/>
          <w:sz w:val="21"/>
          <w:szCs w:val="21"/>
        </w:rPr>
        <w:t xml:space="preserve">Improvement recommendations, ranked and evidence-backed.</w:t>
      </w:r>
    </w:p>
    <w:p>
      <w:pPr>
        <w:pStyle w:val="Heading2"/>
        <w:spacing w:after="90" w:before="200"/>
      </w:pPr>
      <w:r>
        <w:rPr>
          <w:rFonts w:ascii="Calibri" w:cs="Calibri" w:eastAsia="Calibri" w:hAnsi="Calibri"/>
          <w:b/>
          <w:bCs/>
          <w:color w:val="000000"/>
          <w:sz w:val="23"/>
          <w:szCs w:val="23"/>
        </w:rPr>
        <w:t xml:space="preserve">Out of Scope (this phase)</w:t>
      </w:r>
    </w:p>
    <w:p>
      <w:pPr>
        <w:pStyle w:val="ListParagraph"/>
        <w:numPr>
          <w:ilvl w:val="0"/>
          <w:numId w:val="3"/>
        </w:numPr>
        <w:spacing w:after="80"/>
      </w:pPr>
      <w:r>
        <w:rPr>
          <w:rFonts w:ascii="Calibri" w:cs="Calibri" w:eastAsia="Calibri" w:hAnsi="Calibri"/>
          <w:color w:val="000000"/>
          <w:sz w:val="21"/>
          <w:szCs w:val="21"/>
        </w:rPr>
        <w:t xml:space="preserve">Direct real-time integration with PLCs/SCADA and shop-floor sensors — data will be consumed in validated batch/file form initially.</w:t>
      </w:r>
    </w:p>
    <w:p>
      <w:pPr>
        <w:pStyle w:val="ListParagraph"/>
        <w:numPr>
          <w:ilvl w:val="0"/>
          <w:numId w:val="3"/>
        </w:numPr>
        <w:spacing w:after="80"/>
      </w:pPr>
      <w:r>
        <w:rPr>
          <w:rFonts w:ascii="Calibri" w:cs="Calibri" w:eastAsia="Calibri" w:hAnsi="Calibri"/>
          <w:color w:val="000000"/>
          <w:sz w:val="21"/>
          <w:szCs w:val="21"/>
        </w:rPr>
        <w:t xml:space="preserve">Automated maintenance ticket creation in third-party CMMS systems — designed for, but not activated, in this phase.</w:t>
      </w:r>
    </w:p>
    <w:p>
      <w:pPr>
        <w:pStyle w:val="ListParagraph"/>
        <w:numPr>
          <w:ilvl w:val="0"/>
          <w:numId w:val="3"/>
        </w:numPr>
        <w:spacing w:after="80"/>
      </w:pPr>
      <w:r>
        <w:rPr>
          <w:rFonts w:ascii="Calibri" w:cs="Calibri" w:eastAsia="Calibri" w:hAnsi="Calibri"/>
          <w:color w:val="000000"/>
          <w:sz w:val="21"/>
          <w:szCs w:val="21"/>
        </w:rPr>
        <w:t xml:space="preserve">Cross-plant benchmarking beyond line-to-line comparison within a single plant.</w:t>
      </w:r>
    </w:p>
    <w:p>
      <w:pPr>
        <w:pStyle w:val="Heading1"/>
        <w:pBdr>
          <w:bottom w:val="single" w:color="000000" w:sz="6" w:space="4"/>
        </w:pBdr>
        <w:spacing w:after="130" w:before="300"/>
      </w:pPr>
      <w:r>
        <w:rPr>
          <w:rFonts w:ascii="Calibri" w:cs="Calibri" w:eastAsia="Calibri" w:hAnsi="Calibri"/>
          <w:b/>
          <w:bCs/>
          <w:color w:val="000000"/>
          <w:sz w:val="28"/>
          <w:szCs w:val="28"/>
        </w:rPr>
        <w:t xml:space="preserve">6. Data &amp; Metrics Foundation</w:t>
      </w:r>
    </w:p>
    <w:p>
      <w:pPr>
        <w:spacing w:after="150" w:line="280"/>
        <w:jc w:val="both"/>
      </w:pPr>
      <w:r>
        <w:rPr>
          <w:rFonts w:ascii="Calibri" w:cs="Calibri" w:eastAsia="Calibri" w:hAnsi="Calibri"/>
          <w:color w:val="000000"/>
          <w:sz w:val="21"/>
          <w:szCs w:val="21"/>
        </w:rPr>
        <w:t xml:space="preserve">Before any loss can be categorized or ranked, the platform needs a shared, unambiguous definition of the metrics it calculates. This section sets out the formulas and data inputs that every later section — the methodology, the architecture, and the success-criteria mapping — relies on.</w:t>
      </w:r>
    </w:p>
    <w:p>
      <w:pPr>
        <w:pStyle w:val="Heading2"/>
        <w:spacing w:after="90" w:before="200"/>
      </w:pPr>
      <w:r>
        <w:rPr>
          <w:rFonts w:ascii="Calibri" w:cs="Calibri" w:eastAsia="Calibri" w:hAnsi="Calibri"/>
          <w:b/>
          <w:bCs/>
          <w:color w:val="000000"/>
          <w:sz w:val="23"/>
          <w:szCs w:val="23"/>
        </w:rPr>
        <w:t xml:space="preserve">Core OEE Formula</w:t>
      </w:r>
    </w:p>
    <w:p>
      <w:pPr>
        <w:spacing w:after="150" w:line="280"/>
        <w:jc w:val="both"/>
      </w:pPr>
      <w:r>
        <w:rPr>
          <w:rFonts w:ascii="Calibri" w:cs="Calibri" w:eastAsia="Calibri" w:hAnsi="Calibri"/>
          <w:color w:val="000000"/>
          <w:sz w:val="21"/>
          <w:szCs w:val="21"/>
        </w:rPr>
        <w:t xml:space="preserve">OEE is calculated as Availability multiplied by Performance multiplied by Quality. Each component is derived from a distinct data source, so that a drop in overall OEE can always be traced back to one or more of the three:</w:t>
      </w:r>
    </w:p>
    <w:tbl>
      <w:tblPr>
        <w:tblW w:type="dxa" w:w="9350"/>
        <w:tblBorders>
          <w:top w:val="single" w:color="000000" w:sz="4"/>
          <w:left w:val="single" w:color="000000" w:sz="4"/>
          <w:bottom w:val="single" w:color="000000" w:sz="4"/>
          <w:right w:val="single" w:color="000000" w:sz="4"/>
          <w:insideH w:val="single" w:color="000000" w:sz="4"/>
          <w:insideV w:val="single" w:color="000000" w:sz="4"/>
        </w:tblBorders>
      </w:tblPr>
      <w:tblGrid>
        <w:gridCol w:w="2200"/>
        <w:gridCol w:w="3650"/>
        <w:gridCol w:w="3500"/>
      </w:tblGrid>
      <w:tr>
        <w:trPr>
          <w:tblHeader/>
        </w:trPr>
        <w:tc>
          <w:tcPr>
            <w:tcW w:type="dxa" w:w="2200"/>
            <w:shd w:fill="D9D9D9" w:val="clear"/>
            <w:tcMar>
              <w:top w:type="dxa" w:w="80"/>
              <w:left w:type="dxa" w:w="100"/>
              <w:bottom w:type="dxa" w:w="80"/>
              <w:right w:type="dxa" w:w="100"/>
            </w:tcMar>
          </w:tcPr>
          <w:p>
            <w:r>
              <w:rPr>
                <w:rFonts w:ascii="Calibri" w:cs="Calibri" w:eastAsia="Calibri" w:hAnsi="Calibri"/>
                <w:b/>
                <w:bCs/>
                <w:i w:val="false"/>
                <w:iCs w:val="false"/>
                <w:color w:val="000000"/>
                <w:sz w:val="18"/>
                <w:szCs w:val="18"/>
              </w:rPr>
              <w:t xml:space="preserve">Component</w:t>
            </w:r>
          </w:p>
        </w:tc>
        <w:tc>
          <w:tcPr>
            <w:tcW w:type="dxa" w:w="3650"/>
            <w:shd w:fill="D9D9D9" w:val="clear"/>
            <w:tcMar>
              <w:top w:type="dxa" w:w="80"/>
              <w:left w:type="dxa" w:w="100"/>
              <w:bottom w:type="dxa" w:w="80"/>
              <w:right w:type="dxa" w:w="100"/>
            </w:tcMar>
          </w:tcPr>
          <w:p>
            <w:r>
              <w:rPr>
                <w:rFonts w:ascii="Calibri" w:cs="Calibri" w:eastAsia="Calibri" w:hAnsi="Calibri"/>
                <w:b/>
                <w:bCs/>
                <w:i w:val="false"/>
                <w:iCs w:val="false"/>
                <w:color w:val="000000"/>
                <w:sz w:val="18"/>
                <w:szCs w:val="18"/>
              </w:rPr>
              <w:t xml:space="preserve">Formula</w:t>
            </w:r>
          </w:p>
        </w:tc>
        <w:tc>
          <w:tcPr>
            <w:tcW w:type="dxa" w:w="3500"/>
            <w:shd w:fill="D9D9D9" w:val="clear"/>
            <w:tcMar>
              <w:top w:type="dxa" w:w="80"/>
              <w:left w:type="dxa" w:w="100"/>
              <w:bottom w:type="dxa" w:w="80"/>
              <w:right w:type="dxa" w:w="100"/>
            </w:tcMar>
          </w:tcPr>
          <w:p>
            <w:r>
              <w:rPr>
                <w:rFonts w:ascii="Calibri" w:cs="Calibri" w:eastAsia="Calibri" w:hAnsi="Calibri"/>
                <w:b/>
                <w:bCs/>
                <w:i w:val="false"/>
                <w:iCs w:val="false"/>
                <w:color w:val="000000"/>
                <w:sz w:val="18"/>
                <w:szCs w:val="18"/>
              </w:rPr>
              <w:t xml:space="preserve">Primary Data Source</w:t>
            </w:r>
          </w:p>
        </w:tc>
      </w:tr>
      <w:tr>
        <w:tc>
          <w:tcPr>
            <w:tcW w:type="dxa" w:w="2200"/>
            <w:tcMar>
              <w:top w:type="dxa" w:w="80"/>
              <w:left w:type="dxa" w:w="100"/>
              <w:bottom w:type="dxa" w:w="80"/>
              <w:right w:type="dxa" w:w="100"/>
            </w:tcMar>
          </w:tcPr>
          <w:p>
            <w:r>
              <w:rPr>
                <w:rFonts w:ascii="Calibri" w:cs="Calibri" w:eastAsia="Calibri" w:hAnsi="Calibri"/>
                <w:b/>
                <w:bCs/>
                <w:i w:val="false"/>
                <w:iCs w:val="false"/>
                <w:color w:val="000000"/>
                <w:sz w:val="18"/>
                <w:szCs w:val="18"/>
              </w:rPr>
              <w:t xml:space="preserve">Availability</w:t>
            </w:r>
          </w:p>
        </w:tc>
        <w:tc>
          <w:tcPr>
            <w:tcW w:type="dxa" w:w="3650"/>
            <w:tcMar>
              <w:top w:type="dxa" w:w="80"/>
              <w:left w:type="dxa" w:w="100"/>
              <w:bottom w:type="dxa" w:w="80"/>
              <w:right w:type="dxa" w:w="100"/>
            </w:tcMar>
          </w:tcPr>
          <w:p>
            <w:r>
              <w:rPr>
                <w:rFonts w:ascii="Calibri" w:cs="Calibri" w:eastAsia="Calibri" w:hAnsi="Calibri"/>
                <w:b w:val="false"/>
                <w:bCs w:val="false"/>
                <w:i w:val="false"/>
                <w:iCs w:val="false"/>
                <w:color w:val="000000"/>
                <w:sz w:val="18"/>
                <w:szCs w:val="18"/>
              </w:rPr>
              <w:t xml:space="preserve">Run Time / Planned Production Time</w:t>
            </w:r>
          </w:p>
        </w:tc>
        <w:tc>
          <w:tcPr>
            <w:tcW w:type="dxa" w:w="3500"/>
            <w:tcMar>
              <w:top w:type="dxa" w:w="80"/>
              <w:left w:type="dxa" w:w="100"/>
              <w:bottom w:type="dxa" w:w="80"/>
              <w:right w:type="dxa" w:w="100"/>
            </w:tcMar>
          </w:tcPr>
          <w:p>
            <w:r>
              <w:rPr>
                <w:rFonts w:ascii="Calibri" w:cs="Calibri" w:eastAsia="Calibri" w:hAnsi="Calibri"/>
                <w:b w:val="false"/>
                <w:bCs w:val="false"/>
                <w:i w:val="false"/>
                <w:iCs w:val="false"/>
                <w:color w:val="000000"/>
                <w:sz w:val="18"/>
                <w:szCs w:val="18"/>
              </w:rPr>
              <w:t xml:space="preserve">Machine run/stop logs, downtime reason codes</w:t>
            </w:r>
          </w:p>
        </w:tc>
      </w:tr>
      <w:tr>
        <w:tc>
          <w:tcPr>
            <w:tcW w:type="dxa" w:w="2200"/>
            <w:tcMar>
              <w:top w:type="dxa" w:w="80"/>
              <w:left w:type="dxa" w:w="100"/>
              <w:bottom w:type="dxa" w:w="80"/>
              <w:right w:type="dxa" w:w="100"/>
            </w:tcMar>
          </w:tcPr>
          <w:p>
            <w:r>
              <w:rPr>
                <w:rFonts w:ascii="Calibri" w:cs="Calibri" w:eastAsia="Calibri" w:hAnsi="Calibri"/>
                <w:b/>
                <w:bCs/>
                <w:i w:val="false"/>
                <w:iCs w:val="false"/>
                <w:color w:val="000000"/>
                <w:sz w:val="18"/>
                <w:szCs w:val="18"/>
              </w:rPr>
              <w:t xml:space="preserve">Performance</w:t>
            </w:r>
          </w:p>
        </w:tc>
        <w:tc>
          <w:tcPr>
            <w:tcW w:type="dxa" w:w="3650"/>
            <w:tcMar>
              <w:top w:type="dxa" w:w="80"/>
              <w:left w:type="dxa" w:w="100"/>
              <w:bottom w:type="dxa" w:w="80"/>
              <w:right w:type="dxa" w:w="100"/>
            </w:tcMar>
          </w:tcPr>
          <w:p>
            <w:r>
              <w:rPr>
                <w:rFonts w:ascii="Calibri" w:cs="Calibri" w:eastAsia="Calibri" w:hAnsi="Calibri"/>
                <w:b w:val="false"/>
                <w:bCs w:val="false"/>
                <w:i w:val="false"/>
                <w:iCs w:val="false"/>
                <w:color w:val="000000"/>
                <w:sz w:val="18"/>
                <w:szCs w:val="18"/>
              </w:rPr>
              <w:t xml:space="preserve">(Ideal Cycle Time x Total Count) / Run Time</w:t>
            </w:r>
          </w:p>
        </w:tc>
        <w:tc>
          <w:tcPr>
            <w:tcW w:type="dxa" w:w="3500"/>
            <w:tcMar>
              <w:top w:type="dxa" w:w="80"/>
              <w:left w:type="dxa" w:w="100"/>
              <w:bottom w:type="dxa" w:w="80"/>
              <w:right w:type="dxa" w:w="100"/>
            </w:tcMar>
          </w:tcPr>
          <w:p>
            <w:r>
              <w:rPr>
                <w:rFonts w:ascii="Calibri" w:cs="Calibri" w:eastAsia="Calibri" w:hAnsi="Calibri"/>
                <w:b w:val="false"/>
                <w:bCs w:val="false"/>
                <w:i w:val="false"/>
                <w:iCs w:val="false"/>
                <w:color w:val="000000"/>
                <w:sz w:val="18"/>
                <w:szCs w:val="18"/>
              </w:rPr>
              <w:t xml:space="preserve">Cycle-time standards, actual output counts</w:t>
            </w:r>
          </w:p>
        </w:tc>
      </w:tr>
      <w:tr>
        <w:tc>
          <w:tcPr>
            <w:tcW w:type="dxa" w:w="2200"/>
            <w:tcMar>
              <w:top w:type="dxa" w:w="80"/>
              <w:left w:type="dxa" w:w="100"/>
              <w:bottom w:type="dxa" w:w="80"/>
              <w:right w:type="dxa" w:w="100"/>
            </w:tcMar>
          </w:tcPr>
          <w:p>
            <w:r>
              <w:rPr>
                <w:rFonts w:ascii="Calibri" w:cs="Calibri" w:eastAsia="Calibri" w:hAnsi="Calibri"/>
                <w:b/>
                <w:bCs/>
                <w:i w:val="false"/>
                <w:iCs w:val="false"/>
                <w:color w:val="000000"/>
                <w:sz w:val="18"/>
                <w:szCs w:val="18"/>
              </w:rPr>
              <w:t xml:space="preserve">Quality</w:t>
            </w:r>
          </w:p>
        </w:tc>
        <w:tc>
          <w:tcPr>
            <w:tcW w:type="dxa" w:w="3650"/>
            <w:tcMar>
              <w:top w:type="dxa" w:w="80"/>
              <w:left w:type="dxa" w:w="100"/>
              <w:bottom w:type="dxa" w:w="80"/>
              <w:right w:type="dxa" w:w="100"/>
            </w:tcMar>
          </w:tcPr>
          <w:p>
            <w:r>
              <w:rPr>
                <w:rFonts w:ascii="Calibri" w:cs="Calibri" w:eastAsia="Calibri" w:hAnsi="Calibri"/>
                <w:b w:val="false"/>
                <w:bCs w:val="false"/>
                <w:i w:val="false"/>
                <w:iCs w:val="false"/>
                <w:color w:val="000000"/>
                <w:sz w:val="18"/>
                <w:szCs w:val="18"/>
              </w:rPr>
              <w:t xml:space="preserve">Good Count / Total Count</w:t>
            </w:r>
          </w:p>
        </w:tc>
        <w:tc>
          <w:tcPr>
            <w:tcW w:type="dxa" w:w="3500"/>
            <w:tcMar>
              <w:top w:type="dxa" w:w="80"/>
              <w:left w:type="dxa" w:w="100"/>
              <w:bottom w:type="dxa" w:w="80"/>
              <w:right w:type="dxa" w:w="100"/>
            </w:tcMar>
          </w:tcPr>
          <w:p>
            <w:r>
              <w:rPr>
                <w:rFonts w:ascii="Calibri" w:cs="Calibri" w:eastAsia="Calibri" w:hAnsi="Calibri"/>
                <w:b w:val="false"/>
                <w:bCs w:val="false"/>
                <w:i w:val="false"/>
                <w:iCs w:val="false"/>
                <w:color w:val="000000"/>
                <w:sz w:val="18"/>
                <w:szCs w:val="18"/>
              </w:rPr>
              <w:t xml:space="preserve">Scrap, rework, and reject records</w:t>
            </w:r>
          </w:p>
        </w:tc>
      </w:tr>
    </w:tbl>
    <w:p>
      <w:pPr>
        <w:spacing w:after="140"/>
      </w:pPr>
    </w:p>
    <w:p>
      <w:pPr>
        <w:pStyle w:val="Heading2"/>
        <w:spacing w:after="90" w:before="200"/>
      </w:pPr>
      <w:r>
        <w:rPr>
          <w:rFonts w:ascii="Calibri" w:cs="Calibri" w:eastAsia="Calibri" w:hAnsi="Calibri"/>
          <w:b/>
          <w:bCs/>
          <w:color w:val="000000"/>
          <w:sz w:val="23"/>
          <w:szCs w:val="23"/>
        </w:rPr>
        <w:t xml:space="preserve">Loss Categories Tracked</w:t>
      </w:r>
    </w:p>
    <w:p>
      <w:pPr>
        <w:spacing w:after="150" w:line="280"/>
        <w:jc w:val="both"/>
      </w:pPr>
      <w:r>
        <w:rPr>
          <w:rFonts w:ascii="Calibri" w:cs="Calibri" w:eastAsia="Calibri" w:hAnsi="Calibri"/>
          <w:color w:val="000000"/>
          <w:sz w:val="21"/>
          <w:szCs w:val="21"/>
        </w:rPr>
        <w:t xml:space="preserve">Losses will be tracked against the standard six big losses, grouped under the Availability, Performance, and Quality components above, so that the platform's loss driver ranking stays consistent with recognized manufacturing practice rather than an ad-hoc taxonomy:</w:t>
      </w:r>
    </w:p>
    <w:p>
      <w:pPr>
        <w:pStyle w:val="ListParagraph"/>
        <w:numPr>
          <w:ilvl w:val="0"/>
          <w:numId w:val="3"/>
        </w:numPr>
        <w:spacing w:after="80"/>
      </w:pPr>
      <w:r>
        <w:rPr>
          <w:rFonts w:ascii="Calibri" w:cs="Calibri" w:eastAsia="Calibri" w:hAnsi="Calibri"/>
          <w:color w:val="000000"/>
          <w:sz w:val="21"/>
          <w:szCs w:val="21"/>
        </w:rPr>
        <w:t xml:space="preserve">Availability losses: equipment failure/breakdown, setup and adjustment.</w:t>
      </w:r>
    </w:p>
    <w:p>
      <w:pPr>
        <w:pStyle w:val="ListParagraph"/>
        <w:numPr>
          <w:ilvl w:val="0"/>
          <w:numId w:val="3"/>
        </w:numPr>
        <w:spacing w:after="80"/>
      </w:pPr>
      <w:r>
        <w:rPr>
          <w:rFonts w:ascii="Calibri" w:cs="Calibri" w:eastAsia="Calibri" w:hAnsi="Calibri"/>
          <w:color w:val="000000"/>
          <w:sz w:val="21"/>
          <w:szCs w:val="21"/>
        </w:rPr>
        <w:t xml:space="preserve">Performance losses: idling and minor stops, reduced speed running.</w:t>
      </w:r>
    </w:p>
    <w:p>
      <w:pPr>
        <w:pStyle w:val="ListParagraph"/>
        <w:numPr>
          <w:ilvl w:val="0"/>
          <w:numId w:val="3"/>
        </w:numPr>
        <w:spacing w:after="80"/>
      </w:pPr>
      <w:r>
        <w:rPr>
          <w:rFonts w:ascii="Calibri" w:cs="Calibri" w:eastAsia="Calibri" w:hAnsi="Calibri"/>
          <w:color w:val="000000"/>
          <w:sz w:val="21"/>
          <w:szCs w:val="21"/>
        </w:rPr>
        <w:t xml:space="preserve">Quality losses: process defects and scrap, reduced yield at startup.</w:t>
      </w:r>
    </w:p>
    <w:p>
      <w:pPr>
        <w:pStyle w:val="Heading1"/>
        <w:pBdr>
          <w:bottom w:val="single" w:color="000000" w:sz="6" w:space="4"/>
        </w:pBdr>
        <w:spacing w:after="130" w:before="300"/>
      </w:pPr>
      <w:r>
        <w:rPr>
          <w:rFonts w:ascii="Calibri" w:cs="Calibri" w:eastAsia="Calibri" w:hAnsi="Calibri"/>
          <w:b/>
          <w:bCs/>
          <w:color w:val="000000"/>
          <w:sz w:val="28"/>
          <w:szCs w:val="28"/>
        </w:rPr>
        <w:t xml:space="preserve">7. Sub-Task to Capability Mapping</w:t>
      </w:r>
    </w:p>
    <w:p>
      <w:pPr>
        <w:spacing w:after="150" w:line="280"/>
        <w:jc w:val="both"/>
      </w:pPr>
      <w:r>
        <w:rPr>
          <w:rFonts w:ascii="Calibri" w:cs="Calibri" w:eastAsia="Calibri" w:hAnsi="Calibri"/>
          <w:color w:val="000000"/>
          <w:sz w:val="21"/>
          <w:szCs w:val="21"/>
        </w:rPr>
        <w:t xml:space="preserve">To make sure nothing in the original brief is lost in translation, each named sub-task is mapped below to the specific system capability that will deliver it, and the output that capability produces.</w:t>
      </w:r>
    </w:p>
    <w:tbl>
      <w:tblPr>
        <w:tblW w:type="dxa" w:w="9350"/>
        <w:tblBorders>
          <w:top w:val="single" w:color="000000" w:sz="4"/>
          <w:left w:val="single" w:color="000000" w:sz="4"/>
          <w:bottom w:val="single" w:color="000000" w:sz="4"/>
          <w:right w:val="single" w:color="000000" w:sz="4"/>
          <w:insideH w:val="single" w:color="000000" w:sz="4"/>
          <w:insideV w:val="single" w:color="000000" w:sz="4"/>
        </w:tblBorders>
      </w:tblPr>
      <w:tblGrid>
        <w:gridCol w:w="2450"/>
        <w:gridCol w:w="3450"/>
        <w:gridCol w:w="3450"/>
      </w:tblGrid>
      <w:tr>
        <w:trPr>
          <w:tblHeader/>
        </w:trPr>
        <w:tc>
          <w:tcPr>
            <w:tcW w:type="dxa" w:w="2450"/>
            <w:shd w:fill="D9D9D9" w:val="clear"/>
            <w:tcMar>
              <w:top w:type="dxa" w:w="80"/>
              <w:left w:type="dxa" w:w="100"/>
              <w:bottom w:type="dxa" w:w="80"/>
              <w:right w:type="dxa" w:w="100"/>
            </w:tcMar>
          </w:tcPr>
          <w:p>
            <w:r>
              <w:rPr>
                <w:rFonts w:ascii="Calibri" w:cs="Calibri" w:eastAsia="Calibri" w:hAnsi="Calibri"/>
                <w:b/>
                <w:bCs/>
                <w:i w:val="false"/>
                <w:iCs w:val="false"/>
                <w:color w:val="000000"/>
                <w:sz w:val="18"/>
                <w:szCs w:val="18"/>
              </w:rPr>
              <w:t xml:space="preserve">Original Sub-Task</w:t>
            </w:r>
          </w:p>
        </w:tc>
        <w:tc>
          <w:tcPr>
            <w:tcW w:type="dxa" w:w="3450"/>
            <w:shd w:fill="D9D9D9" w:val="clear"/>
            <w:tcMar>
              <w:top w:type="dxa" w:w="80"/>
              <w:left w:type="dxa" w:w="100"/>
              <w:bottom w:type="dxa" w:w="80"/>
              <w:right w:type="dxa" w:w="100"/>
            </w:tcMar>
          </w:tcPr>
          <w:p>
            <w:r>
              <w:rPr>
                <w:rFonts w:ascii="Calibri" w:cs="Calibri" w:eastAsia="Calibri" w:hAnsi="Calibri"/>
                <w:b/>
                <w:bCs/>
                <w:i w:val="false"/>
                <w:iCs w:val="false"/>
                <w:color w:val="000000"/>
                <w:sz w:val="18"/>
                <w:szCs w:val="18"/>
              </w:rPr>
              <w:t xml:space="preserve">System Capability</w:t>
            </w:r>
          </w:p>
        </w:tc>
        <w:tc>
          <w:tcPr>
            <w:tcW w:type="dxa" w:w="3450"/>
            <w:shd w:fill="D9D9D9" w:val="clear"/>
            <w:tcMar>
              <w:top w:type="dxa" w:w="80"/>
              <w:left w:type="dxa" w:w="100"/>
              <w:bottom w:type="dxa" w:w="80"/>
              <w:right w:type="dxa" w:w="100"/>
            </w:tcMar>
          </w:tcPr>
          <w:p>
            <w:r>
              <w:rPr>
                <w:rFonts w:ascii="Calibri" w:cs="Calibri" w:eastAsia="Calibri" w:hAnsi="Calibri"/>
                <w:b/>
                <w:bCs/>
                <w:i w:val="false"/>
                <w:iCs w:val="false"/>
                <w:color w:val="000000"/>
                <w:sz w:val="18"/>
                <w:szCs w:val="18"/>
              </w:rPr>
              <w:t xml:space="preserve">Output</w:t>
            </w:r>
          </w:p>
        </w:tc>
      </w:tr>
      <w:tr>
        <w:tc>
          <w:tcPr>
            <w:tcW w:type="dxa" w:w="2450"/>
            <w:tcMar>
              <w:top w:type="dxa" w:w="80"/>
              <w:left w:type="dxa" w:w="100"/>
              <w:bottom w:type="dxa" w:w="80"/>
              <w:right w:type="dxa" w:w="100"/>
            </w:tcMar>
          </w:tcPr>
          <w:p>
            <w:r>
              <w:rPr>
                <w:rFonts w:ascii="Calibri" w:cs="Calibri" w:eastAsia="Calibri" w:hAnsi="Calibri"/>
                <w:b/>
                <w:bCs/>
                <w:i w:val="false"/>
                <w:iCs w:val="false"/>
                <w:color w:val="000000"/>
                <w:sz w:val="18"/>
                <w:szCs w:val="18"/>
              </w:rPr>
              <w:t xml:space="preserve">OEE breakdown analysis</w:t>
            </w:r>
          </w:p>
        </w:tc>
        <w:tc>
          <w:tcPr>
            <w:tcW w:type="dxa" w:w="3450"/>
            <w:tcMar>
              <w:top w:type="dxa" w:w="80"/>
              <w:left w:type="dxa" w:w="100"/>
              <w:bottom w:type="dxa" w:w="80"/>
              <w:right w:type="dxa" w:w="100"/>
            </w:tcMar>
          </w:tcPr>
          <w:p>
            <w:r>
              <w:rPr>
                <w:rFonts w:ascii="Calibri" w:cs="Calibri" w:eastAsia="Calibri" w:hAnsi="Calibri"/>
                <w:b w:val="false"/>
                <w:bCs w:val="false"/>
                <w:i w:val="false"/>
                <w:iCs w:val="false"/>
                <w:color w:val="000000"/>
                <w:sz w:val="18"/>
                <w:szCs w:val="18"/>
              </w:rPr>
              <w:t xml:space="preserve">Deterministic OEE engine (Availability x Performance x Quality)</w:t>
            </w:r>
          </w:p>
        </w:tc>
        <w:tc>
          <w:tcPr>
            <w:tcW w:type="dxa" w:w="3450"/>
            <w:tcMar>
              <w:top w:type="dxa" w:w="80"/>
              <w:left w:type="dxa" w:w="100"/>
              <w:bottom w:type="dxa" w:w="80"/>
              <w:right w:type="dxa" w:w="100"/>
            </w:tcMar>
          </w:tcPr>
          <w:p>
            <w:r>
              <w:rPr>
                <w:rFonts w:ascii="Calibri" w:cs="Calibri" w:eastAsia="Calibri" w:hAnsi="Calibri"/>
                <w:b w:val="false"/>
                <w:bCs w:val="false"/>
                <w:i w:val="false"/>
                <w:iCs w:val="false"/>
                <w:color w:val="000000"/>
                <w:sz w:val="18"/>
                <w:szCs w:val="18"/>
              </w:rPr>
              <w:t xml:space="preserve">OEE %, with per-shift and per-line breakdown</w:t>
            </w:r>
          </w:p>
        </w:tc>
      </w:tr>
      <w:tr>
        <w:tc>
          <w:tcPr>
            <w:tcW w:type="dxa" w:w="2450"/>
            <w:tcMar>
              <w:top w:type="dxa" w:w="80"/>
              <w:left w:type="dxa" w:w="100"/>
              <w:bottom w:type="dxa" w:w="80"/>
              <w:right w:type="dxa" w:w="100"/>
            </w:tcMar>
          </w:tcPr>
          <w:p>
            <w:r>
              <w:rPr>
                <w:rFonts w:ascii="Calibri" w:cs="Calibri" w:eastAsia="Calibri" w:hAnsi="Calibri"/>
                <w:b/>
                <w:bCs/>
                <w:i w:val="false"/>
                <w:iCs w:val="false"/>
                <w:color w:val="000000"/>
                <w:sz w:val="18"/>
                <w:szCs w:val="18"/>
              </w:rPr>
              <w:t xml:space="preserve">Availability loss analysis</w:t>
            </w:r>
          </w:p>
        </w:tc>
        <w:tc>
          <w:tcPr>
            <w:tcW w:type="dxa" w:w="3450"/>
            <w:tcMar>
              <w:top w:type="dxa" w:w="80"/>
              <w:left w:type="dxa" w:w="100"/>
              <w:bottom w:type="dxa" w:w="80"/>
              <w:right w:type="dxa" w:w="100"/>
            </w:tcMar>
          </w:tcPr>
          <w:p>
            <w:r>
              <w:rPr>
                <w:rFonts w:ascii="Calibri" w:cs="Calibri" w:eastAsia="Calibri" w:hAnsi="Calibri"/>
                <w:b w:val="false"/>
                <w:bCs w:val="false"/>
                <w:i w:val="false"/>
                <w:iCs w:val="false"/>
                <w:color w:val="000000"/>
                <w:sz w:val="18"/>
                <w:szCs w:val="18"/>
              </w:rPr>
              <w:t xml:space="preserve">Downtime capture and duration analytics</w:t>
            </w:r>
          </w:p>
        </w:tc>
        <w:tc>
          <w:tcPr>
            <w:tcW w:type="dxa" w:w="3450"/>
            <w:tcMar>
              <w:top w:type="dxa" w:w="80"/>
              <w:left w:type="dxa" w:w="100"/>
              <w:bottom w:type="dxa" w:w="80"/>
              <w:right w:type="dxa" w:w="100"/>
            </w:tcMar>
          </w:tcPr>
          <w:p>
            <w:r>
              <w:rPr>
                <w:rFonts w:ascii="Calibri" w:cs="Calibri" w:eastAsia="Calibri" w:hAnsi="Calibri"/>
                <w:b w:val="false"/>
                <w:bCs w:val="false"/>
                <w:i w:val="false"/>
                <w:iCs w:val="false"/>
                <w:color w:val="000000"/>
                <w:sz w:val="18"/>
                <w:szCs w:val="18"/>
              </w:rPr>
              <w:t xml:space="preserve">Ranked availability losses with duration and cost</w:t>
            </w:r>
          </w:p>
        </w:tc>
      </w:tr>
      <w:tr>
        <w:tc>
          <w:tcPr>
            <w:tcW w:type="dxa" w:w="2450"/>
            <w:tcMar>
              <w:top w:type="dxa" w:w="80"/>
              <w:left w:type="dxa" w:w="100"/>
              <w:bottom w:type="dxa" w:w="80"/>
              <w:right w:type="dxa" w:w="100"/>
            </w:tcMar>
          </w:tcPr>
          <w:p>
            <w:r>
              <w:rPr>
                <w:rFonts w:ascii="Calibri" w:cs="Calibri" w:eastAsia="Calibri" w:hAnsi="Calibri"/>
                <w:b/>
                <w:bCs/>
                <w:i w:val="false"/>
                <w:iCs w:val="false"/>
                <w:color w:val="000000"/>
                <w:sz w:val="18"/>
                <w:szCs w:val="18"/>
              </w:rPr>
              <w:t xml:space="preserve">Performance loss analysis</w:t>
            </w:r>
          </w:p>
        </w:tc>
        <w:tc>
          <w:tcPr>
            <w:tcW w:type="dxa" w:w="3450"/>
            <w:tcMar>
              <w:top w:type="dxa" w:w="80"/>
              <w:left w:type="dxa" w:w="100"/>
              <w:bottom w:type="dxa" w:w="80"/>
              <w:right w:type="dxa" w:w="100"/>
            </w:tcMar>
          </w:tcPr>
          <w:p>
            <w:r>
              <w:rPr>
                <w:rFonts w:ascii="Calibri" w:cs="Calibri" w:eastAsia="Calibri" w:hAnsi="Calibri"/>
                <w:b w:val="false"/>
                <w:bCs w:val="false"/>
                <w:i w:val="false"/>
                <w:iCs w:val="false"/>
                <w:color w:val="000000"/>
                <w:sz w:val="18"/>
                <w:szCs w:val="18"/>
              </w:rPr>
              <w:t xml:space="preserve">Cycle-time and speed-loss analytics</w:t>
            </w:r>
          </w:p>
        </w:tc>
        <w:tc>
          <w:tcPr>
            <w:tcW w:type="dxa" w:w="3450"/>
            <w:tcMar>
              <w:top w:type="dxa" w:w="80"/>
              <w:left w:type="dxa" w:w="100"/>
              <w:bottom w:type="dxa" w:w="80"/>
              <w:right w:type="dxa" w:w="100"/>
            </w:tcMar>
          </w:tcPr>
          <w:p>
            <w:r>
              <w:rPr>
                <w:rFonts w:ascii="Calibri" w:cs="Calibri" w:eastAsia="Calibri" w:hAnsi="Calibri"/>
                <w:b w:val="false"/>
                <w:bCs w:val="false"/>
                <w:i w:val="false"/>
                <w:iCs w:val="false"/>
                <w:color w:val="000000"/>
                <w:sz w:val="18"/>
                <w:szCs w:val="18"/>
              </w:rPr>
              <w:t xml:space="preserve">Ranked performance losses with throughput impact</w:t>
            </w:r>
          </w:p>
        </w:tc>
      </w:tr>
      <w:tr>
        <w:tc>
          <w:tcPr>
            <w:tcW w:type="dxa" w:w="2450"/>
            <w:tcMar>
              <w:top w:type="dxa" w:w="80"/>
              <w:left w:type="dxa" w:w="100"/>
              <w:bottom w:type="dxa" w:w="80"/>
              <w:right w:type="dxa" w:w="100"/>
            </w:tcMar>
          </w:tcPr>
          <w:p>
            <w:r>
              <w:rPr>
                <w:rFonts w:ascii="Calibri" w:cs="Calibri" w:eastAsia="Calibri" w:hAnsi="Calibri"/>
                <w:b/>
                <w:bCs/>
                <w:i w:val="false"/>
                <w:iCs w:val="false"/>
                <w:color w:val="000000"/>
                <w:sz w:val="18"/>
                <w:szCs w:val="18"/>
              </w:rPr>
              <w:t xml:space="preserve">Quality loss analysis</w:t>
            </w:r>
          </w:p>
        </w:tc>
        <w:tc>
          <w:tcPr>
            <w:tcW w:type="dxa" w:w="3450"/>
            <w:tcMar>
              <w:top w:type="dxa" w:w="80"/>
              <w:left w:type="dxa" w:w="100"/>
              <w:bottom w:type="dxa" w:w="80"/>
              <w:right w:type="dxa" w:w="100"/>
            </w:tcMar>
          </w:tcPr>
          <w:p>
            <w:r>
              <w:rPr>
                <w:rFonts w:ascii="Calibri" w:cs="Calibri" w:eastAsia="Calibri" w:hAnsi="Calibri"/>
                <w:b w:val="false"/>
                <w:bCs w:val="false"/>
                <w:i w:val="false"/>
                <w:iCs w:val="false"/>
                <w:color w:val="000000"/>
                <w:sz w:val="18"/>
                <w:szCs w:val="18"/>
              </w:rPr>
              <w:t xml:space="preserve">Scrap and rework analytics</w:t>
            </w:r>
          </w:p>
        </w:tc>
        <w:tc>
          <w:tcPr>
            <w:tcW w:type="dxa" w:w="3450"/>
            <w:tcMar>
              <w:top w:type="dxa" w:w="80"/>
              <w:left w:type="dxa" w:w="100"/>
              <w:bottom w:type="dxa" w:w="80"/>
              <w:right w:type="dxa" w:w="100"/>
            </w:tcMar>
          </w:tcPr>
          <w:p>
            <w:r>
              <w:rPr>
                <w:rFonts w:ascii="Calibri" w:cs="Calibri" w:eastAsia="Calibri" w:hAnsi="Calibri"/>
                <w:b w:val="false"/>
                <w:bCs w:val="false"/>
                <w:i w:val="false"/>
                <w:iCs w:val="false"/>
                <w:color w:val="000000"/>
                <w:sz w:val="18"/>
                <w:szCs w:val="18"/>
              </w:rPr>
              <w:t xml:space="preserve">Ranked quality losses with scrap cost</w:t>
            </w:r>
          </w:p>
        </w:tc>
      </w:tr>
      <w:tr>
        <w:tc>
          <w:tcPr>
            <w:tcW w:type="dxa" w:w="2450"/>
            <w:tcMar>
              <w:top w:type="dxa" w:w="80"/>
              <w:left w:type="dxa" w:w="100"/>
              <w:bottom w:type="dxa" w:w="80"/>
              <w:right w:type="dxa" w:w="100"/>
            </w:tcMar>
          </w:tcPr>
          <w:p>
            <w:r>
              <w:rPr>
                <w:rFonts w:ascii="Calibri" w:cs="Calibri" w:eastAsia="Calibri" w:hAnsi="Calibri"/>
                <w:b/>
                <w:bCs/>
                <w:i w:val="false"/>
                <w:iCs w:val="false"/>
                <w:color w:val="000000"/>
                <w:sz w:val="18"/>
                <w:szCs w:val="18"/>
              </w:rPr>
              <w:t xml:space="preserve">Downtime categorization</w:t>
            </w:r>
          </w:p>
        </w:tc>
        <w:tc>
          <w:tcPr>
            <w:tcW w:type="dxa" w:w="3450"/>
            <w:tcMar>
              <w:top w:type="dxa" w:w="80"/>
              <w:left w:type="dxa" w:w="100"/>
              <w:bottom w:type="dxa" w:w="80"/>
              <w:right w:type="dxa" w:w="100"/>
            </w:tcMar>
          </w:tcPr>
          <w:p>
            <w:r>
              <w:rPr>
                <w:rFonts w:ascii="Calibri" w:cs="Calibri" w:eastAsia="Calibri" w:hAnsi="Calibri"/>
                <w:b w:val="false"/>
                <w:bCs w:val="false"/>
                <w:i w:val="false"/>
                <w:iCs w:val="false"/>
                <w:color w:val="000000"/>
                <w:sz w:val="18"/>
                <w:szCs w:val="18"/>
              </w:rPr>
              <w:t xml:space="preserve">Error-code classification engine</w:t>
            </w:r>
          </w:p>
        </w:tc>
        <w:tc>
          <w:tcPr>
            <w:tcW w:type="dxa" w:w="3450"/>
            <w:tcMar>
              <w:top w:type="dxa" w:w="80"/>
              <w:left w:type="dxa" w:w="100"/>
              <w:bottom w:type="dxa" w:w="80"/>
              <w:right w:type="dxa" w:w="100"/>
            </w:tcMar>
          </w:tcPr>
          <w:p>
            <w:r>
              <w:rPr>
                <w:rFonts w:ascii="Calibri" w:cs="Calibri" w:eastAsia="Calibri" w:hAnsi="Calibri"/>
                <w:b w:val="false"/>
                <w:bCs w:val="false"/>
                <w:i w:val="false"/>
                <w:iCs w:val="false"/>
                <w:color w:val="000000"/>
                <w:sz w:val="18"/>
                <w:szCs w:val="18"/>
              </w:rPr>
              <w:t xml:space="preserve">Downtime reasons grouped by code and planned/unplanned status</w:t>
            </w:r>
          </w:p>
        </w:tc>
      </w:tr>
      <w:tr>
        <w:tc>
          <w:tcPr>
            <w:tcW w:type="dxa" w:w="2450"/>
            <w:tcMar>
              <w:top w:type="dxa" w:w="80"/>
              <w:left w:type="dxa" w:w="100"/>
              <w:bottom w:type="dxa" w:w="80"/>
              <w:right w:type="dxa" w:w="100"/>
            </w:tcMar>
          </w:tcPr>
          <w:p>
            <w:r>
              <w:rPr>
                <w:rFonts w:ascii="Calibri" w:cs="Calibri" w:eastAsia="Calibri" w:hAnsi="Calibri"/>
                <w:b/>
                <w:bCs/>
                <w:i w:val="false"/>
                <w:iCs w:val="false"/>
                <w:color w:val="000000"/>
                <w:sz w:val="18"/>
                <w:szCs w:val="18"/>
              </w:rPr>
              <w:t xml:space="preserve">Line comparison</w:t>
            </w:r>
          </w:p>
        </w:tc>
        <w:tc>
          <w:tcPr>
            <w:tcW w:type="dxa" w:w="3450"/>
            <w:tcMar>
              <w:top w:type="dxa" w:w="80"/>
              <w:left w:type="dxa" w:w="100"/>
              <w:bottom w:type="dxa" w:w="80"/>
              <w:right w:type="dxa" w:w="100"/>
            </w:tcMar>
          </w:tcPr>
          <w:p>
            <w:r>
              <w:rPr>
                <w:rFonts w:ascii="Calibri" w:cs="Calibri" w:eastAsia="Calibri" w:hAnsi="Calibri"/>
                <w:b w:val="false"/>
                <w:bCs w:val="false"/>
                <w:i w:val="false"/>
                <w:iCs w:val="false"/>
                <w:color w:val="000000"/>
                <w:sz w:val="18"/>
                <w:szCs w:val="18"/>
              </w:rPr>
              <w:t xml:space="preserve">Cross-line benchmarking module</w:t>
            </w:r>
          </w:p>
        </w:tc>
        <w:tc>
          <w:tcPr>
            <w:tcW w:type="dxa" w:w="3450"/>
            <w:tcMar>
              <w:top w:type="dxa" w:w="80"/>
              <w:left w:type="dxa" w:w="100"/>
              <w:bottom w:type="dxa" w:w="80"/>
              <w:right w:type="dxa" w:w="100"/>
            </w:tcMar>
          </w:tcPr>
          <w:p>
            <w:r>
              <w:rPr>
                <w:rFonts w:ascii="Calibri" w:cs="Calibri" w:eastAsia="Calibri" w:hAnsi="Calibri"/>
                <w:b w:val="false"/>
                <w:bCs w:val="false"/>
                <w:i w:val="false"/>
                <w:iCs w:val="false"/>
                <w:color w:val="000000"/>
                <w:sz w:val="18"/>
                <w:szCs w:val="18"/>
              </w:rPr>
              <w:t xml:space="preserve">Comparative OEE and loss ranking across lines</w:t>
            </w:r>
          </w:p>
        </w:tc>
      </w:tr>
      <w:tr>
        <w:tc>
          <w:tcPr>
            <w:tcW w:type="dxa" w:w="2450"/>
            <w:tcMar>
              <w:top w:type="dxa" w:w="80"/>
              <w:left w:type="dxa" w:w="100"/>
              <w:bottom w:type="dxa" w:w="80"/>
              <w:right w:type="dxa" w:w="100"/>
            </w:tcMar>
          </w:tcPr>
          <w:p>
            <w:r>
              <w:rPr>
                <w:rFonts w:ascii="Calibri" w:cs="Calibri" w:eastAsia="Calibri" w:hAnsi="Calibri"/>
                <w:b/>
                <w:bCs/>
                <w:i w:val="false"/>
                <w:iCs w:val="false"/>
                <w:color w:val="000000"/>
                <w:sz w:val="18"/>
                <w:szCs w:val="18"/>
              </w:rPr>
              <w:t xml:space="preserve">Improvement recommendations</w:t>
            </w:r>
          </w:p>
        </w:tc>
        <w:tc>
          <w:tcPr>
            <w:tcW w:type="dxa" w:w="3450"/>
            <w:tcMar>
              <w:top w:type="dxa" w:w="80"/>
              <w:left w:type="dxa" w:w="100"/>
              <w:bottom w:type="dxa" w:w="80"/>
              <w:right w:type="dxa" w:w="100"/>
            </w:tcMar>
          </w:tcPr>
          <w:p>
            <w:r>
              <w:rPr>
                <w:rFonts w:ascii="Calibri" w:cs="Calibri" w:eastAsia="Calibri" w:hAnsi="Calibri"/>
                <w:b w:val="false"/>
                <w:bCs w:val="false"/>
                <w:i w:val="false"/>
                <w:iCs w:val="false"/>
                <w:color w:val="000000"/>
                <w:sz w:val="18"/>
                <w:szCs w:val="18"/>
              </w:rPr>
              <w:t xml:space="preserve">AI-assisted decision support layer</w:t>
            </w:r>
          </w:p>
        </w:tc>
        <w:tc>
          <w:tcPr>
            <w:tcW w:type="dxa" w:w="3450"/>
            <w:tcMar>
              <w:top w:type="dxa" w:w="80"/>
              <w:left w:type="dxa" w:w="100"/>
              <w:bottom w:type="dxa" w:w="80"/>
              <w:right w:type="dxa" w:w="100"/>
            </w:tcMar>
          </w:tcPr>
          <w:p>
            <w:r>
              <w:rPr>
                <w:rFonts w:ascii="Calibri" w:cs="Calibri" w:eastAsia="Calibri" w:hAnsi="Calibri"/>
                <w:b w:val="false"/>
                <w:bCs w:val="false"/>
                <w:i w:val="false"/>
                <w:iCs w:val="false"/>
                <w:color w:val="000000"/>
                <w:sz w:val="18"/>
                <w:szCs w:val="18"/>
              </w:rPr>
              <w:t xml:space="preserve">Ranked, evidence-backed recommendations</w:t>
            </w:r>
          </w:p>
        </w:tc>
      </w:tr>
    </w:tbl>
    <w:p>
      <w:pPr>
        <w:spacing w:after="140"/>
      </w:pPr>
    </w:p>
    <w:p>
      <w:pPr>
        <w:pStyle w:val="Heading1"/>
        <w:pBdr>
          <w:bottom w:val="single" w:color="000000" w:sz="6" w:space="4"/>
        </w:pBdr>
        <w:spacing w:after="130" w:before="300"/>
      </w:pPr>
      <w:r>
        <w:rPr>
          <w:rFonts w:ascii="Calibri" w:cs="Calibri" w:eastAsia="Calibri" w:hAnsi="Calibri"/>
          <w:b/>
          <w:bCs/>
          <w:color w:val="000000"/>
          <w:sz w:val="28"/>
          <w:szCs w:val="28"/>
        </w:rPr>
        <w:t xml:space="preserve">8. Proposed Approach &amp; Methodology</w:t>
      </w:r>
    </w:p>
    <w:p>
      <w:pPr>
        <w:spacing w:after="150" w:line="280"/>
        <w:jc w:val="both"/>
      </w:pPr>
      <w:r>
        <w:rPr>
          <w:rFonts w:ascii="Calibri" w:cs="Calibri" w:eastAsia="Calibri" w:hAnsi="Calibri"/>
          <w:color w:val="000000"/>
          <w:sz w:val="21"/>
          <w:szCs w:val="21"/>
        </w:rPr>
        <w:t xml:space="preserve">The build will follow a layered methodology, with each layer validated independently before the next is added. This keeps the deterministic analytics core auditable and separates it clearly from the AI-assisted layer built on top of it.</w:t>
      </w:r>
    </w:p>
    <w:p>
      <w:pPr>
        <w:pStyle w:val="Heading2"/>
        <w:spacing w:after="90" w:before="200"/>
      </w:pPr>
      <w:r>
        <w:rPr>
          <w:rFonts w:ascii="Calibri" w:cs="Calibri" w:eastAsia="Calibri" w:hAnsi="Calibri"/>
          <w:b/>
          <w:bCs/>
          <w:color w:val="000000"/>
          <w:sz w:val="23"/>
          <w:szCs w:val="23"/>
        </w:rPr>
        <w:t xml:space="preserve">8.1 Data Validation &amp; Standardization</w:t>
      </w:r>
    </w:p>
    <w:p>
      <w:pPr>
        <w:spacing w:after="150" w:line="280"/>
        <w:jc w:val="both"/>
      </w:pPr>
      <w:r>
        <w:rPr>
          <w:rFonts w:ascii="Calibri" w:cs="Calibri" w:eastAsia="Calibri" w:hAnsi="Calibri"/>
          <w:color w:val="000000"/>
          <w:sz w:val="21"/>
          <w:szCs w:val="21"/>
        </w:rPr>
        <w:t xml:space="preserve">Raw production data (machine run/stop logs, downtime codes, scrap and quality records) will be validated for completeness and consistency before any calculation is performed, so that all downstream analytics are traceable back to trustworthy source data.</w:t>
      </w:r>
    </w:p>
    <w:p>
      <w:pPr>
        <w:pStyle w:val="Heading2"/>
        <w:spacing w:after="90" w:before="200"/>
      </w:pPr>
      <w:r>
        <w:rPr>
          <w:rFonts w:ascii="Calibri" w:cs="Calibri" w:eastAsia="Calibri" w:hAnsi="Calibri"/>
          <w:b/>
          <w:bCs/>
          <w:color w:val="000000"/>
          <w:sz w:val="23"/>
          <w:szCs w:val="23"/>
        </w:rPr>
        <w:t xml:space="preserve">8.2 Deterministic OEE &amp; Loss Analytics Engine</w:t>
      </w:r>
    </w:p>
    <w:p>
      <w:pPr>
        <w:spacing w:after="150" w:line="280"/>
        <w:jc w:val="both"/>
      </w:pPr>
      <w:r>
        <w:rPr>
          <w:rFonts w:ascii="Calibri" w:cs="Calibri" w:eastAsia="Calibri" w:hAnsi="Calibri"/>
          <w:color w:val="000000"/>
          <w:sz w:val="21"/>
          <w:szCs w:val="21"/>
        </w:rPr>
        <w:t xml:space="preserve">Availability, Performance, and Quality will be calculated using standard OEE formulas against validated data. This directly delivers the OEE breakdown analysis, and the Availability, Performance, and Quality loss analyses named in the original brief.</w:t>
      </w:r>
    </w:p>
    <w:p>
      <w:pPr>
        <w:pStyle w:val="Heading2"/>
        <w:spacing w:after="90" w:before="200"/>
      </w:pPr>
      <w:r>
        <w:rPr>
          <w:rFonts w:ascii="Calibri" w:cs="Calibri" w:eastAsia="Calibri" w:hAnsi="Calibri"/>
          <w:b/>
          <w:bCs/>
          <w:color w:val="000000"/>
          <w:sz w:val="23"/>
          <w:szCs w:val="23"/>
        </w:rPr>
        <w:t xml:space="preserve">8.3 Downtime Categorization</w:t>
      </w:r>
    </w:p>
    <w:p>
      <w:pPr>
        <w:spacing w:after="150" w:line="280"/>
        <w:jc w:val="both"/>
      </w:pPr>
      <w:r>
        <w:rPr>
          <w:rFonts w:ascii="Calibri" w:cs="Calibri" w:eastAsia="Calibri" w:hAnsi="Calibri"/>
          <w:color w:val="000000"/>
          <w:sz w:val="21"/>
          <w:szCs w:val="21"/>
        </w:rPr>
        <w:t xml:space="preserve">Every downtime event will be classified by reason code and by planned/unplanned status, so losses are grouped meaningfully rather than left as an undifferentiated total — directly satisfying the downtime categorization sub-task and the success criterion that OEE losses be categorized correctly.</w:t>
      </w:r>
    </w:p>
    <w:p>
      <w:pPr>
        <w:pStyle w:val="Heading2"/>
        <w:spacing w:after="90" w:before="200"/>
      </w:pPr>
      <w:r>
        <w:rPr>
          <w:rFonts w:ascii="Calibri" w:cs="Calibri" w:eastAsia="Calibri" w:hAnsi="Calibri"/>
          <w:b/>
          <w:bCs/>
          <w:color w:val="000000"/>
          <w:sz w:val="23"/>
          <w:szCs w:val="23"/>
        </w:rPr>
        <w:t xml:space="preserve">8.4 Line Comparison &amp; Benchmarking</w:t>
      </w:r>
    </w:p>
    <w:p>
      <w:pPr>
        <w:spacing w:after="150" w:line="280"/>
        <w:jc w:val="both"/>
      </w:pPr>
      <w:r>
        <w:rPr>
          <w:rFonts w:ascii="Calibri" w:cs="Calibri" w:eastAsia="Calibri" w:hAnsi="Calibri"/>
          <w:color w:val="000000"/>
          <w:sz w:val="21"/>
          <w:szCs w:val="21"/>
        </w:rPr>
        <w:t xml:space="preserve">Lines will be benchmarked against each other on OEE and loss profile, normalized for product mix and run time where needed, so that relative — not just absolute — performance degradation is visible to Production Managers.</w:t>
      </w:r>
    </w:p>
    <w:p>
      <w:pPr>
        <w:pStyle w:val="Heading2"/>
        <w:spacing w:after="90" w:before="200"/>
      </w:pPr>
      <w:r>
        <w:rPr>
          <w:rFonts w:ascii="Calibri" w:cs="Calibri" w:eastAsia="Calibri" w:hAnsi="Calibri"/>
          <w:b/>
          <w:bCs/>
          <w:color w:val="000000"/>
          <w:sz w:val="23"/>
          <w:szCs w:val="23"/>
        </w:rPr>
        <w:t xml:space="preserve">8.5 Business Impact Quantification</w:t>
      </w:r>
    </w:p>
    <w:p>
      <w:pPr>
        <w:spacing w:after="150" w:line="280"/>
        <w:jc w:val="both"/>
      </w:pPr>
      <w:r>
        <w:rPr>
          <w:rFonts w:ascii="Calibri" w:cs="Calibri" w:eastAsia="Calibri" w:hAnsi="Calibri"/>
          <w:color w:val="000000"/>
          <w:sz w:val="21"/>
          <w:szCs w:val="21"/>
        </w:rPr>
        <w:t xml:space="preserve">Each identified loss driver will be translated into business terms — estimated downtime cost, scrap cost, production loss, and throughput loss — and given a priority score, so financial impact is quantified rather than left as raw percentages.</w:t>
      </w:r>
    </w:p>
    <w:p>
      <w:pPr>
        <w:pStyle w:val="Heading2"/>
        <w:spacing w:after="90" w:before="200"/>
      </w:pPr>
      <w:r>
        <w:rPr>
          <w:rFonts w:ascii="Calibri" w:cs="Calibri" w:eastAsia="Calibri" w:hAnsi="Calibri"/>
          <w:b/>
          <w:bCs/>
          <w:color w:val="000000"/>
          <w:sz w:val="23"/>
          <w:szCs w:val="23"/>
        </w:rPr>
        <w:t xml:space="preserve">8.6 AI-Assisted Improvement Recommendations</w:t>
      </w:r>
    </w:p>
    <w:p>
      <w:pPr>
        <w:spacing w:after="150" w:line="280"/>
        <w:jc w:val="both"/>
      </w:pPr>
      <w:r>
        <w:rPr>
          <w:rFonts w:ascii="Calibri" w:cs="Calibri" w:eastAsia="Calibri" w:hAnsi="Calibri"/>
          <w:color w:val="000000"/>
          <w:sz w:val="21"/>
          <w:szCs w:val="21"/>
        </w:rPr>
        <w:t xml:space="preserve">An AI analysis layer will sit on top of the deterministic engine, using calculated losses and priority scores — not free-form model guessing — as grounding, so recommendations remain evidence-backed, explainable, and directly tied to the top performance-degradation drivers identified.</w:t>
      </w:r>
    </w:p>
    <w:p>
      <w:pPr>
        <w:pStyle w:val="Heading2"/>
        <w:spacing w:after="90" w:before="200"/>
      </w:pPr>
      <w:r>
        <w:rPr>
          <w:rFonts w:ascii="Calibri" w:cs="Calibri" w:eastAsia="Calibri" w:hAnsi="Calibri"/>
          <w:b/>
          <w:bCs/>
          <w:color w:val="000000"/>
          <w:sz w:val="23"/>
          <w:szCs w:val="23"/>
        </w:rPr>
        <w:t xml:space="preserve">8.7 Scenario Simulation Engine</w:t>
      </w:r>
    </w:p>
    <w:p>
      <w:pPr>
        <w:spacing w:after="150" w:line="280"/>
        <w:jc w:val="both"/>
      </w:pPr>
      <w:r>
        <w:rPr>
          <w:rFonts w:ascii="Calibri" w:cs="Calibri" w:eastAsia="Calibri" w:hAnsi="Calibri"/>
          <w:color w:val="000000"/>
          <w:sz w:val="21"/>
          <w:szCs w:val="21"/>
        </w:rPr>
        <w:t xml:space="preserve">A simulation layer will let users model what-if scenarios — for example, a 5% Availability improvement — by redistributing the required downtime reduction across major loss contributors, then recalculating projected OEE, production gain, and financial benefit. The engine will be built to run at least three concurrent improvement scenarios side by side, meeting the corresponding success criterion directly.</w:t>
      </w:r>
    </w:p>
    <w:p>
      <w:pPr>
        <w:pStyle w:val="Heading2"/>
        <w:spacing w:after="90" w:before="200"/>
      </w:pPr>
      <w:r>
        <w:rPr>
          <w:rFonts w:ascii="Calibri" w:cs="Calibri" w:eastAsia="Calibri" w:hAnsi="Calibri"/>
          <w:b/>
          <w:bCs/>
          <w:color w:val="000000"/>
          <w:sz w:val="23"/>
          <w:szCs w:val="23"/>
        </w:rPr>
        <w:t xml:space="preserve">8.8 Management-Ready Summary &amp; Decision Briefs</w:t>
      </w:r>
    </w:p>
    <w:p>
      <w:pPr>
        <w:spacing w:after="150" w:line="280"/>
        <w:jc w:val="both"/>
      </w:pPr>
      <w:r>
        <w:rPr>
          <w:rFonts w:ascii="Calibri" w:cs="Calibri" w:eastAsia="Calibri" w:hAnsi="Calibri"/>
          <w:color w:val="000000"/>
          <w:sz w:val="21"/>
          <w:szCs w:val="21"/>
        </w:rPr>
        <w:t xml:space="preserve">Outputs will be packaged into a management-ready summary and role-specific decision briefs — a Plant Manager receives a prioritized executive brief, a Production Manager receives line- and machine-level detail, and a Continuous Improvement Lead receives simulation-ready scenarios — all generated from the same underlying analytics.</w:t>
      </w:r>
    </w:p>
    <w:p>
      <w:pPr>
        <w:pStyle w:val="Heading1"/>
        <w:pBdr>
          <w:bottom w:val="single" w:color="000000" w:sz="6" w:space="4"/>
        </w:pBdr>
        <w:spacing w:after="130" w:before="300"/>
      </w:pPr>
      <w:r>
        <w:rPr>
          <w:rFonts w:ascii="Calibri" w:cs="Calibri" w:eastAsia="Calibri" w:hAnsi="Calibri"/>
          <w:b/>
          <w:bCs/>
          <w:color w:val="000000"/>
          <w:sz w:val="28"/>
          <w:szCs w:val="28"/>
        </w:rPr>
        <w:t xml:space="preserve">9. Solution Architecture Overview</w:t>
      </w:r>
    </w:p>
    <w:p>
      <w:pPr>
        <w:spacing w:after="150" w:line="280"/>
        <w:jc w:val="both"/>
      </w:pPr>
      <w:r>
        <w:rPr>
          <w:rFonts w:ascii="Calibri" w:cs="Calibri" w:eastAsia="Calibri" w:hAnsi="Calibri"/>
          <w:color w:val="000000"/>
          <w:sz w:val="21"/>
          <w:szCs w:val="21"/>
        </w:rPr>
        <w:t xml:space="preserve">At a high level, the platform will be structured in four layers, each with a distinct responsibility. This layering keeps the deterministic calculations separate from — and verifiable independently of — the AI-generated explanations built on top of them.</w:t>
      </w:r>
    </w:p>
    <w:tbl>
      <w:tblPr>
        <w:tblW w:type="dxa" w:w="9350"/>
        <w:tblBorders>
          <w:top w:val="single" w:color="000000" w:sz="4"/>
          <w:left w:val="single" w:color="000000" w:sz="4"/>
          <w:bottom w:val="single" w:color="000000" w:sz="4"/>
          <w:right w:val="single" w:color="000000" w:sz="4"/>
          <w:insideH w:val="single" w:color="000000" w:sz="4"/>
          <w:insideV w:val="single" w:color="000000" w:sz="4"/>
        </w:tblBorders>
      </w:tblPr>
      <w:tblGrid>
        <w:gridCol w:w="2400"/>
        <w:gridCol w:w="6950"/>
      </w:tblGrid>
      <w:tr>
        <w:trPr>
          <w:tblHeader/>
        </w:trPr>
        <w:tc>
          <w:tcPr>
            <w:tcW w:type="dxa" w:w="2400"/>
            <w:shd w:fill="D9D9D9" w:val="clear"/>
            <w:tcMar>
              <w:top w:type="dxa" w:w="80"/>
              <w:left w:type="dxa" w:w="100"/>
              <w:bottom w:type="dxa" w:w="80"/>
              <w:right w:type="dxa" w:w="100"/>
            </w:tcMar>
          </w:tcPr>
          <w:p>
            <w:r>
              <w:rPr>
                <w:rFonts w:ascii="Calibri" w:cs="Calibri" w:eastAsia="Calibri" w:hAnsi="Calibri"/>
                <w:b/>
                <w:bCs/>
                <w:i w:val="false"/>
                <w:iCs w:val="false"/>
                <w:color w:val="000000"/>
                <w:sz w:val="18"/>
                <w:szCs w:val="18"/>
              </w:rPr>
              <w:t xml:space="preserve">Layer</w:t>
            </w:r>
          </w:p>
        </w:tc>
        <w:tc>
          <w:tcPr>
            <w:tcW w:type="dxa" w:w="6950"/>
            <w:shd w:fill="D9D9D9" w:val="clear"/>
            <w:tcMar>
              <w:top w:type="dxa" w:w="80"/>
              <w:left w:type="dxa" w:w="100"/>
              <w:bottom w:type="dxa" w:w="80"/>
              <w:right w:type="dxa" w:w="100"/>
            </w:tcMar>
          </w:tcPr>
          <w:p>
            <w:r>
              <w:rPr>
                <w:rFonts w:ascii="Calibri" w:cs="Calibri" w:eastAsia="Calibri" w:hAnsi="Calibri"/>
                <w:b/>
                <w:bCs/>
                <w:i w:val="false"/>
                <w:iCs w:val="false"/>
                <w:color w:val="000000"/>
                <w:sz w:val="18"/>
                <w:szCs w:val="18"/>
              </w:rPr>
              <w:t xml:space="preserve">Responsibility</w:t>
            </w:r>
          </w:p>
        </w:tc>
      </w:tr>
      <w:tr>
        <w:tc>
          <w:tcPr>
            <w:tcW w:type="dxa" w:w="2400"/>
            <w:tcMar>
              <w:top w:type="dxa" w:w="80"/>
              <w:left w:type="dxa" w:w="100"/>
              <w:bottom w:type="dxa" w:w="80"/>
              <w:right w:type="dxa" w:w="100"/>
            </w:tcMar>
          </w:tcPr>
          <w:p>
            <w:r>
              <w:rPr>
                <w:rFonts w:ascii="Calibri" w:cs="Calibri" w:eastAsia="Calibri" w:hAnsi="Calibri"/>
                <w:b/>
                <w:bCs/>
                <w:i w:val="false"/>
                <w:iCs w:val="false"/>
                <w:color w:val="000000"/>
                <w:sz w:val="18"/>
                <w:szCs w:val="18"/>
              </w:rPr>
              <w:t xml:space="preserve">Data Layer</w:t>
            </w:r>
          </w:p>
        </w:tc>
        <w:tc>
          <w:tcPr>
            <w:tcW w:type="dxa" w:w="6950"/>
            <w:tcMar>
              <w:top w:type="dxa" w:w="80"/>
              <w:left w:type="dxa" w:w="100"/>
              <w:bottom w:type="dxa" w:w="80"/>
              <w:right w:type="dxa" w:w="100"/>
            </w:tcMar>
          </w:tcPr>
          <w:p>
            <w:r>
              <w:rPr>
                <w:rFonts w:ascii="Calibri" w:cs="Calibri" w:eastAsia="Calibri" w:hAnsi="Calibri"/>
                <w:b w:val="false"/>
                <w:bCs w:val="false"/>
                <w:i w:val="false"/>
                <w:iCs w:val="false"/>
                <w:color w:val="000000"/>
                <w:sz w:val="18"/>
                <w:szCs w:val="18"/>
              </w:rPr>
              <w:t xml:space="preserve">Ingests and validates raw manufacturing data (production logs, downtime codes, scrap/quality records) and standardizes it for analysis.</w:t>
            </w:r>
          </w:p>
        </w:tc>
      </w:tr>
      <w:tr>
        <w:tc>
          <w:tcPr>
            <w:tcW w:type="dxa" w:w="2400"/>
            <w:tcMar>
              <w:top w:type="dxa" w:w="80"/>
              <w:left w:type="dxa" w:w="100"/>
              <w:bottom w:type="dxa" w:w="80"/>
              <w:right w:type="dxa" w:w="100"/>
            </w:tcMar>
          </w:tcPr>
          <w:p>
            <w:r>
              <w:rPr>
                <w:rFonts w:ascii="Calibri" w:cs="Calibri" w:eastAsia="Calibri" w:hAnsi="Calibri"/>
                <w:b/>
                <w:bCs/>
                <w:i w:val="false"/>
                <w:iCs w:val="false"/>
                <w:color w:val="000000"/>
                <w:sz w:val="18"/>
                <w:szCs w:val="18"/>
              </w:rPr>
              <w:t xml:space="preserve">Analytics Layer</w:t>
            </w:r>
          </w:p>
        </w:tc>
        <w:tc>
          <w:tcPr>
            <w:tcW w:type="dxa" w:w="6950"/>
            <w:tcMar>
              <w:top w:type="dxa" w:w="80"/>
              <w:left w:type="dxa" w:w="100"/>
              <w:bottom w:type="dxa" w:w="80"/>
              <w:right w:type="dxa" w:w="100"/>
            </w:tcMar>
          </w:tcPr>
          <w:p>
            <w:r>
              <w:rPr>
                <w:rFonts w:ascii="Calibri" w:cs="Calibri" w:eastAsia="Calibri" w:hAnsi="Calibri"/>
                <w:b w:val="false"/>
                <w:bCs w:val="false"/>
                <w:i w:val="false"/>
                <w:iCs w:val="false"/>
                <w:color w:val="000000"/>
                <w:sz w:val="18"/>
                <w:szCs w:val="18"/>
              </w:rPr>
              <w:t xml:space="preserve">Performs deterministic OEE calculation, downtime categorization, line comparison, and business impact quantification.</w:t>
            </w:r>
          </w:p>
        </w:tc>
      </w:tr>
      <w:tr>
        <w:tc>
          <w:tcPr>
            <w:tcW w:type="dxa" w:w="2400"/>
            <w:tcMar>
              <w:top w:type="dxa" w:w="80"/>
              <w:left w:type="dxa" w:w="100"/>
              <w:bottom w:type="dxa" w:w="80"/>
              <w:right w:type="dxa" w:w="100"/>
            </w:tcMar>
          </w:tcPr>
          <w:p>
            <w:r>
              <w:rPr>
                <w:rFonts w:ascii="Calibri" w:cs="Calibri" w:eastAsia="Calibri" w:hAnsi="Calibri"/>
                <w:b/>
                <w:bCs/>
                <w:i w:val="false"/>
                <w:iCs w:val="false"/>
                <w:color w:val="000000"/>
                <w:sz w:val="18"/>
                <w:szCs w:val="18"/>
              </w:rPr>
              <w:t xml:space="preserve">AI Decision Layer</w:t>
            </w:r>
          </w:p>
        </w:tc>
        <w:tc>
          <w:tcPr>
            <w:tcW w:type="dxa" w:w="6950"/>
            <w:tcMar>
              <w:top w:type="dxa" w:w="80"/>
              <w:left w:type="dxa" w:w="100"/>
              <w:bottom w:type="dxa" w:w="80"/>
              <w:right w:type="dxa" w:w="100"/>
            </w:tcMar>
          </w:tcPr>
          <w:p>
            <w:r>
              <w:rPr>
                <w:rFonts w:ascii="Calibri" w:cs="Calibri" w:eastAsia="Calibri" w:hAnsi="Calibri"/>
                <w:b w:val="false"/>
                <w:bCs w:val="false"/>
                <w:i w:val="false"/>
                <w:iCs w:val="false"/>
                <w:color w:val="000000"/>
                <w:sz w:val="18"/>
                <w:szCs w:val="18"/>
              </w:rPr>
              <w:t xml:space="preserve">Generates evidence-backed recommendations and runs scenario simulations, grounded in Analytics Layer outputs.</w:t>
            </w:r>
          </w:p>
        </w:tc>
      </w:tr>
      <w:tr>
        <w:tc>
          <w:tcPr>
            <w:tcW w:type="dxa" w:w="2400"/>
            <w:tcMar>
              <w:top w:type="dxa" w:w="80"/>
              <w:left w:type="dxa" w:w="100"/>
              <w:bottom w:type="dxa" w:w="80"/>
              <w:right w:type="dxa" w:w="100"/>
            </w:tcMar>
          </w:tcPr>
          <w:p>
            <w:r>
              <w:rPr>
                <w:rFonts w:ascii="Calibri" w:cs="Calibri" w:eastAsia="Calibri" w:hAnsi="Calibri"/>
                <w:b/>
                <w:bCs/>
                <w:i w:val="false"/>
                <w:iCs w:val="false"/>
                <w:color w:val="000000"/>
                <w:sz w:val="18"/>
                <w:szCs w:val="18"/>
              </w:rPr>
              <w:t xml:space="preserve">Presentation Layer</w:t>
            </w:r>
          </w:p>
        </w:tc>
        <w:tc>
          <w:tcPr>
            <w:tcW w:type="dxa" w:w="6950"/>
            <w:tcMar>
              <w:top w:type="dxa" w:w="80"/>
              <w:left w:type="dxa" w:w="100"/>
              <w:bottom w:type="dxa" w:w="80"/>
              <w:right w:type="dxa" w:w="100"/>
            </w:tcMar>
          </w:tcPr>
          <w:p>
            <w:r>
              <w:rPr>
                <w:rFonts w:ascii="Calibri" w:cs="Calibri" w:eastAsia="Calibri" w:hAnsi="Calibri"/>
                <w:b w:val="false"/>
                <w:bCs w:val="false"/>
                <w:i w:val="false"/>
                <w:iCs w:val="false"/>
                <w:color w:val="000000"/>
                <w:sz w:val="18"/>
                <w:szCs w:val="18"/>
              </w:rPr>
              <w:t xml:space="preserve">Delivers the management-ready summary, role-based decision briefs, and the scenario simulation interface to end users.</w:t>
            </w:r>
          </w:p>
        </w:tc>
      </w:tr>
    </w:tbl>
    <w:p>
      <w:pPr>
        <w:spacing w:after="140"/>
      </w:pPr>
    </w:p>
    <w:p>
      <w:pPr>
        <w:pStyle w:val="Heading1"/>
        <w:pBdr>
          <w:bottom w:val="single" w:color="000000" w:sz="6" w:space="4"/>
        </w:pBdr>
        <w:spacing w:after="130" w:before="300"/>
      </w:pPr>
      <w:r>
        <w:rPr>
          <w:rFonts w:ascii="Calibri" w:cs="Calibri" w:eastAsia="Calibri" w:hAnsi="Calibri"/>
          <w:b/>
          <w:bCs/>
          <w:color w:val="000000"/>
          <w:sz w:val="28"/>
          <w:szCs w:val="28"/>
        </w:rPr>
        <w:t xml:space="preserve">10. Success Criteria Mapping</w:t>
      </w:r>
    </w:p>
    <w:p>
      <w:pPr>
        <w:spacing w:after="150" w:line="280"/>
        <w:jc w:val="both"/>
      </w:pPr>
      <w:r>
        <w:rPr>
          <w:rFonts w:ascii="Calibri" w:cs="Calibri" w:eastAsia="Calibri" w:hAnsi="Calibri"/>
          <w:color w:val="000000"/>
          <w:sz w:val="21"/>
          <w:szCs w:val="21"/>
        </w:rPr>
        <w:t xml:space="preserve">Each success criterion named in the original brief is addressed explicitly by a specific part of this approach, as shown below.</w:t>
      </w:r>
    </w:p>
    <w:tbl>
      <w:tblPr>
        <w:tblW w:type="dxa" w:w="9350"/>
        <w:tblBorders>
          <w:top w:val="single" w:color="000000" w:sz="4"/>
          <w:left w:val="single" w:color="000000" w:sz="4"/>
          <w:bottom w:val="single" w:color="000000" w:sz="4"/>
          <w:right w:val="single" w:color="000000" w:sz="4"/>
          <w:insideH w:val="single" w:color="000000" w:sz="4"/>
          <w:insideV w:val="single" w:color="000000" w:sz="4"/>
        </w:tblBorders>
      </w:tblPr>
      <w:tblGrid>
        <w:gridCol w:w="3400"/>
        <w:gridCol w:w="5950"/>
      </w:tblGrid>
      <w:tr>
        <w:trPr>
          <w:tblHeader/>
        </w:trPr>
        <w:tc>
          <w:tcPr>
            <w:tcW w:type="dxa" w:w="3400"/>
            <w:shd w:fill="D9D9D9" w:val="clear"/>
            <w:tcMar>
              <w:top w:type="dxa" w:w="80"/>
              <w:left w:type="dxa" w:w="100"/>
              <w:bottom w:type="dxa" w:w="80"/>
              <w:right w:type="dxa" w:w="100"/>
            </w:tcMar>
          </w:tcPr>
          <w:p>
            <w:r>
              <w:rPr>
                <w:rFonts w:ascii="Calibri" w:cs="Calibri" w:eastAsia="Calibri" w:hAnsi="Calibri"/>
                <w:b/>
                <w:bCs/>
                <w:i w:val="false"/>
                <w:iCs w:val="false"/>
                <w:color w:val="000000"/>
                <w:sz w:val="18"/>
                <w:szCs w:val="18"/>
              </w:rPr>
              <w:t xml:space="preserve">Original Success Criterion</w:t>
            </w:r>
          </w:p>
        </w:tc>
        <w:tc>
          <w:tcPr>
            <w:tcW w:type="dxa" w:w="5950"/>
            <w:shd w:fill="D9D9D9" w:val="clear"/>
            <w:tcMar>
              <w:top w:type="dxa" w:w="80"/>
              <w:left w:type="dxa" w:w="100"/>
              <w:bottom w:type="dxa" w:w="80"/>
              <w:right w:type="dxa" w:w="100"/>
            </w:tcMar>
          </w:tcPr>
          <w:p>
            <w:r>
              <w:rPr>
                <w:rFonts w:ascii="Calibri" w:cs="Calibri" w:eastAsia="Calibri" w:hAnsi="Calibri"/>
                <w:b/>
                <w:bCs/>
                <w:i w:val="false"/>
                <w:iCs w:val="false"/>
                <w:color w:val="000000"/>
                <w:sz w:val="18"/>
                <w:szCs w:val="18"/>
              </w:rPr>
              <w:t xml:space="preserve">How This Approach Delivers It</w:t>
            </w:r>
          </w:p>
        </w:tc>
      </w:tr>
      <w:tr>
        <w:tc>
          <w:tcPr>
            <w:tcW w:type="dxa" w:w="3400"/>
            <w:tcMar>
              <w:top w:type="dxa" w:w="80"/>
              <w:left w:type="dxa" w:w="100"/>
              <w:bottom w:type="dxa" w:w="80"/>
              <w:right w:type="dxa" w:w="100"/>
            </w:tcMar>
          </w:tcPr>
          <w:p>
            <w:r>
              <w:rPr>
                <w:rFonts w:ascii="Calibri" w:cs="Calibri" w:eastAsia="Calibri" w:hAnsi="Calibri"/>
                <w:b/>
                <w:bCs/>
                <w:i w:val="false"/>
                <w:iCs w:val="false"/>
                <w:color w:val="000000"/>
                <w:sz w:val="18"/>
                <w:szCs w:val="18"/>
              </w:rPr>
              <w:t xml:space="preserve">OEE losses categorized correctly</w:t>
            </w:r>
          </w:p>
        </w:tc>
        <w:tc>
          <w:tcPr>
            <w:tcW w:type="dxa" w:w="5950"/>
            <w:tcMar>
              <w:top w:type="dxa" w:w="80"/>
              <w:left w:type="dxa" w:w="100"/>
              <w:bottom w:type="dxa" w:w="80"/>
              <w:right w:type="dxa" w:w="100"/>
            </w:tcMar>
          </w:tcPr>
          <w:p>
            <w:r>
              <w:rPr>
                <w:rFonts w:ascii="Calibri" w:cs="Calibri" w:eastAsia="Calibri" w:hAnsi="Calibri"/>
                <w:b w:val="false"/>
                <w:bCs w:val="false"/>
                <w:i w:val="false"/>
                <w:iCs w:val="false"/>
                <w:color w:val="000000"/>
                <w:sz w:val="18"/>
                <w:szCs w:val="18"/>
              </w:rPr>
              <w:t xml:space="preserve">Deterministic engine plus downtime categorization module, cross-checked against validated source data.</w:t>
            </w:r>
          </w:p>
        </w:tc>
      </w:tr>
      <w:tr>
        <w:tc>
          <w:tcPr>
            <w:tcW w:type="dxa" w:w="3400"/>
            <w:tcMar>
              <w:top w:type="dxa" w:w="80"/>
              <w:left w:type="dxa" w:w="100"/>
              <w:bottom w:type="dxa" w:w="80"/>
              <w:right w:type="dxa" w:w="100"/>
            </w:tcMar>
          </w:tcPr>
          <w:p>
            <w:r>
              <w:rPr>
                <w:rFonts w:ascii="Calibri" w:cs="Calibri" w:eastAsia="Calibri" w:hAnsi="Calibri"/>
                <w:b/>
                <w:bCs/>
                <w:i w:val="false"/>
                <w:iCs w:val="false"/>
                <w:color w:val="000000"/>
                <w:sz w:val="18"/>
                <w:szCs w:val="18"/>
              </w:rPr>
              <w:t xml:space="preserve">Top performance degradation drivers identified</w:t>
            </w:r>
          </w:p>
        </w:tc>
        <w:tc>
          <w:tcPr>
            <w:tcW w:type="dxa" w:w="5950"/>
            <w:tcMar>
              <w:top w:type="dxa" w:w="80"/>
              <w:left w:type="dxa" w:w="100"/>
              <w:bottom w:type="dxa" w:w="80"/>
              <w:right w:type="dxa" w:w="100"/>
            </w:tcMar>
          </w:tcPr>
          <w:p>
            <w:r>
              <w:rPr>
                <w:rFonts w:ascii="Calibri" w:cs="Calibri" w:eastAsia="Calibri" w:hAnsi="Calibri"/>
                <w:b w:val="false"/>
                <w:bCs w:val="false"/>
                <w:i w:val="false"/>
                <w:iCs w:val="false"/>
                <w:color w:val="000000"/>
                <w:sz w:val="18"/>
                <w:szCs w:val="18"/>
              </w:rPr>
              <w:t xml:space="preserve">Loss driver ranking scores every contributor by impact so the top drivers surface automatically.</w:t>
            </w:r>
          </w:p>
        </w:tc>
      </w:tr>
      <w:tr>
        <w:tc>
          <w:tcPr>
            <w:tcW w:type="dxa" w:w="3400"/>
            <w:tcMar>
              <w:top w:type="dxa" w:w="80"/>
              <w:left w:type="dxa" w:w="100"/>
              <w:bottom w:type="dxa" w:w="80"/>
              <w:right w:type="dxa" w:w="100"/>
            </w:tcMar>
          </w:tcPr>
          <w:p>
            <w:r>
              <w:rPr>
                <w:rFonts w:ascii="Calibri" w:cs="Calibri" w:eastAsia="Calibri" w:hAnsi="Calibri"/>
                <w:b/>
                <w:bCs/>
                <w:i w:val="false"/>
                <w:iCs w:val="false"/>
                <w:color w:val="000000"/>
                <w:sz w:val="18"/>
                <w:szCs w:val="18"/>
              </w:rPr>
              <w:t xml:space="preserve">Business impact quantified</w:t>
            </w:r>
          </w:p>
        </w:tc>
        <w:tc>
          <w:tcPr>
            <w:tcW w:type="dxa" w:w="5950"/>
            <w:tcMar>
              <w:top w:type="dxa" w:w="80"/>
              <w:left w:type="dxa" w:w="100"/>
              <w:bottom w:type="dxa" w:w="80"/>
              <w:right w:type="dxa" w:w="100"/>
            </w:tcMar>
          </w:tcPr>
          <w:p>
            <w:r>
              <w:rPr>
                <w:rFonts w:ascii="Calibri" w:cs="Calibri" w:eastAsia="Calibri" w:hAnsi="Calibri"/>
                <w:b w:val="false"/>
                <w:bCs w:val="false"/>
                <w:i w:val="false"/>
                <w:iCs w:val="false"/>
                <w:color w:val="000000"/>
                <w:sz w:val="18"/>
                <w:szCs w:val="18"/>
              </w:rPr>
              <w:t xml:space="preserve">Business Impact Quantification layer converts every loss into downtime cost, scrap cost, and throughput loss.</w:t>
            </w:r>
          </w:p>
        </w:tc>
      </w:tr>
      <w:tr>
        <w:tc>
          <w:tcPr>
            <w:tcW w:type="dxa" w:w="3400"/>
            <w:tcMar>
              <w:top w:type="dxa" w:w="80"/>
              <w:left w:type="dxa" w:w="100"/>
              <w:bottom w:type="dxa" w:w="80"/>
              <w:right w:type="dxa" w:w="100"/>
            </w:tcMar>
          </w:tcPr>
          <w:p>
            <w:r>
              <w:rPr>
                <w:rFonts w:ascii="Calibri" w:cs="Calibri" w:eastAsia="Calibri" w:hAnsi="Calibri"/>
                <w:b/>
                <w:bCs/>
                <w:i w:val="false"/>
                <w:iCs w:val="false"/>
                <w:color w:val="000000"/>
                <w:sz w:val="18"/>
                <w:szCs w:val="18"/>
              </w:rPr>
              <w:t xml:space="preserve">Improvement opportunities recommended</w:t>
            </w:r>
          </w:p>
        </w:tc>
        <w:tc>
          <w:tcPr>
            <w:tcW w:type="dxa" w:w="5950"/>
            <w:tcMar>
              <w:top w:type="dxa" w:w="80"/>
              <w:left w:type="dxa" w:w="100"/>
              <w:bottom w:type="dxa" w:w="80"/>
              <w:right w:type="dxa" w:w="100"/>
            </w:tcMar>
          </w:tcPr>
          <w:p>
            <w:r>
              <w:rPr>
                <w:rFonts w:ascii="Calibri" w:cs="Calibri" w:eastAsia="Calibri" w:hAnsi="Calibri"/>
                <w:b w:val="false"/>
                <w:bCs w:val="false"/>
                <w:i w:val="false"/>
                <w:iCs w:val="false"/>
                <w:color w:val="000000"/>
                <w:sz w:val="18"/>
                <w:szCs w:val="18"/>
              </w:rPr>
              <w:t xml:space="preserve">AI-assisted recommendation engine ranks opportunities by priority score with supporting evidence.</w:t>
            </w:r>
          </w:p>
        </w:tc>
      </w:tr>
      <w:tr>
        <w:tc>
          <w:tcPr>
            <w:tcW w:type="dxa" w:w="3400"/>
            <w:tcMar>
              <w:top w:type="dxa" w:w="80"/>
              <w:left w:type="dxa" w:w="100"/>
              <w:bottom w:type="dxa" w:w="80"/>
              <w:right w:type="dxa" w:w="100"/>
            </w:tcMar>
          </w:tcPr>
          <w:p>
            <w:r>
              <w:rPr>
                <w:rFonts w:ascii="Calibri" w:cs="Calibri" w:eastAsia="Calibri" w:hAnsi="Calibri"/>
                <w:b/>
                <w:bCs/>
                <w:i w:val="false"/>
                <w:iCs w:val="false"/>
                <w:color w:val="000000"/>
                <w:sz w:val="18"/>
                <w:szCs w:val="18"/>
              </w:rPr>
              <w:t xml:space="preserve">Management-ready summary generated</w:t>
            </w:r>
          </w:p>
        </w:tc>
        <w:tc>
          <w:tcPr>
            <w:tcW w:type="dxa" w:w="5950"/>
            <w:tcMar>
              <w:top w:type="dxa" w:w="80"/>
              <w:left w:type="dxa" w:w="100"/>
              <w:bottom w:type="dxa" w:w="80"/>
              <w:right w:type="dxa" w:w="100"/>
            </w:tcMar>
          </w:tcPr>
          <w:p>
            <w:r>
              <w:rPr>
                <w:rFonts w:ascii="Calibri" w:cs="Calibri" w:eastAsia="Calibri" w:hAnsi="Calibri"/>
                <w:b w:val="false"/>
                <w:bCs w:val="false"/>
                <w:i w:val="false"/>
                <w:iCs w:val="false"/>
                <w:color w:val="000000"/>
                <w:sz w:val="18"/>
                <w:szCs w:val="18"/>
              </w:rPr>
              <w:t xml:space="preserve">Presentation layer packages findings into a role-specific, presentation-ready executive summary.</w:t>
            </w:r>
          </w:p>
        </w:tc>
      </w:tr>
      <w:tr>
        <w:tc>
          <w:tcPr>
            <w:tcW w:type="dxa" w:w="3400"/>
            <w:tcMar>
              <w:top w:type="dxa" w:w="80"/>
              <w:left w:type="dxa" w:w="100"/>
              <w:bottom w:type="dxa" w:w="80"/>
              <w:right w:type="dxa" w:w="100"/>
            </w:tcMar>
          </w:tcPr>
          <w:p>
            <w:r>
              <w:rPr>
                <w:rFonts w:ascii="Calibri" w:cs="Calibri" w:eastAsia="Calibri" w:hAnsi="Calibri"/>
                <w:b/>
                <w:bCs/>
                <w:i w:val="false"/>
                <w:iCs w:val="false"/>
                <w:color w:val="000000"/>
                <w:sz w:val="18"/>
                <w:szCs w:val="18"/>
              </w:rPr>
              <w:t xml:space="preserve">Supports minimum 3 OEE improvement scenarios</w:t>
            </w:r>
          </w:p>
        </w:tc>
        <w:tc>
          <w:tcPr>
            <w:tcW w:type="dxa" w:w="5950"/>
            <w:tcMar>
              <w:top w:type="dxa" w:w="80"/>
              <w:left w:type="dxa" w:w="100"/>
              <w:bottom w:type="dxa" w:w="80"/>
              <w:right w:type="dxa" w:w="100"/>
            </w:tcMar>
          </w:tcPr>
          <w:p>
            <w:r>
              <w:rPr>
                <w:rFonts w:ascii="Calibri" w:cs="Calibri" w:eastAsia="Calibri" w:hAnsi="Calibri"/>
                <w:b w:val="false"/>
                <w:bCs w:val="false"/>
                <w:i w:val="false"/>
                <w:iCs w:val="false"/>
                <w:color w:val="000000"/>
                <w:sz w:val="18"/>
                <w:szCs w:val="18"/>
              </w:rPr>
              <w:t xml:space="preserve">Scenario simulation engine runs Availability, Performance, Quality, and Compare-All scenarios concurrently.</w:t>
            </w:r>
          </w:p>
        </w:tc>
      </w:tr>
    </w:tbl>
    <w:p>
      <w:pPr>
        <w:spacing w:after="140"/>
      </w:pPr>
    </w:p>
    <w:p>
      <w:pPr>
        <w:pStyle w:val="Heading1"/>
        <w:pBdr>
          <w:bottom w:val="single" w:color="000000" w:sz="6" w:space="4"/>
        </w:pBdr>
        <w:spacing w:after="130" w:before="300"/>
      </w:pPr>
      <w:r>
        <w:rPr>
          <w:rFonts w:ascii="Calibri" w:cs="Calibri" w:eastAsia="Calibri" w:hAnsi="Calibri"/>
          <w:b/>
          <w:bCs/>
          <w:color w:val="000000"/>
          <w:sz w:val="28"/>
          <w:szCs w:val="28"/>
        </w:rPr>
        <w:t xml:space="preserve">11. Implementation Roadmap</w:t>
      </w:r>
    </w:p>
    <w:p>
      <w:pPr>
        <w:spacing w:after="150" w:line="280"/>
        <w:jc w:val="both"/>
      </w:pPr>
      <w:r>
        <w:rPr>
          <w:rFonts w:ascii="Calibri" w:cs="Calibri" w:eastAsia="Calibri" w:hAnsi="Calibri"/>
          <w:color w:val="000000"/>
          <w:sz w:val="21"/>
          <w:szCs w:val="21"/>
        </w:rPr>
        <w:t xml:space="preserve">Implementation is proposed in six sequential phases, each building on the validated output of the previous phase:</w:t>
      </w:r>
    </w:p>
    <w:tbl>
      <w:tblPr>
        <w:tblW w:type="dxa" w:w="9350"/>
        <w:tblBorders>
          <w:top w:val="single" w:color="000000" w:sz="4"/>
          <w:left w:val="single" w:color="000000" w:sz="4"/>
          <w:bottom w:val="single" w:color="000000" w:sz="4"/>
          <w:right w:val="single" w:color="000000" w:sz="4"/>
          <w:insideH w:val="single" w:color="000000" w:sz="4"/>
          <w:insideV w:val="single" w:color="000000" w:sz="4"/>
        </w:tblBorders>
      </w:tblPr>
      <w:tblGrid>
        <w:gridCol w:w="1050"/>
        <w:gridCol w:w="1750"/>
        <w:gridCol w:w="3850"/>
        <w:gridCol w:w="2700"/>
      </w:tblGrid>
      <w:tr>
        <w:trPr>
          <w:tblHeader/>
        </w:trPr>
        <w:tc>
          <w:tcPr>
            <w:tcW w:type="dxa" w:w="1050"/>
            <w:shd w:fill="D9D9D9" w:val="clear"/>
            <w:tcMar>
              <w:top w:type="dxa" w:w="80"/>
              <w:left w:type="dxa" w:w="100"/>
              <w:bottom w:type="dxa" w:w="80"/>
              <w:right w:type="dxa" w:w="100"/>
            </w:tcMar>
          </w:tcPr>
          <w:p>
            <w:r>
              <w:rPr>
                <w:rFonts w:ascii="Calibri" w:cs="Calibri" w:eastAsia="Calibri" w:hAnsi="Calibri"/>
                <w:b/>
                <w:bCs/>
                <w:i w:val="false"/>
                <w:iCs w:val="false"/>
                <w:color w:val="000000"/>
                <w:sz w:val="18"/>
                <w:szCs w:val="18"/>
              </w:rPr>
              <w:t xml:space="preserve">Phase</w:t>
            </w:r>
          </w:p>
        </w:tc>
        <w:tc>
          <w:tcPr>
            <w:tcW w:type="dxa" w:w="1750"/>
            <w:shd w:fill="D9D9D9" w:val="clear"/>
            <w:tcMar>
              <w:top w:type="dxa" w:w="80"/>
              <w:left w:type="dxa" w:w="100"/>
              <w:bottom w:type="dxa" w:w="80"/>
              <w:right w:type="dxa" w:w="100"/>
            </w:tcMar>
          </w:tcPr>
          <w:p>
            <w:r>
              <w:rPr>
                <w:rFonts w:ascii="Calibri" w:cs="Calibri" w:eastAsia="Calibri" w:hAnsi="Calibri"/>
                <w:b/>
                <w:bCs/>
                <w:i w:val="false"/>
                <w:iCs w:val="false"/>
                <w:color w:val="000000"/>
                <w:sz w:val="18"/>
                <w:szCs w:val="18"/>
              </w:rPr>
              <w:t xml:space="preserve">Focus Area</w:t>
            </w:r>
          </w:p>
        </w:tc>
        <w:tc>
          <w:tcPr>
            <w:tcW w:type="dxa" w:w="3850"/>
            <w:shd w:fill="D9D9D9" w:val="clear"/>
            <w:tcMar>
              <w:top w:type="dxa" w:w="80"/>
              <w:left w:type="dxa" w:w="100"/>
              <w:bottom w:type="dxa" w:w="80"/>
              <w:right w:type="dxa" w:w="100"/>
            </w:tcMar>
          </w:tcPr>
          <w:p>
            <w:r>
              <w:rPr>
                <w:rFonts w:ascii="Calibri" w:cs="Calibri" w:eastAsia="Calibri" w:hAnsi="Calibri"/>
                <w:b/>
                <w:bCs/>
                <w:i w:val="false"/>
                <w:iCs w:val="false"/>
                <w:color w:val="000000"/>
                <w:sz w:val="18"/>
                <w:szCs w:val="18"/>
              </w:rPr>
              <w:t xml:space="preserve">Key Activities</w:t>
            </w:r>
          </w:p>
        </w:tc>
        <w:tc>
          <w:tcPr>
            <w:tcW w:type="dxa" w:w="2700"/>
            <w:shd w:fill="D9D9D9" w:val="clear"/>
            <w:tcMar>
              <w:top w:type="dxa" w:w="80"/>
              <w:left w:type="dxa" w:w="100"/>
              <w:bottom w:type="dxa" w:w="80"/>
              <w:right w:type="dxa" w:w="100"/>
            </w:tcMar>
          </w:tcPr>
          <w:p>
            <w:r>
              <w:rPr>
                <w:rFonts w:ascii="Calibri" w:cs="Calibri" w:eastAsia="Calibri" w:hAnsi="Calibri"/>
                <w:b/>
                <w:bCs/>
                <w:i w:val="false"/>
                <w:iCs w:val="false"/>
                <w:color w:val="000000"/>
                <w:sz w:val="18"/>
                <w:szCs w:val="18"/>
              </w:rPr>
              <w:t xml:space="preserve">Outcome</w:t>
            </w:r>
          </w:p>
        </w:tc>
      </w:tr>
      <w:tr>
        <w:tc>
          <w:tcPr>
            <w:tcW w:type="dxa" w:w="1050"/>
            <w:tcMar>
              <w:top w:type="dxa" w:w="80"/>
              <w:left w:type="dxa" w:w="100"/>
              <w:bottom w:type="dxa" w:w="80"/>
              <w:right w:type="dxa" w:w="100"/>
            </w:tcMar>
          </w:tcPr>
          <w:p>
            <w:r>
              <w:rPr>
                <w:rFonts w:ascii="Calibri" w:cs="Calibri" w:eastAsia="Calibri" w:hAnsi="Calibri"/>
                <w:b/>
                <w:bCs/>
                <w:i w:val="false"/>
                <w:iCs w:val="false"/>
                <w:color w:val="000000"/>
                <w:sz w:val="18"/>
                <w:szCs w:val="18"/>
              </w:rPr>
              <w:t xml:space="preserve">Phase 1</w:t>
            </w:r>
          </w:p>
        </w:tc>
        <w:tc>
          <w:tcPr>
            <w:tcW w:type="dxa" w:w="1750"/>
            <w:tcMar>
              <w:top w:type="dxa" w:w="80"/>
              <w:left w:type="dxa" w:w="100"/>
              <w:bottom w:type="dxa" w:w="80"/>
              <w:right w:type="dxa" w:w="100"/>
            </w:tcMar>
          </w:tcPr>
          <w:p>
            <w:r>
              <w:rPr>
                <w:rFonts w:ascii="Calibri" w:cs="Calibri" w:eastAsia="Calibri" w:hAnsi="Calibri"/>
                <w:b w:val="false"/>
                <w:bCs w:val="false"/>
                <w:i w:val="false"/>
                <w:iCs w:val="false"/>
                <w:color w:val="000000"/>
                <w:sz w:val="18"/>
                <w:szCs w:val="18"/>
              </w:rPr>
              <w:t xml:space="preserve">Foundation</w:t>
            </w:r>
          </w:p>
        </w:tc>
        <w:tc>
          <w:tcPr>
            <w:tcW w:type="dxa" w:w="3850"/>
            <w:tcMar>
              <w:top w:type="dxa" w:w="80"/>
              <w:left w:type="dxa" w:w="100"/>
              <w:bottom w:type="dxa" w:w="80"/>
              <w:right w:type="dxa" w:w="100"/>
            </w:tcMar>
          </w:tcPr>
          <w:p>
            <w:r>
              <w:rPr>
                <w:rFonts w:ascii="Calibri" w:cs="Calibri" w:eastAsia="Calibri" w:hAnsi="Calibri"/>
                <w:b w:val="false"/>
                <w:bCs w:val="false"/>
                <w:i w:val="false"/>
                <w:iCs w:val="false"/>
                <w:color w:val="000000"/>
                <w:sz w:val="18"/>
                <w:szCs w:val="18"/>
              </w:rPr>
              <w:t xml:space="preserve">Data validation pipeline; deterministic OEE calculation engine.</w:t>
            </w:r>
          </w:p>
        </w:tc>
        <w:tc>
          <w:tcPr>
            <w:tcW w:type="dxa" w:w="2700"/>
            <w:tcMar>
              <w:top w:type="dxa" w:w="80"/>
              <w:left w:type="dxa" w:w="100"/>
              <w:bottom w:type="dxa" w:w="80"/>
              <w:right w:type="dxa" w:w="100"/>
            </w:tcMar>
          </w:tcPr>
          <w:p>
            <w:r>
              <w:rPr>
                <w:rFonts w:ascii="Calibri" w:cs="Calibri" w:eastAsia="Calibri" w:hAnsi="Calibri"/>
                <w:b w:val="false"/>
                <w:bCs w:val="false"/>
                <w:i w:val="false"/>
                <w:iCs w:val="false"/>
                <w:color w:val="000000"/>
                <w:sz w:val="18"/>
                <w:szCs w:val="18"/>
              </w:rPr>
              <w:t xml:space="preserve">Reliable, auditable OEE baseline.</w:t>
            </w:r>
          </w:p>
        </w:tc>
      </w:tr>
      <w:tr>
        <w:tc>
          <w:tcPr>
            <w:tcW w:type="dxa" w:w="1050"/>
            <w:tcMar>
              <w:top w:type="dxa" w:w="80"/>
              <w:left w:type="dxa" w:w="100"/>
              <w:bottom w:type="dxa" w:w="80"/>
              <w:right w:type="dxa" w:w="100"/>
            </w:tcMar>
          </w:tcPr>
          <w:p>
            <w:r>
              <w:rPr>
                <w:rFonts w:ascii="Calibri" w:cs="Calibri" w:eastAsia="Calibri" w:hAnsi="Calibri"/>
                <w:b/>
                <w:bCs/>
                <w:i w:val="false"/>
                <w:iCs w:val="false"/>
                <w:color w:val="000000"/>
                <w:sz w:val="18"/>
                <w:szCs w:val="18"/>
              </w:rPr>
              <w:t xml:space="preserve">Phase 2</w:t>
            </w:r>
          </w:p>
        </w:tc>
        <w:tc>
          <w:tcPr>
            <w:tcW w:type="dxa" w:w="1750"/>
            <w:tcMar>
              <w:top w:type="dxa" w:w="80"/>
              <w:left w:type="dxa" w:w="100"/>
              <w:bottom w:type="dxa" w:w="80"/>
              <w:right w:type="dxa" w:w="100"/>
            </w:tcMar>
          </w:tcPr>
          <w:p>
            <w:r>
              <w:rPr>
                <w:rFonts w:ascii="Calibri" w:cs="Calibri" w:eastAsia="Calibri" w:hAnsi="Calibri"/>
                <w:b w:val="false"/>
                <w:bCs w:val="false"/>
                <w:i w:val="false"/>
                <w:iCs w:val="false"/>
                <w:color w:val="000000"/>
                <w:sz w:val="18"/>
                <w:szCs w:val="18"/>
              </w:rPr>
              <w:t xml:space="preserve">Loss Categorization</w:t>
            </w:r>
          </w:p>
        </w:tc>
        <w:tc>
          <w:tcPr>
            <w:tcW w:type="dxa" w:w="3850"/>
            <w:tcMar>
              <w:top w:type="dxa" w:w="80"/>
              <w:left w:type="dxa" w:w="100"/>
              <w:bottom w:type="dxa" w:w="80"/>
              <w:right w:type="dxa" w:w="100"/>
            </w:tcMar>
          </w:tcPr>
          <w:p>
            <w:r>
              <w:rPr>
                <w:rFonts w:ascii="Calibri" w:cs="Calibri" w:eastAsia="Calibri" w:hAnsi="Calibri"/>
                <w:b w:val="false"/>
                <w:bCs w:val="false"/>
                <w:i w:val="false"/>
                <w:iCs w:val="false"/>
                <w:color w:val="000000"/>
                <w:sz w:val="18"/>
                <w:szCs w:val="18"/>
              </w:rPr>
              <w:t xml:space="preserve">Downtime categorization; availability, performance, and quality loss analysis.</w:t>
            </w:r>
          </w:p>
        </w:tc>
        <w:tc>
          <w:tcPr>
            <w:tcW w:type="dxa" w:w="2700"/>
            <w:tcMar>
              <w:top w:type="dxa" w:w="80"/>
              <w:left w:type="dxa" w:w="100"/>
              <w:bottom w:type="dxa" w:w="80"/>
              <w:right w:type="dxa" w:w="100"/>
            </w:tcMar>
          </w:tcPr>
          <w:p>
            <w:r>
              <w:rPr>
                <w:rFonts w:ascii="Calibri" w:cs="Calibri" w:eastAsia="Calibri" w:hAnsi="Calibri"/>
                <w:b w:val="false"/>
                <w:bCs w:val="false"/>
                <w:i w:val="false"/>
                <w:iCs w:val="false"/>
                <w:color w:val="000000"/>
                <w:sz w:val="18"/>
                <w:szCs w:val="18"/>
              </w:rPr>
              <w:t xml:space="preserve">Correctly categorized OEE losses.</w:t>
            </w:r>
          </w:p>
        </w:tc>
      </w:tr>
      <w:tr>
        <w:tc>
          <w:tcPr>
            <w:tcW w:type="dxa" w:w="1050"/>
            <w:tcMar>
              <w:top w:type="dxa" w:w="80"/>
              <w:left w:type="dxa" w:w="100"/>
              <w:bottom w:type="dxa" w:w="80"/>
              <w:right w:type="dxa" w:w="100"/>
            </w:tcMar>
          </w:tcPr>
          <w:p>
            <w:r>
              <w:rPr>
                <w:rFonts w:ascii="Calibri" w:cs="Calibri" w:eastAsia="Calibri" w:hAnsi="Calibri"/>
                <w:b/>
                <w:bCs/>
                <w:i w:val="false"/>
                <w:iCs w:val="false"/>
                <w:color w:val="000000"/>
                <w:sz w:val="18"/>
                <w:szCs w:val="18"/>
              </w:rPr>
              <w:t xml:space="preserve">Phase 3</w:t>
            </w:r>
          </w:p>
        </w:tc>
        <w:tc>
          <w:tcPr>
            <w:tcW w:type="dxa" w:w="1750"/>
            <w:tcMar>
              <w:top w:type="dxa" w:w="80"/>
              <w:left w:type="dxa" w:w="100"/>
              <w:bottom w:type="dxa" w:w="80"/>
              <w:right w:type="dxa" w:w="100"/>
            </w:tcMar>
          </w:tcPr>
          <w:p>
            <w:r>
              <w:rPr>
                <w:rFonts w:ascii="Calibri" w:cs="Calibri" w:eastAsia="Calibri" w:hAnsi="Calibri"/>
                <w:b w:val="false"/>
                <w:bCs w:val="false"/>
                <w:i w:val="false"/>
                <w:iCs w:val="false"/>
                <w:color w:val="000000"/>
                <w:sz w:val="18"/>
                <w:szCs w:val="18"/>
              </w:rPr>
              <w:t xml:space="preserve">Benchmarking &amp; Impact</w:t>
            </w:r>
          </w:p>
        </w:tc>
        <w:tc>
          <w:tcPr>
            <w:tcW w:type="dxa" w:w="3850"/>
            <w:tcMar>
              <w:top w:type="dxa" w:w="80"/>
              <w:left w:type="dxa" w:w="100"/>
              <w:bottom w:type="dxa" w:w="80"/>
              <w:right w:type="dxa" w:w="100"/>
            </w:tcMar>
          </w:tcPr>
          <w:p>
            <w:r>
              <w:rPr>
                <w:rFonts w:ascii="Calibri" w:cs="Calibri" w:eastAsia="Calibri" w:hAnsi="Calibri"/>
                <w:b w:val="false"/>
                <w:bCs w:val="false"/>
                <w:i w:val="false"/>
                <w:iCs w:val="false"/>
                <w:color w:val="000000"/>
                <w:sz w:val="18"/>
                <w:szCs w:val="18"/>
              </w:rPr>
              <w:t xml:space="preserve">Line comparison module; downtime, scrap, and throughput cost analysis.</w:t>
            </w:r>
          </w:p>
        </w:tc>
        <w:tc>
          <w:tcPr>
            <w:tcW w:type="dxa" w:w="2700"/>
            <w:tcMar>
              <w:top w:type="dxa" w:w="80"/>
              <w:left w:type="dxa" w:w="100"/>
              <w:bottom w:type="dxa" w:w="80"/>
              <w:right w:type="dxa" w:w="100"/>
            </w:tcMar>
          </w:tcPr>
          <w:p>
            <w:r>
              <w:rPr>
                <w:rFonts w:ascii="Calibri" w:cs="Calibri" w:eastAsia="Calibri" w:hAnsi="Calibri"/>
                <w:b w:val="false"/>
                <w:bCs w:val="false"/>
                <w:i w:val="false"/>
                <w:iCs w:val="false"/>
                <w:color w:val="000000"/>
                <w:sz w:val="18"/>
                <w:szCs w:val="18"/>
              </w:rPr>
              <w:t xml:space="preserve">Ranked degradation drivers with financial impact.</w:t>
            </w:r>
          </w:p>
        </w:tc>
      </w:tr>
      <w:tr>
        <w:tc>
          <w:tcPr>
            <w:tcW w:type="dxa" w:w="1050"/>
            <w:tcMar>
              <w:top w:type="dxa" w:w="80"/>
              <w:left w:type="dxa" w:w="100"/>
              <w:bottom w:type="dxa" w:w="80"/>
              <w:right w:type="dxa" w:w="100"/>
            </w:tcMar>
          </w:tcPr>
          <w:p>
            <w:r>
              <w:rPr>
                <w:rFonts w:ascii="Calibri" w:cs="Calibri" w:eastAsia="Calibri" w:hAnsi="Calibri"/>
                <w:b/>
                <w:bCs/>
                <w:i w:val="false"/>
                <w:iCs w:val="false"/>
                <w:color w:val="000000"/>
                <w:sz w:val="18"/>
                <w:szCs w:val="18"/>
              </w:rPr>
              <w:t xml:space="preserve">Phase 4</w:t>
            </w:r>
          </w:p>
        </w:tc>
        <w:tc>
          <w:tcPr>
            <w:tcW w:type="dxa" w:w="1750"/>
            <w:tcMar>
              <w:top w:type="dxa" w:w="80"/>
              <w:left w:type="dxa" w:w="100"/>
              <w:bottom w:type="dxa" w:w="80"/>
              <w:right w:type="dxa" w:w="100"/>
            </w:tcMar>
          </w:tcPr>
          <w:p>
            <w:r>
              <w:rPr>
                <w:rFonts w:ascii="Calibri" w:cs="Calibri" w:eastAsia="Calibri" w:hAnsi="Calibri"/>
                <w:b w:val="false"/>
                <w:bCs w:val="false"/>
                <w:i w:val="false"/>
                <w:iCs w:val="false"/>
                <w:color w:val="000000"/>
                <w:sz w:val="18"/>
                <w:szCs w:val="18"/>
              </w:rPr>
              <w:t xml:space="preserve">AI Decision Support</w:t>
            </w:r>
          </w:p>
        </w:tc>
        <w:tc>
          <w:tcPr>
            <w:tcW w:type="dxa" w:w="3850"/>
            <w:tcMar>
              <w:top w:type="dxa" w:w="80"/>
              <w:left w:type="dxa" w:w="100"/>
              <w:bottom w:type="dxa" w:w="80"/>
              <w:right w:type="dxa" w:w="100"/>
            </w:tcMar>
          </w:tcPr>
          <w:p>
            <w:r>
              <w:rPr>
                <w:rFonts w:ascii="Calibri" w:cs="Calibri" w:eastAsia="Calibri" w:hAnsi="Calibri"/>
                <w:b w:val="false"/>
                <w:bCs w:val="false"/>
                <w:i w:val="false"/>
                <w:iCs w:val="false"/>
                <w:color w:val="000000"/>
                <w:sz w:val="18"/>
                <w:szCs w:val="18"/>
              </w:rPr>
              <w:t xml:space="preserve">Evidence-backed recommendation engine; root cause validation.</w:t>
            </w:r>
          </w:p>
        </w:tc>
        <w:tc>
          <w:tcPr>
            <w:tcW w:type="dxa" w:w="2700"/>
            <w:tcMar>
              <w:top w:type="dxa" w:w="80"/>
              <w:left w:type="dxa" w:w="100"/>
              <w:bottom w:type="dxa" w:w="80"/>
              <w:right w:type="dxa" w:w="100"/>
            </w:tcMar>
          </w:tcPr>
          <w:p>
            <w:r>
              <w:rPr>
                <w:rFonts w:ascii="Calibri" w:cs="Calibri" w:eastAsia="Calibri" w:hAnsi="Calibri"/>
                <w:b w:val="false"/>
                <w:bCs w:val="false"/>
                <w:i w:val="false"/>
                <w:iCs w:val="false"/>
                <w:color w:val="000000"/>
                <w:sz w:val="18"/>
                <w:szCs w:val="18"/>
              </w:rPr>
              <w:t xml:space="preserve">Ranked, actionable improvement recommendations.</w:t>
            </w:r>
          </w:p>
        </w:tc>
      </w:tr>
      <w:tr>
        <w:tc>
          <w:tcPr>
            <w:tcW w:type="dxa" w:w="1050"/>
            <w:tcMar>
              <w:top w:type="dxa" w:w="80"/>
              <w:left w:type="dxa" w:w="100"/>
              <w:bottom w:type="dxa" w:w="80"/>
              <w:right w:type="dxa" w:w="100"/>
            </w:tcMar>
          </w:tcPr>
          <w:p>
            <w:r>
              <w:rPr>
                <w:rFonts w:ascii="Calibri" w:cs="Calibri" w:eastAsia="Calibri" w:hAnsi="Calibri"/>
                <w:b/>
                <w:bCs/>
                <w:i w:val="false"/>
                <w:iCs w:val="false"/>
                <w:color w:val="000000"/>
                <w:sz w:val="18"/>
                <w:szCs w:val="18"/>
              </w:rPr>
              <w:t xml:space="preserve">Phase 5</w:t>
            </w:r>
          </w:p>
        </w:tc>
        <w:tc>
          <w:tcPr>
            <w:tcW w:type="dxa" w:w="1750"/>
            <w:tcMar>
              <w:top w:type="dxa" w:w="80"/>
              <w:left w:type="dxa" w:w="100"/>
              <w:bottom w:type="dxa" w:w="80"/>
              <w:right w:type="dxa" w:w="100"/>
            </w:tcMar>
          </w:tcPr>
          <w:p>
            <w:r>
              <w:rPr>
                <w:rFonts w:ascii="Calibri" w:cs="Calibri" w:eastAsia="Calibri" w:hAnsi="Calibri"/>
                <w:b w:val="false"/>
                <w:bCs w:val="false"/>
                <w:i w:val="false"/>
                <w:iCs w:val="false"/>
                <w:color w:val="000000"/>
                <w:sz w:val="18"/>
                <w:szCs w:val="18"/>
              </w:rPr>
              <w:t xml:space="preserve">Scenario Simulation</w:t>
            </w:r>
          </w:p>
        </w:tc>
        <w:tc>
          <w:tcPr>
            <w:tcW w:type="dxa" w:w="3850"/>
            <w:tcMar>
              <w:top w:type="dxa" w:w="80"/>
              <w:left w:type="dxa" w:w="100"/>
              <w:bottom w:type="dxa" w:w="80"/>
              <w:right w:type="dxa" w:w="100"/>
            </w:tcMar>
          </w:tcPr>
          <w:p>
            <w:r>
              <w:rPr>
                <w:rFonts w:ascii="Calibri" w:cs="Calibri" w:eastAsia="Calibri" w:hAnsi="Calibri"/>
                <w:b w:val="false"/>
                <w:bCs w:val="false"/>
                <w:i w:val="false"/>
                <w:iCs w:val="false"/>
                <w:color w:val="000000"/>
                <w:sz w:val="18"/>
                <w:szCs w:val="18"/>
              </w:rPr>
              <w:t xml:space="preserve">Multi-scenario what-if engine (minimum 3 concurrent scenarios).</w:t>
            </w:r>
          </w:p>
        </w:tc>
        <w:tc>
          <w:tcPr>
            <w:tcW w:type="dxa" w:w="2700"/>
            <w:tcMar>
              <w:top w:type="dxa" w:w="80"/>
              <w:left w:type="dxa" w:w="100"/>
              <w:bottom w:type="dxa" w:w="80"/>
              <w:right w:type="dxa" w:w="100"/>
            </w:tcMar>
          </w:tcPr>
          <w:p>
            <w:r>
              <w:rPr>
                <w:rFonts w:ascii="Calibri" w:cs="Calibri" w:eastAsia="Calibri" w:hAnsi="Calibri"/>
                <w:b w:val="false"/>
                <w:bCs w:val="false"/>
                <w:i w:val="false"/>
                <w:iCs w:val="false"/>
                <w:color w:val="000000"/>
                <w:sz w:val="18"/>
                <w:szCs w:val="18"/>
              </w:rPr>
              <w:t xml:space="preserve">Pre-implementation impact forecasts.</w:t>
            </w:r>
          </w:p>
        </w:tc>
      </w:tr>
      <w:tr>
        <w:tc>
          <w:tcPr>
            <w:tcW w:type="dxa" w:w="1050"/>
            <w:tcMar>
              <w:top w:type="dxa" w:w="80"/>
              <w:left w:type="dxa" w:w="100"/>
              <w:bottom w:type="dxa" w:w="80"/>
              <w:right w:type="dxa" w:w="100"/>
            </w:tcMar>
          </w:tcPr>
          <w:p>
            <w:r>
              <w:rPr>
                <w:rFonts w:ascii="Calibri" w:cs="Calibri" w:eastAsia="Calibri" w:hAnsi="Calibri"/>
                <w:b/>
                <w:bCs/>
                <w:i w:val="false"/>
                <w:iCs w:val="false"/>
                <w:color w:val="000000"/>
                <w:sz w:val="18"/>
                <w:szCs w:val="18"/>
              </w:rPr>
              <w:t xml:space="preserve">Phase 6</w:t>
            </w:r>
          </w:p>
        </w:tc>
        <w:tc>
          <w:tcPr>
            <w:tcW w:type="dxa" w:w="1750"/>
            <w:tcMar>
              <w:top w:type="dxa" w:w="80"/>
              <w:left w:type="dxa" w:w="100"/>
              <w:bottom w:type="dxa" w:w="80"/>
              <w:right w:type="dxa" w:w="100"/>
            </w:tcMar>
          </w:tcPr>
          <w:p>
            <w:r>
              <w:rPr>
                <w:rFonts w:ascii="Calibri" w:cs="Calibri" w:eastAsia="Calibri" w:hAnsi="Calibri"/>
                <w:b w:val="false"/>
                <w:bCs w:val="false"/>
                <w:i w:val="false"/>
                <w:iCs w:val="false"/>
                <w:color w:val="000000"/>
                <w:sz w:val="18"/>
                <w:szCs w:val="18"/>
              </w:rPr>
              <w:t xml:space="preserve">Management Reporting</w:t>
            </w:r>
          </w:p>
        </w:tc>
        <w:tc>
          <w:tcPr>
            <w:tcW w:type="dxa" w:w="3850"/>
            <w:tcMar>
              <w:top w:type="dxa" w:w="80"/>
              <w:left w:type="dxa" w:w="100"/>
              <w:bottom w:type="dxa" w:w="80"/>
              <w:right w:type="dxa" w:w="100"/>
            </w:tcMar>
          </w:tcPr>
          <w:p>
            <w:r>
              <w:rPr>
                <w:rFonts w:ascii="Calibri" w:cs="Calibri" w:eastAsia="Calibri" w:hAnsi="Calibri"/>
                <w:b w:val="false"/>
                <w:bCs w:val="false"/>
                <w:i w:val="false"/>
                <w:iCs w:val="false"/>
                <w:color w:val="000000"/>
                <w:sz w:val="18"/>
                <w:szCs w:val="18"/>
              </w:rPr>
              <w:t xml:space="preserve">Executive summary and role-based decision brief generation.</w:t>
            </w:r>
          </w:p>
        </w:tc>
        <w:tc>
          <w:tcPr>
            <w:tcW w:type="dxa" w:w="2700"/>
            <w:tcMar>
              <w:top w:type="dxa" w:w="80"/>
              <w:left w:type="dxa" w:w="100"/>
              <w:bottom w:type="dxa" w:w="80"/>
              <w:right w:type="dxa" w:w="100"/>
            </w:tcMar>
          </w:tcPr>
          <w:p>
            <w:r>
              <w:rPr>
                <w:rFonts w:ascii="Calibri" w:cs="Calibri" w:eastAsia="Calibri" w:hAnsi="Calibri"/>
                <w:b w:val="false"/>
                <w:bCs w:val="false"/>
                <w:i w:val="false"/>
                <w:iCs w:val="false"/>
                <w:color w:val="000000"/>
                <w:sz w:val="18"/>
                <w:szCs w:val="18"/>
              </w:rPr>
              <w:t xml:space="preserve">Management-ready summary for plant leadership.</w:t>
            </w:r>
          </w:p>
        </w:tc>
      </w:tr>
    </w:tbl>
    <w:p>
      <w:pPr>
        <w:spacing w:after="140"/>
      </w:pPr>
    </w:p>
    <w:p>
      <w:pPr>
        <w:pStyle w:val="Heading1"/>
        <w:pBdr>
          <w:bottom w:val="single" w:color="000000" w:sz="6" w:space="4"/>
        </w:pBdr>
        <w:spacing w:after="130" w:before="300"/>
      </w:pPr>
      <w:r>
        <w:rPr>
          <w:rFonts w:ascii="Calibri" w:cs="Calibri" w:eastAsia="Calibri" w:hAnsi="Calibri"/>
          <w:b/>
          <w:bCs/>
          <w:color w:val="000000"/>
          <w:sz w:val="28"/>
          <w:szCs w:val="28"/>
        </w:rPr>
        <w:t xml:space="preserve">12. Risks &amp; Mitigations</w:t>
      </w:r>
    </w:p>
    <w:tbl>
      <w:tblPr>
        <w:tblW w:type="dxa" w:w="9350"/>
        <w:tblBorders>
          <w:top w:val="single" w:color="000000" w:sz="4"/>
          <w:left w:val="single" w:color="000000" w:sz="4"/>
          <w:bottom w:val="single" w:color="000000" w:sz="4"/>
          <w:right w:val="single" w:color="000000" w:sz="4"/>
          <w:insideH w:val="single" w:color="000000" w:sz="4"/>
          <w:insideV w:val="single" w:color="000000" w:sz="4"/>
        </w:tblBorders>
      </w:tblPr>
      <w:tblGrid>
        <w:gridCol w:w="4400"/>
        <w:gridCol w:w="4950"/>
      </w:tblGrid>
      <w:tr>
        <w:trPr>
          <w:tblHeader/>
        </w:trPr>
        <w:tc>
          <w:tcPr>
            <w:tcW w:type="dxa" w:w="4400"/>
            <w:shd w:fill="D9D9D9" w:val="clear"/>
            <w:tcMar>
              <w:top w:type="dxa" w:w="80"/>
              <w:left w:type="dxa" w:w="100"/>
              <w:bottom w:type="dxa" w:w="80"/>
              <w:right w:type="dxa" w:w="100"/>
            </w:tcMar>
          </w:tcPr>
          <w:p>
            <w:r>
              <w:rPr>
                <w:rFonts w:ascii="Calibri" w:cs="Calibri" w:eastAsia="Calibri" w:hAnsi="Calibri"/>
                <w:b/>
                <w:bCs/>
                <w:i w:val="false"/>
                <w:iCs w:val="false"/>
                <w:color w:val="000000"/>
                <w:sz w:val="18"/>
                <w:szCs w:val="18"/>
              </w:rPr>
              <w:t xml:space="preserve">Risk</w:t>
            </w:r>
          </w:p>
        </w:tc>
        <w:tc>
          <w:tcPr>
            <w:tcW w:type="dxa" w:w="4950"/>
            <w:shd w:fill="D9D9D9" w:val="clear"/>
            <w:tcMar>
              <w:top w:type="dxa" w:w="80"/>
              <w:left w:type="dxa" w:w="100"/>
              <w:bottom w:type="dxa" w:w="80"/>
              <w:right w:type="dxa" w:w="100"/>
            </w:tcMar>
          </w:tcPr>
          <w:p>
            <w:r>
              <w:rPr>
                <w:rFonts w:ascii="Calibri" w:cs="Calibri" w:eastAsia="Calibri" w:hAnsi="Calibri"/>
                <w:b/>
                <w:bCs/>
                <w:i w:val="false"/>
                <w:iCs w:val="false"/>
                <w:color w:val="000000"/>
                <w:sz w:val="18"/>
                <w:szCs w:val="18"/>
              </w:rPr>
              <w:t xml:space="preserve">Mitigation</w:t>
            </w:r>
          </w:p>
        </w:tc>
      </w:tr>
      <w:tr>
        <w:tc>
          <w:tcPr>
            <w:tcW w:type="dxa" w:w="4400"/>
            <w:tcMar>
              <w:top w:type="dxa" w:w="80"/>
              <w:left w:type="dxa" w:w="100"/>
              <w:bottom w:type="dxa" w:w="80"/>
              <w:right w:type="dxa" w:w="100"/>
            </w:tcMar>
          </w:tcPr>
          <w:p>
            <w:r>
              <w:rPr>
                <w:rFonts w:ascii="Calibri" w:cs="Calibri" w:eastAsia="Calibri" w:hAnsi="Calibri"/>
                <w:b/>
                <w:bCs/>
                <w:i w:val="false"/>
                <w:iCs w:val="false"/>
                <w:color w:val="000000"/>
                <w:sz w:val="18"/>
                <w:szCs w:val="18"/>
              </w:rPr>
              <w:t xml:space="preserve">Incomplete or inconsistent downtime/quality logs.</w:t>
            </w:r>
          </w:p>
        </w:tc>
        <w:tc>
          <w:tcPr>
            <w:tcW w:type="dxa" w:w="4950"/>
            <w:tcMar>
              <w:top w:type="dxa" w:w="80"/>
              <w:left w:type="dxa" w:w="100"/>
              <w:bottom w:type="dxa" w:w="80"/>
              <w:right w:type="dxa" w:w="100"/>
            </w:tcMar>
          </w:tcPr>
          <w:p>
            <w:r>
              <w:rPr>
                <w:rFonts w:ascii="Calibri" w:cs="Calibri" w:eastAsia="Calibri" w:hAnsi="Calibri"/>
                <w:b w:val="false"/>
                <w:bCs w:val="false"/>
                <w:i w:val="false"/>
                <w:iCs w:val="false"/>
                <w:color w:val="000000"/>
                <w:sz w:val="18"/>
                <w:szCs w:val="18"/>
              </w:rPr>
              <w:t xml:space="preserve">Data validation layer flags gaps before calculation; manual reconciliation during early phases.</w:t>
            </w:r>
          </w:p>
        </w:tc>
      </w:tr>
      <w:tr>
        <w:tc>
          <w:tcPr>
            <w:tcW w:type="dxa" w:w="4400"/>
            <w:tcMar>
              <w:top w:type="dxa" w:w="80"/>
              <w:left w:type="dxa" w:w="100"/>
              <w:bottom w:type="dxa" w:w="80"/>
              <w:right w:type="dxa" w:w="100"/>
            </w:tcMar>
          </w:tcPr>
          <w:p>
            <w:r>
              <w:rPr>
                <w:rFonts w:ascii="Calibri" w:cs="Calibri" w:eastAsia="Calibri" w:hAnsi="Calibri"/>
                <w:b/>
                <w:bCs/>
                <w:i w:val="false"/>
                <w:iCs w:val="false"/>
                <w:color w:val="000000"/>
                <w:sz w:val="18"/>
                <w:szCs w:val="18"/>
              </w:rPr>
              <w:t xml:space="preserve">AI-flagged root causes don't match floor reality.</w:t>
            </w:r>
          </w:p>
        </w:tc>
        <w:tc>
          <w:tcPr>
            <w:tcW w:type="dxa" w:w="4950"/>
            <w:tcMar>
              <w:top w:type="dxa" w:w="80"/>
              <w:left w:type="dxa" w:w="100"/>
              <w:bottom w:type="dxa" w:w="80"/>
              <w:right w:type="dxa" w:w="100"/>
            </w:tcMar>
          </w:tcPr>
          <w:p>
            <w:r>
              <w:rPr>
                <w:rFonts w:ascii="Calibri" w:cs="Calibri" w:eastAsia="Calibri" w:hAnsi="Calibri"/>
                <w:b w:val="false"/>
                <w:bCs w:val="false"/>
                <w:i w:val="false"/>
                <w:iCs w:val="false"/>
                <w:color w:val="000000"/>
                <w:sz w:val="18"/>
                <w:szCs w:val="18"/>
              </w:rPr>
              <w:t xml:space="preserve">SME sign-off required on recommendations during pilot before they are trusted operationally.</w:t>
            </w:r>
          </w:p>
        </w:tc>
      </w:tr>
      <w:tr>
        <w:tc>
          <w:tcPr>
            <w:tcW w:type="dxa" w:w="4400"/>
            <w:tcMar>
              <w:top w:type="dxa" w:w="80"/>
              <w:left w:type="dxa" w:w="100"/>
              <w:bottom w:type="dxa" w:w="80"/>
              <w:right w:type="dxa" w:w="100"/>
            </w:tcMar>
          </w:tcPr>
          <w:p>
            <w:r>
              <w:rPr>
                <w:rFonts w:ascii="Calibri" w:cs="Calibri" w:eastAsia="Calibri" w:hAnsi="Calibri"/>
                <w:b/>
                <w:bCs/>
                <w:i w:val="false"/>
                <w:iCs w:val="false"/>
                <w:color w:val="000000"/>
                <w:sz w:val="18"/>
                <w:szCs w:val="18"/>
              </w:rPr>
              <w:t xml:space="preserve">Line comparison is unfair across different product mixes.</w:t>
            </w:r>
          </w:p>
        </w:tc>
        <w:tc>
          <w:tcPr>
            <w:tcW w:type="dxa" w:w="4950"/>
            <w:tcMar>
              <w:top w:type="dxa" w:w="80"/>
              <w:left w:type="dxa" w:w="100"/>
              <w:bottom w:type="dxa" w:w="80"/>
              <w:right w:type="dxa" w:w="100"/>
            </w:tcMar>
          </w:tcPr>
          <w:p>
            <w:r>
              <w:rPr>
                <w:rFonts w:ascii="Calibri" w:cs="Calibri" w:eastAsia="Calibri" w:hAnsi="Calibri"/>
                <w:b w:val="false"/>
                <w:bCs w:val="false"/>
                <w:i w:val="false"/>
                <w:iCs w:val="false"/>
                <w:color w:val="000000"/>
                <w:sz w:val="18"/>
                <w:szCs w:val="18"/>
              </w:rPr>
              <w:t xml:space="preserve">Benchmarking module normalizes for product mix and run time before ranking lines.</w:t>
            </w:r>
          </w:p>
        </w:tc>
      </w:tr>
      <w:tr>
        <w:tc>
          <w:tcPr>
            <w:tcW w:type="dxa" w:w="4400"/>
            <w:tcMar>
              <w:top w:type="dxa" w:w="80"/>
              <w:left w:type="dxa" w:w="100"/>
              <w:bottom w:type="dxa" w:w="80"/>
              <w:right w:type="dxa" w:w="100"/>
            </w:tcMar>
          </w:tcPr>
          <w:p>
            <w:r>
              <w:rPr>
                <w:rFonts w:ascii="Calibri" w:cs="Calibri" w:eastAsia="Calibri" w:hAnsi="Calibri"/>
                <w:b/>
                <w:bCs/>
                <w:i w:val="false"/>
                <w:iCs w:val="false"/>
                <w:color w:val="000000"/>
                <w:sz w:val="18"/>
                <w:szCs w:val="18"/>
              </w:rPr>
              <w:t xml:space="preserve">Simulation outputs are mistaken for guarantees.</w:t>
            </w:r>
          </w:p>
        </w:tc>
        <w:tc>
          <w:tcPr>
            <w:tcW w:type="dxa" w:w="4950"/>
            <w:tcMar>
              <w:top w:type="dxa" w:w="80"/>
              <w:left w:type="dxa" w:w="100"/>
              <w:bottom w:type="dxa" w:w="80"/>
              <w:right w:type="dxa" w:w="100"/>
            </w:tcMar>
          </w:tcPr>
          <w:p>
            <w:r>
              <w:rPr>
                <w:rFonts w:ascii="Calibri" w:cs="Calibri" w:eastAsia="Calibri" w:hAnsi="Calibri"/>
                <w:b w:val="false"/>
                <w:bCs w:val="false"/>
                <w:i w:val="false"/>
                <w:iCs w:val="false"/>
                <w:color w:val="000000"/>
                <w:sz w:val="18"/>
                <w:szCs w:val="18"/>
              </w:rPr>
              <w:t xml:space="preserve">Outputs are explicitly labeled as projections requiring validation against pilot results.</w:t>
            </w:r>
          </w:p>
        </w:tc>
      </w:tr>
      <w:tr>
        <w:tc>
          <w:tcPr>
            <w:tcW w:type="dxa" w:w="4400"/>
            <w:tcMar>
              <w:top w:type="dxa" w:w="80"/>
              <w:left w:type="dxa" w:w="100"/>
              <w:bottom w:type="dxa" w:w="80"/>
              <w:right w:type="dxa" w:w="100"/>
            </w:tcMar>
          </w:tcPr>
          <w:p>
            <w:r>
              <w:rPr>
                <w:rFonts w:ascii="Calibri" w:cs="Calibri" w:eastAsia="Calibri" w:hAnsi="Calibri"/>
                <w:b/>
                <w:bCs/>
                <w:i w:val="false"/>
                <w:iCs w:val="false"/>
                <w:color w:val="000000"/>
                <w:sz w:val="18"/>
                <w:szCs w:val="18"/>
              </w:rPr>
              <w:t xml:space="preserve">Users default back to old dashboards instead of the new summary.</w:t>
            </w:r>
          </w:p>
        </w:tc>
        <w:tc>
          <w:tcPr>
            <w:tcW w:type="dxa" w:w="4950"/>
            <w:tcMar>
              <w:top w:type="dxa" w:w="80"/>
              <w:left w:type="dxa" w:w="100"/>
              <w:bottom w:type="dxa" w:w="80"/>
              <w:right w:type="dxa" w:w="100"/>
            </w:tcMar>
          </w:tcPr>
          <w:p>
            <w:r>
              <w:rPr>
                <w:rFonts w:ascii="Calibri" w:cs="Calibri" w:eastAsia="Calibri" w:hAnsi="Calibri"/>
                <w:b w:val="false"/>
                <w:bCs w:val="false"/>
                <w:i w:val="false"/>
                <w:iCs w:val="false"/>
                <w:color w:val="000000"/>
                <w:sz w:val="18"/>
                <w:szCs w:val="18"/>
              </w:rPr>
              <w:t xml:space="preserve">Management-ready summary is designed as a drop-in replacement for the existing reporting format.</w:t>
            </w:r>
          </w:p>
        </w:tc>
      </w:tr>
    </w:tbl>
    <w:p>
      <w:pPr>
        <w:spacing w:after="140"/>
      </w:pPr>
    </w:p>
    <w:p>
      <w:pPr>
        <w:pStyle w:val="Heading1"/>
        <w:pBdr>
          <w:bottom w:val="single" w:color="000000" w:sz="6" w:space="4"/>
        </w:pBdr>
        <w:spacing w:after="130" w:before="300"/>
      </w:pPr>
      <w:r>
        <w:rPr>
          <w:rFonts w:ascii="Calibri" w:cs="Calibri" w:eastAsia="Calibri" w:hAnsi="Calibri"/>
          <w:b/>
          <w:bCs/>
          <w:color w:val="000000"/>
          <w:sz w:val="28"/>
          <w:szCs w:val="28"/>
        </w:rPr>
        <w:t xml:space="preserve">13. Validation &amp; Sign-off Approach</w:t>
      </w:r>
    </w:p>
    <w:p>
      <w:pPr>
        <w:spacing w:after="150" w:line="280"/>
        <w:jc w:val="both"/>
      </w:pPr>
      <w:r>
        <w:rPr>
          <w:rFonts w:ascii="Calibri" w:cs="Calibri" w:eastAsia="Calibri" w:hAnsi="Calibri"/>
          <w:color w:val="000000"/>
          <w:sz w:val="21"/>
          <w:szCs w:val="21"/>
        </w:rPr>
        <w:t xml:space="preserve">Because the AI Decision Layer sits on top of deterministic calculations rather than replacing them, each phase includes an explicit validation step before its output is trusted by the next phase or by end users.</w:t>
      </w:r>
    </w:p>
    <w:tbl>
      <w:tblPr>
        <w:tblW w:type="dxa" w:w="9350"/>
        <w:tblBorders>
          <w:top w:val="single" w:color="000000" w:sz="4"/>
          <w:left w:val="single" w:color="000000" w:sz="4"/>
          <w:bottom w:val="single" w:color="000000" w:sz="4"/>
          <w:right w:val="single" w:color="000000" w:sz="4"/>
          <w:insideH w:val="single" w:color="000000" w:sz="4"/>
          <w:insideV w:val="single" w:color="000000" w:sz="4"/>
        </w:tblBorders>
      </w:tblPr>
      <w:tblGrid>
        <w:gridCol w:w="2650"/>
        <w:gridCol w:w="4300"/>
        <w:gridCol w:w="2400"/>
      </w:tblGrid>
      <w:tr>
        <w:trPr>
          <w:tblHeader/>
        </w:trPr>
        <w:tc>
          <w:tcPr>
            <w:tcW w:type="dxa" w:w="2650"/>
            <w:shd w:fill="D9D9D9" w:val="clear"/>
            <w:tcMar>
              <w:top w:type="dxa" w:w="80"/>
              <w:left w:type="dxa" w:w="100"/>
              <w:bottom w:type="dxa" w:w="80"/>
              <w:right w:type="dxa" w:w="100"/>
            </w:tcMar>
          </w:tcPr>
          <w:p>
            <w:r>
              <w:rPr>
                <w:rFonts w:ascii="Calibri" w:cs="Calibri" w:eastAsia="Calibri" w:hAnsi="Calibri"/>
                <w:b/>
                <w:bCs/>
                <w:i w:val="false"/>
                <w:iCs w:val="false"/>
                <w:color w:val="000000"/>
                <w:sz w:val="18"/>
                <w:szCs w:val="18"/>
              </w:rPr>
              <w:t xml:space="preserve">Output</w:t>
            </w:r>
          </w:p>
        </w:tc>
        <w:tc>
          <w:tcPr>
            <w:tcW w:type="dxa" w:w="4300"/>
            <w:shd w:fill="D9D9D9" w:val="clear"/>
            <w:tcMar>
              <w:top w:type="dxa" w:w="80"/>
              <w:left w:type="dxa" w:w="100"/>
              <w:bottom w:type="dxa" w:w="80"/>
              <w:right w:type="dxa" w:w="100"/>
            </w:tcMar>
          </w:tcPr>
          <w:p>
            <w:r>
              <w:rPr>
                <w:rFonts w:ascii="Calibri" w:cs="Calibri" w:eastAsia="Calibri" w:hAnsi="Calibri"/>
                <w:b/>
                <w:bCs/>
                <w:i w:val="false"/>
                <w:iCs w:val="false"/>
                <w:color w:val="000000"/>
                <w:sz w:val="18"/>
                <w:szCs w:val="18"/>
              </w:rPr>
              <w:t xml:space="preserve">Validation Step</w:t>
            </w:r>
          </w:p>
        </w:tc>
        <w:tc>
          <w:tcPr>
            <w:tcW w:type="dxa" w:w="2400"/>
            <w:shd w:fill="D9D9D9" w:val="clear"/>
            <w:tcMar>
              <w:top w:type="dxa" w:w="80"/>
              <w:left w:type="dxa" w:w="100"/>
              <w:bottom w:type="dxa" w:w="80"/>
              <w:right w:type="dxa" w:w="100"/>
            </w:tcMar>
          </w:tcPr>
          <w:p>
            <w:r>
              <w:rPr>
                <w:rFonts w:ascii="Calibri" w:cs="Calibri" w:eastAsia="Calibri" w:hAnsi="Calibri"/>
                <w:b/>
                <w:bCs/>
                <w:i w:val="false"/>
                <w:iCs w:val="false"/>
                <w:color w:val="000000"/>
                <w:sz w:val="18"/>
                <w:szCs w:val="18"/>
              </w:rPr>
              <w:t xml:space="preserve">Signed Off By</w:t>
            </w:r>
          </w:p>
        </w:tc>
      </w:tr>
      <w:tr>
        <w:tc>
          <w:tcPr>
            <w:tcW w:type="dxa" w:w="2650"/>
            <w:tcMar>
              <w:top w:type="dxa" w:w="80"/>
              <w:left w:type="dxa" w:w="100"/>
              <w:bottom w:type="dxa" w:w="80"/>
              <w:right w:type="dxa" w:w="100"/>
            </w:tcMar>
          </w:tcPr>
          <w:p>
            <w:r>
              <w:rPr>
                <w:rFonts w:ascii="Calibri" w:cs="Calibri" w:eastAsia="Calibri" w:hAnsi="Calibri"/>
                <w:b/>
                <w:bCs/>
                <w:i w:val="false"/>
                <w:iCs w:val="false"/>
                <w:color w:val="000000"/>
                <w:sz w:val="18"/>
                <w:szCs w:val="18"/>
              </w:rPr>
              <w:t xml:space="preserve">OEE &amp; loss figures</w:t>
            </w:r>
          </w:p>
        </w:tc>
        <w:tc>
          <w:tcPr>
            <w:tcW w:type="dxa" w:w="4300"/>
            <w:tcMar>
              <w:top w:type="dxa" w:w="80"/>
              <w:left w:type="dxa" w:w="100"/>
              <w:bottom w:type="dxa" w:w="80"/>
              <w:right w:type="dxa" w:w="100"/>
            </w:tcMar>
          </w:tcPr>
          <w:p>
            <w:r>
              <w:rPr>
                <w:rFonts w:ascii="Calibri" w:cs="Calibri" w:eastAsia="Calibri" w:hAnsi="Calibri"/>
                <w:b w:val="false"/>
                <w:bCs w:val="false"/>
                <w:i w:val="false"/>
                <w:iCs w:val="false"/>
                <w:color w:val="000000"/>
                <w:sz w:val="18"/>
                <w:szCs w:val="18"/>
              </w:rPr>
              <w:t xml:space="preserve">Cross-checked against a manual OEE calculation for a sample period, on at least one line, before rollout.</w:t>
            </w:r>
          </w:p>
        </w:tc>
        <w:tc>
          <w:tcPr>
            <w:tcW w:type="dxa" w:w="2400"/>
            <w:tcMar>
              <w:top w:type="dxa" w:w="80"/>
              <w:left w:type="dxa" w:w="100"/>
              <w:bottom w:type="dxa" w:w="80"/>
              <w:right w:type="dxa" w:w="100"/>
            </w:tcMar>
          </w:tcPr>
          <w:p>
            <w:r>
              <w:rPr>
                <w:rFonts w:ascii="Calibri" w:cs="Calibri" w:eastAsia="Calibri" w:hAnsi="Calibri"/>
                <w:b w:val="false"/>
                <w:bCs w:val="false"/>
                <w:i w:val="false"/>
                <w:iCs w:val="false"/>
                <w:color w:val="000000"/>
                <w:sz w:val="18"/>
                <w:szCs w:val="18"/>
              </w:rPr>
              <w:t xml:space="preserve">Production Manager / CI Lead</w:t>
            </w:r>
          </w:p>
        </w:tc>
      </w:tr>
      <w:tr>
        <w:tc>
          <w:tcPr>
            <w:tcW w:type="dxa" w:w="2650"/>
            <w:tcMar>
              <w:top w:type="dxa" w:w="80"/>
              <w:left w:type="dxa" w:w="100"/>
              <w:bottom w:type="dxa" w:w="80"/>
              <w:right w:type="dxa" w:w="100"/>
            </w:tcMar>
          </w:tcPr>
          <w:p>
            <w:r>
              <w:rPr>
                <w:rFonts w:ascii="Calibri" w:cs="Calibri" w:eastAsia="Calibri" w:hAnsi="Calibri"/>
                <w:b/>
                <w:bCs/>
                <w:i w:val="false"/>
                <w:iCs w:val="false"/>
                <w:color w:val="000000"/>
                <w:sz w:val="18"/>
                <w:szCs w:val="18"/>
              </w:rPr>
              <w:t xml:space="preserve">Loss driver ranking</w:t>
            </w:r>
          </w:p>
        </w:tc>
        <w:tc>
          <w:tcPr>
            <w:tcW w:type="dxa" w:w="4300"/>
            <w:tcMar>
              <w:top w:type="dxa" w:w="80"/>
              <w:left w:type="dxa" w:w="100"/>
              <w:bottom w:type="dxa" w:w="80"/>
              <w:right w:type="dxa" w:w="100"/>
            </w:tcMar>
          </w:tcPr>
          <w:p>
            <w:r>
              <w:rPr>
                <w:rFonts w:ascii="Calibri" w:cs="Calibri" w:eastAsia="Calibri" w:hAnsi="Calibri"/>
                <w:b w:val="false"/>
                <w:bCs w:val="false"/>
                <w:i w:val="false"/>
                <w:iCs w:val="false"/>
                <w:color w:val="000000"/>
                <w:sz w:val="18"/>
                <w:szCs w:val="18"/>
              </w:rPr>
              <w:t xml:space="preserve">Reviewed against known recurring issues to confirm the ranking matches floor experience.</w:t>
            </w:r>
          </w:p>
        </w:tc>
        <w:tc>
          <w:tcPr>
            <w:tcW w:type="dxa" w:w="2400"/>
            <w:tcMar>
              <w:top w:type="dxa" w:w="80"/>
              <w:left w:type="dxa" w:w="100"/>
              <w:bottom w:type="dxa" w:w="80"/>
              <w:right w:type="dxa" w:w="100"/>
            </w:tcMar>
          </w:tcPr>
          <w:p>
            <w:r>
              <w:rPr>
                <w:rFonts w:ascii="Calibri" w:cs="Calibri" w:eastAsia="Calibri" w:hAnsi="Calibri"/>
                <w:b w:val="false"/>
                <w:bCs w:val="false"/>
                <w:i w:val="false"/>
                <w:iCs w:val="false"/>
                <w:color w:val="000000"/>
                <w:sz w:val="18"/>
                <w:szCs w:val="18"/>
              </w:rPr>
              <w:t xml:space="preserve">Continuous Improvement Lead</w:t>
            </w:r>
          </w:p>
        </w:tc>
      </w:tr>
      <w:tr>
        <w:tc>
          <w:tcPr>
            <w:tcW w:type="dxa" w:w="2650"/>
            <w:tcMar>
              <w:top w:type="dxa" w:w="80"/>
              <w:left w:type="dxa" w:w="100"/>
              <w:bottom w:type="dxa" w:w="80"/>
              <w:right w:type="dxa" w:w="100"/>
            </w:tcMar>
          </w:tcPr>
          <w:p>
            <w:r>
              <w:rPr>
                <w:rFonts w:ascii="Calibri" w:cs="Calibri" w:eastAsia="Calibri" w:hAnsi="Calibri"/>
                <w:b/>
                <w:bCs/>
                <w:i w:val="false"/>
                <w:iCs w:val="false"/>
                <w:color w:val="000000"/>
                <w:sz w:val="18"/>
                <w:szCs w:val="18"/>
              </w:rPr>
              <w:t xml:space="preserve">AI-generated root causes</w:t>
            </w:r>
          </w:p>
        </w:tc>
        <w:tc>
          <w:tcPr>
            <w:tcW w:type="dxa" w:w="4300"/>
            <w:tcMar>
              <w:top w:type="dxa" w:w="80"/>
              <w:left w:type="dxa" w:w="100"/>
              <w:bottom w:type="dxa" w:w="80"/>
              <w:right w:type="dxa" w:w="100"/>
            </w:tcMar>
          </w:tcPr>
          <w:p>
            <w:r>
              <w:rPr>
                <w:rFonts w:ascii="Calibri" w:cs="Calibri" w:eastAsia="Calibri" w:hAnsi="Calibri"/>
                <w:b w:val="false"/>
                <w:bCs w:val="false"/>
                <w:i w:val="false"/>
                <w:iCs w:val="false"/>
                <w:color w:val="000000"/>
                <w:sz w:val="18"/>
                <w:szCs w:val="18"/>
              </w:rPr>
              <w:t xml:space="preserve">Signed off by a plant subject-matter expert before a recommendation is marked as evidence-backed.</w:t>
            </w:r>
          </w:p>
        </w:tc>
        <w:tc>
          <w:tcPr>
            <w:tcW w:type="dxa" w:w="2400"/>
            <w:tcMar>
              <w:top w:type="dxa" w:w="80"/>
              <w:left w:type="dxa" w:w="100"/>
              <w:bottom w:type="dxa" w:w="80"/>
              <w:right w:type="dxa" w:w="100"/>
            </w:tcMar>
          </w:tcPr>
          <w:p>
            <w:r>
              <w:rPr>
                <w:rFonts w:ascii="Calibri" w:cs="Calibri" w:eastAsia="Calibri" w:hAnsi="Calibri"/>
                <w:b w:val="false"/>
                <w:bCs w:val="false"/>
                <w:i w:val="false"/>
                <w:iCs w:val="false"/>
                <w:color w:val="000000"/>
                <w:sz w:val="18"/>
                <w:szCs w:val="18"/>
              </w:rPr>
              <w:t xml:space="preserve">Plant Manager / SME</w:t>
            </w:r>
          </w:p>
        </w:tc>
      </w:tr>
      <w:tr>
        <w:tc>
          <w:tcPr>
            <w:tcW w:type="dxa" w:w="2650"/>
            <w:tcMar>
              <w:top w:type="dxa" w:w="80"/>
              <w:left w:type="dxa" w:w="100"/>
              <w:bottom w:type="dxa" w:w="80"/>
              <w:right w:type="dxa" w:w="100"/>
            </w:tcMar>
          </w:tcPr>
          <w:p>
            <w:r>
              <w:rPr>
                <w:rFonts w:ascii="Calibri" w:cs="Calibri" w:eastAsia="Calibri" w:hAnsi="Calibri"/>
                <w:b/>
                <w:bCs/>
                <w:i w:val="false"/>
                <w:iCs w:val="false"/>
                <w:color w:val="000000"/>
                <w:sz w:val="18"/>
                <w:szCs w:val="18"/>
              </w:rPr>
              <w:t xml:space="preserve">Scenario simulation outputs</w:t>
            </w:r>
          </w:p>
        </w:tc>
        <w:tc>
          <w:tcPr>
            <w:tcW w:type="dxa" w:w="4300"/>
            <w:tcMar>
              <w:top w:type="dxa" w:w="80"/>
              <w:left w:type="dxa" w:w="100"/>
              <w:bottom w:type="dxa" w:w="80"/>
              <w:right w:type="dxa" w:w="100"/>
            </w:tcMar>
          </w:tcPr>
          <w:p>
            <w:r>
              <w:rPr>
                <w:rFonts w:ascii="Calibri" w:cs="Calibri" w:eastAsia="Calibri" w:hAnsi="Calibri"/>
                <w:b w:val="false"/>
                <w:bCs w:val="false"/>
                <w:i w:val="false"/>
                <w:iCs w:val="false"/>
                <w:color w:val="000000"/>
                <w:sz w:val="18"/>
                <w:szCs w:val="18"/>
              </w:rPr>
              <w:t xml:space="preserve">Compared against at least one completed real-world change to confirm projected vs. actual benefit.</w:t>
            </w:r>
          </w:p>
        </w:tc>
        <w:tc>
          <w:tcPr>
            <w:tcW w:type="dxa" w:w="2400"/>
            <w:tcMar>
              <w:top w:type="dxa" w:w="80"/>
              <w:left w:type="dxa" w:w="100"/>
              <w:bottom w:type="dxa" w:w="80"/>
              <w:right w:type="dxa" w:w="100"/>
            </w:tcMar>
          </w:tcPr>
          <w:p>
            <w:r>
              <w:rPr>
                <w:rFonts w:ascii="Calibri" w:cs="Calibri" w:eastAsia="Calibri" w:hAnsi="Calibri"/>
                <w:b w:val="false"/>
                <w:bCs w:val="false"/>
                <w:i w:val="false"/>
                <w:iCs w:val="false"/>
                <w:color w:val="000000"/>
                <w:sz w:val="18"/>
                <w:szCs w:val="18"/>
              </w:rPr>
              <w:t xml:space="preserve">Operations Excellence Manager</w:t>
            </w:r>
          </w:p>
        </w:tc>
      </w:tr>
      <w:tr>
        <w:tc>
          <w:tcPr>
            <w:tcW w:type="dxa" w:w="2650"/>
            <w:tcMar>
              <w:top w:type="dxa" w:w="80"/>
              <w:left w:type="dxa" w:w="100"/>
              <w:bottom w:type="dxa" w:w="80"/>
              <w:right w:type="dxa" w:w="100"/>
            </w:tcMar>
          </w:tcPr>
          <w:p>
            <w:r>
              <w:rPr>
                <w:rFonts w:ascii="Calibri" w:cs="Calibri" w:eastAsia="Calibri" w:hAnsi="Calibri"/>
                <w:b/>
                <w:bCs/>
                <w:i w:val="false"/>
                <w:iCs w:val="false"/>
                <w:color w:val="000000"/>
                <w:sz w:val="18"/>
                <w:szCs w:val="18"/>
              </w:rPr>
              <w:t xml:space="preserve">Management-ready summary</w:t>
            </w:r>
          </w:p>
        </w:tc>
        <w:tc>
          <w:tcPr>
            <w:tcW w:type="dxa" w:w="4300"/>
            <w:tcMar>
              <w:top w:type="dxa" w:w="80"/>
              <w:left w:type="dxa" w:w="100"/>
              <w:bottom w:type="dxa" w:w="80"/>
              <w:right w:type="dxa" w:w="100"/>
            </w:tcMar>
          </w:tcPr>
          <w:p>
            <w:r>
              <w:rPr>
                <w:rFonts w:ascii="Calibri" w:cs="Calibri" w:eastAsia="Calibri" w:hAnsi="Calibri"/>
                <w:b w:val="false"/>
                <w:bCs w:val="false"/>
                <w:i w:val="false"/>
                <w:iCs w:val="false"/>
                <w:color w:val="000000"/>
                <w:sz w:val="18"/>
                <w:szCs w:val="18"/>
              </w:rPr>
              <w:t xml:space="preserve">Reviewed for accuracy and clarity by a Plant Manager before it replaces the existing reporting format.</w:t>
            </w:r>
          </w:p>
        </w:tc>
        <w:tc>
          <w:tcPr>
            <w:tcW w:type="dxa" w:w="2400"/>
            <w:tcMar>
              <w:top w:type="dxa" w:w="80"/>
              <w:left w:type="dxa" w:w="100"/>
              <w:bottom w:type="dxa" w:w="80"/>
              <w:right w:type="dxa" w:w="100"/>
            </w:tcMar>
          </w:tcPr>
          <w:p>
            <w:r>
              <w:rPr>
                <w:rFonts w:ascii="Calibri" w:cs="Calibri" w:eastAsia="Calibri" w:hAnsi="Calibri"/>
                <w:b w:val="false"/>
                <w:bCs w:val="false"/>
                <w:i w:val="false"/>
                <w:iCs w:val="false"/>
                <w:color w:val="000000"/>
                <w:sz w:val="18"/>
                <w:szCs w:val="18"/>
              </w:rPr>
              <w:t xml:space="preserve">Plant Manager</w:t>
            </w:r>
          </w:p>
        </w:tc>
      </w:tr>
    </w:tbl>
    <w:p>
      <w:pPr>
        <w:spacing w:after="140"/>
      </w:pPr>
    </w:p>
    <w:p>
      <w:pPr>
        <w:pStyle w:val="Heading1"/>
        <w:pBdr>
          <w:bottom w:val="single" w:color="000000" w:sz="6" w:space="4"/>
        </w:pBdr>
        <w:spacing w:after="130" w:before="300"/>
      </w:pPr>
      <w:r>
        <w:rPr>
          <w:rFonts w:ascii="Calibri" w:cs="Calibri" w:eastAsia="Calibri" w:hAnsi="Calibri"/>
          <w:b/>
          <w:bCs/>
          <w:color w:val="000000"/>
          <w:sz w:val="28"/>
          <w:szCs w:val="28"/>
        </w:rPr>
        <w:t xml:space="preserve">14. Assumptions &amp; Dependencies</w:t>
      </w:r>
    </w:p>
    <w:p>
      <w:pPr>
        <w:pStyle w:val="ListParagraph"/>
        <w:numPr>
          <w:ilvl w:val="0"/>
          <w:numId w:val="3"/>
        </w:numPr>
        <w:spacing w:after="80"/>
      </w:pPr>
      <w:r>
        <w:rPr>
          <w:rFonts w:ascii="Calibri" w:cs="Calibri" w:eastAsia="Calibri" w:hAnsi="Calibri"/>
          <w:color w:val="000000"/>
          <w:sz w:val="21"/>
          <w:szCs w:val="21"/>
        </w:rPr>
        <w:t xml:space="preserve">Validated production data (machine logs, downtime codes, scrap and quality records) is accessible for analysis.</w:t>
      </w:r>
    </w:p>
    <w:p>
      <w:pPr>
        <w:pStyle w:val="ListParagraph"/>
        <w:numPr>
          <w:ilvl w:val="0"/>
          <w:numId w:val="3"/>
        </w:numPr>
        <w:spacing w:after="80"/>
      </w:pPr>
      <w:r>
        <w:rPr>
          <w:rFonts w:ascii="Calibri" w:cs="Calibri" w:eastAsia="Calibri" w:hAnsi="Calibri"/>
          <w:color w:val="000000"/>
          <w:sz w:val="21"/>
          <w:szCs w:val="21"/>
        </w:rPr>
        <w:t xml:space="preserve">Sufficient historical data exists to calibrate baseline OEE and loss-driver benchmarks across lines.</w:t>
      </w:r>
    </w:p>
    <w:p>
      <w:pPr>
        <w:pStyle w:val="ListParagraph"/>
        <w:numPr>
          <w:ilvl w:val="0"/>
          <w:numId w:val="3"/>
        </w:numPr>
        <w:spacing w:after="80"/>
      </w:pPr>
      <w:r>
        <w:rPr>
          <w:rFonts w:ascii="Calibri" w:cs="Calibri" w:eastAsia="Calibri" w:hAnsi="Calibri"/>
          <w:color w:val="000000"/>
          <w:sz w:val="21"/>
          <w:szCs w:val="21"/>
        </w:rPr>
        <w:t xml:space="preserve">Plant subject-matter experts are available to validate AI-suggested root causes during early phases.</w:t>
      </w:r>
    </w:p>
    <w:p>
      <w:pPr>
        <w:pStyle w:val="ListParagraph"/>
        <w:numPr>
          <w:ilvl w:val="0"/>
          <w:numId w:val="3"/>
        </w:numPr>
        <w:spacing w:after="80"/>
      </w:pPr>
      <w:r>
        <w:rPr>
          <w:rFonts w:ascii="Calibri" w:cs="Calibri" w:eastAsia="Calibri" w:hAnsi="Calibri"/>
          <w:color w:val="000000"/>
          <w:sz w:val="21"/>
          <w:szCs w:val="21"/>
        </w:rPr>
        <w:t xml:space="preserve">Underlying AI/LLM infrastructure and compute are provisioned ahead of the AI Decision Layer build.</w:t>
      </w:r>
    </w:p>
    <w:p>
      <w:pPr>
        <w:pStyle w:val="ListParagraph"/>
        <w:numPr>
          <w:ilvl w:val="0"/>
          <w:numId w:val="3"/>
        </w:numPr>
        <w:spacing w:after="80"/>
      </w:pPr>
      <w:r>
        <w:rPr>
          <w:rFonts w:ascii="Calibri" w:cs="Calibri" w:eastAsia="Calibri" w:hAnsi="Calibri"/>
          <w:color w:val="000000"/>
          <w:sz w:val="21"/>
          <w:szCs w:val="21"/>
        </w:rPr>
        <w:t xml:space="preserve">Stakeholders (Plant Manager, Operations Excellence Manager, Production Manager, Continuous Improvement Lead) are available for periodic review and feedback cycles.</w:t>
      </w:r>
    </w:p>
    <w:p>
      <w:pPr>
        <w:pStyle w:val="ListParagraph"/>
        <w:numPr>
          <w:ilvl w:val="0"/>
          <w:numId w:val="3"/>
        </w:numPr>
        <w:spacing w:after="80"/>
      </w:pPr>
      <w:r>
        <w:rPr>
          <w:rFonts w:ascii="Calibri" w:cs="Calibri" w:eastAsia="Calibri" w:hAnsi="Calibri"/>
          <w:color w:val="000000"/>
          <w:sz w:val="21"/>
          <w:szCs w:val="21"/>
        </w:rPr>
        <w:t xml:space="preserve">Line comparison benchmarks are agreed with Production Managers before being used to judge line performance.</w:t>
      </w:r>
    </w:p>
    <w:p>
      <w:pPr>
        <w:pStyle w:val="Heading1"/>
        <w:pBdr>
          <w:bottom w:val="single" w:color="000000" w:sz="6" w:space="4"/>
        </w:pBdr>
        <w:spacing w:after="130" w:before="300"/>
      </w:pPr>
      <w:r>
        <w:rPr>
          <w:rFonts w:ascii="Calibri" w:cs="Calibri" w:eastAsia="Calibri" w:hAnsi="Calibri"/>
          <w:b/>
          <w:bCs/>
          <w:color w:val="000000"/>
          <w:sz w:val="28"/>
          <w:szCs w:val="28"/>
        </w:rPr>
        <w:t xml:space="preserve">15. Conclusion</w:t>
      </w:r>
    </w:p>
    <w:p>
      <w:pPr>
        <w:spacing w:after="150" w:line="280"/>
        <w:jc w:val="both"/>
      </w:pPr>
      <w:r>
        <w:rPr>
          <w:rFonts w:ascii="Calibri" w:cs="Calibri" w:eastAsia="Calibri" w:hAnsi="Calibri"/>
          <w:color w:val="000000"/>
          <w:sz w:val="21"/>
          <w:szCs w:val="21"/>
        </w:rPr>
        <w:t xml:space="preserve">This approach takes the original requirement brief for the OEE Loss Analysis &amp; Improvement Agent — its target users, sub-tasks, and success criteria — and carries every element of it through to a phased build methodology, without substituting a generic analytics platform in its place. A deterministic, auditable analytics foundation is established first, with AI-assisted recommendations, scenario simulation, and management-ready reporting layered on top of it, so that the platform remains explainable and directly accountable to the requirements it was scoped against.</w:t>
      </w:r>
    </w:p>
    <w:sectPr>
      <w:pgSz w:w="12240" w:h="15840" w:orient="portrait"/>
      <w:pgMar w:top="1350" w:right="1440" w:bottom="135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59"/>
      </w:pPr>
    </w:lvl>
  </w:abstractNum>
  <w:abstractNum w:abstractNumId="3" w15:restartNumberingAfterBreak="0">
    <w:multiLevelType w:val="hybridMultilevel"/>
    <w:lvl w:ilvl="0" w15:tentative="1">
      <w:start w:val="1"/>
      <w:numFmt w:val="bullet"/>
      <w:lvlText w:val="•"/>
      <w:lvlJc w:val="left"/>
      <w:pPr>
        <w:ind w:left="288" w:hanging="215"/>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2026-07-27T04:34:57.883Z</dcterms:created>
  <dcterms:modified xsi:type="dcterms:W3CDTF">2026-07-27T04:34:57.883Z</dcterms:modified>
</cp:coreProperties>
</file>

<file path=docProps/custom.xml><?xml version="1.0" encoding="utf-8"?>
<Properties xmlns="http://schemas.openxmlformats.org/officeDocument/2006/custom-properties" xmlns:vt="http://schemas.openxmlformats.org/officeDocument/2006/docPropsVTypes"/>
</file>