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rFonts w:ascii="Aptos Display" w:hAnsi="Aptos Display"/>
          <w:b/>
          <w:sz w:val="60"/>
        </w:rPr>
        <w:t>E-COMMERCE SALES</w:t>
        <w:br/>
        <w:t>&amp; CUSTOMER ANALYTICS</w:t>
      </w:r>
    </w:p>
    <w:p>
      <w:pPr>
        <w:spacing w:before="240"/>
        <w:jc w:val="center"/>
      </w:pPr>
      <w:r>
        <w:rPr>
          <w:rFonts w:ascii="Aptos" w:hAnsi="Aptos"/>
          <w:sz w:val="30"/>
        </w:rPr>
        <w:t>Data Cleaning • Exploratory Analysis • SQL • Power BI</w:t>
      </w:r>
    </w:p>
    <w:p>
      <w:pPr>
        <w:spacing w:before="1100"/>
        <w:jc w:val="center"/>
      </w:pPr>
      <w:r>
        <w:rPr>
          <w:b/>
          <w:sz w:val="36"/>
        </w:rPr>
        <w:t>Project Report</w:t>
      </w:r>
    </w:p>
    <w:p>
      <w:pPr>
        <w:jc w:val="center"/>
      </w:pPr>
      <w:r>
        <w:rPr>
          <w:sz w:val="20"/>
        </w:rPr>
        <w:t>Prepared from the supplied e-commerce dataset and project workflow</w:t>
      </w:r>
    </w:p>
    <w:p>
      <w:r>
        <w:br w:type="page"/>
      </w:r>
    </w:p>
    <w:p>
      <w:pPr>
        <w:pStyle w:val="Heading1"/>
        <w:spacing w:before="80" w:after="120"/>
      </w:pPr>
      <w:r>
        <w:t>1. Executive Summary</w:t>
      </w:r>
    </w:p>
    <w:p>
      <w:pPr>
        <w:pStyle w:val="BodyText"/>
        <w:spacing w:after="100" w:line="259" w:lineRule="auto"/>
      </w:pPr>
      <w:r>
        <w:t>This project develops an end-to-end e-commerce analytics workflow. The source data was inspected and cleaned with Python/Pandas, prepared for relational analysis in MySQL, queried using SQL, and presented through an interactive Power BI dashboard. The objective is to turn raw order-level data into clear business insights on sales, products, categories, locations, payment methods, and order status.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vAlign w:val="center"/>
            <w:shd w:fill="EAF2F8"/>
          </w:tcPr>
          <w:p>
            <w:pPr>
              <w:jc w:val="left"/>
            </w:pPr>
            <w:r/>
            <w:r>
              <w:rPr>
                <w:rFonts w:ascii="Aptos" w:hAnsi="Aptos"/>
                <w:b/>
                <w:sz w:val="16"/>
              </w:rPr>
              <w:t>Final analysis rows</w:t>
            </w:r>
          </w:p>
        </w:tc>
        <w:tc>
          <w:tcPr>
            <w:tcW w:type="dxa" w:w="2520"/>
            <w:vAlign w:val="center"/>
            <w:shd w:fill="EAF2F8"/>
          </w:tcPr>
          <w:p>
            <w:pPr>
              <w:jc w:val="left"/>
            </w:pPr>
            <w:r/>
            <w:r>
              <w:rPr>
                <w:rFonts w:ascii="Aptos" w:hAnsi="Aptos"/>
                <w:b/>
                <w:sz w:val="16"/>
              </w:rPr>
              <w:t>Total sales</w:t>
            </w:r>
          </w:p>
        </w:tc>
        <w:tc>
          <w:tcPr>
            <w:tcW w:type="dxa" w:w="2520"/>
            <w:vAlign w:val="center"/>
            <w:shd w:fill="EAF2F8"/>
          </w:tcPr>
          <w:p>
            <w:pPr>
              <w:jc w:val="left"/>
            </w:pPr>
            <w:r/>
            <w:r>
              <w:rPr>
                <w:rFonts w:ascii="Aptos" w:hAnsi="Aptos"/>
                <w:b/>
                <w:sz w:val="16"/>
              </w:rPr>
              <w:t>Net amount</w:t>
            </w:r>
          </w:p>
        </w:tc>
        <w:tc>
          <w:tcPr>
            <w:tcW w:type="dxa" w:w="2520"/>
            <w:vAlign w:val="center"/>
            <w:shd w:fill="EAF2F8"/>
          </w:tcPr>
          <w:p>
            <w:pPr>
              <w:jc w:val="left"/>
            </w:pPr>
            <w:r/>
            <w:r>
              <w:rPr>
                <w:rFonts w:ascii="Aptos" w:hAnsi="Aptos"/>
                <w:b/>
                <w:sz w:val="16"/>
              </w:rPr>
              <w:t>Estimated profit*</w:t>
            </w:r>
          </w:p>
        </w:tc>
      </w:tr>
      <w:tr>
        <w:tc>
          <w:tcPr>
            <w:tcW w:type="dxa" w:w="2520"/>
            <w:vAlign w:val="center"/>
          </w:tcPr>
          <w:p>
            <w:pPr>
              <w:jc w:val="left"/>
            </w:pPr>
            <w:r/>
            <w:r>
              <w:rPr>
                <w:rFonts w:ascii="Aptos" w:hAnsi="Aptos"/>
                <w:b/>
                <w:sz w:val="28"/>
              </w:rPr>
              <w:t>343</w:t>
            </w:r>
          </w:p>
        </w:tc>
        <w:tc>
          <w:tcPr>
            <w:tcW w:type="dxa" w:w="2520"/>
            <w:vAlign w:val="center"/>
          </w:tcPr>
          <w:p>
            <w:pPr>
              <w:jc w:val="left"/>
            </w:pPr>
            <w:r/>
            <w:r>
              <w:rPr>
                <w:rFonts w:ascii="Aptos" w:hAnsi="Aptos"/>
                <w:b/>
                <w:sz w:val="28"/>
              </w:rPr>
              <w:t>₹3,808,557</w:t>
            </w:r>
          </w:p>
        </w:tc>
        <w:tc>
          <w:tcPr>
            <w:tcW w:type="dxa" w:w="2520"/>
            <w:vAlign w:val="center"/>
          </w:tcPr>
          <w:p>
            <w:pPr>
              <w:jc w:val="left"/>
            </w:pPr>
            <w:r/>
            <w:r>
              <w:rPr>
                <w:rFonts w:ascii="Aptos" w:hAnsi="Aptos"/>
                <w:b/>
                <w:sz w:val="28"/>
              </w:rPr>
              <w:t>₹3,515,432</w:t>
            </w:r>
          </w:p>
        </w:tc>
        <w:tc>
          <w:tcPr>
            <w:tcW w:type="dxa" w:w="2520"/>
            <w:vAlign w:val="center"/>
          </w:tcPr>
          <w:p>
            <w:pPr>
              <w:jc w:val="left"/>
            </w:pPr>
            <w:r/>
            <w:r>
              <w:rPr>
                <w:rFonts w:ascii="Aptos" w:hAnsi="Aptos"/>
                <w:b/>
                <w:sz w:val="28"/>
              </w:rPr>
              <w:t>₹703,086</w:t>
            </w:r>
          </w:p>
        </w:tc>
      </w:tr>
      <w:tr>
        <w:tc>
          <w:tcPr>
            <w:tcW w:type="dxa" w:w="2520"/>
            <w:vAlign w:val="center"/>
            <w:shd w:fill="EAF2F8"/>
          </w:tcPr>
          <w:p>
            <w:pPr>
              <w:jc w:val="left"/>
            </w:pPr>
            <w:r/>
            <w:r>
              <w:rPr>
                <w:rFonts w:ascii="Aptos" w:hAnsi="Aptos"/>
                <w:b/>
                <w:sz w:val="16"/>
              </w:rPr>
              <w:t>Total quantity</w:t>
            </w:r>
          </w:p>
        </w:tc>
        <w:tc>
          <w:tcPr>
            <w:tcW w:type="dxa" w:w="2520"/>
            <w:vAlign w:val="center"/>
            <w:shd w:fill="EAF2F8"/>
          </w:tcPr>
          <w:p>
            <w:pPr>
              <w:jc w:val="left"/>
            </w:pPr>
            <w:r/>
            <w:r>
              <w:rPr>
                <w:rFonts w:ascii="Aptos" w:hAnsi="Aptos"/>
                <w:b/>
                <w:sz w:val="16"/>
              </w:rPr>
              <w:t>Unique orders</w:t>
            </w:r>
          </w:p>
        </w:tc>
        <w:tc>
          <w:tcPr>
            <w:tcW w:type="dxa" w:w="2520"/>
            <w:vAlign w:val="center"/>
            <w:shd w:fill="EAF2F8"/>
          </w:tcPr>
          <w:p>
            <w:pPr>
              <w:jc w:val="left"/>
            </w:pPr>
            <w:r/>
            <w:r>
              <w:rPr>
                <w:rFonts w:ascii="Aptos" w:hAnsi="Aptos"/>
                <w:b/>
                <w:sz w:val="16"/>
              </w:rPr>
              <w:t>Customers</w:t>
            </w:r>
          </w:p>
        </w:tc>
        <w:tc>
          <w:tcPr>
            <w:tcW w:type="dxa" w:w="2520"/>
            <w:vAlign w:val="center"/>
            <w:shd w:fill="EAF2F8"/>
          </w:tcPr>
          <w:p>
            <w:pPr>
              <w:jc w:val="left"/>
            </w:pPr>
            <w:r/>
            <w:r>
              <w:rPr>
                <w:rFonts w:ascii="Aptos" w:hAnsi="Aptos"/>
                <w:b/>
                <w:sz w:val="16"/>
              </w:rPr>
              <w:t>Avg. order record value</w:t>
            </w:r>
          </w:p>
        </w:tc>
      </w:tr>
      <w:tr>
        <w:tc>
          <w:tcPr>
            <w:tcW w:type="dxa" w:w="2520"/>
            <w:vAlign w:val="center"/>
          </w:tcPr>
          <w:p>
            <w:pPr>
              <w:jc w:val="left"/>
            </w:pPr>
            <w:r/>
            <w:r>
              <w:rPr>
                <w:rFonts w:ascii="Aptos" w:hAnsi="Aptos"/>
                <w:b/>
                <w:sz w:val="28"/>
              </w:rPr>
              <w:t>1,143</w:t>
            </w:r>
          </w:p>
        </w:tc>
        <w:tc>
          <w:tcPr>
            <w:tcW w:type="dxa" w:w="2520"/>
            <w:vAlign w:val="center"/>
          </w:tcPr>
          <w:p>
            <w:pPr>
              <w:jc w:val="left"/>
            </w:pPr>
            <w:r/>
            <w:r>
              <w:rPr>
                <w:rFonts w:ascii="Aptos" w:hAnsi="Aptos"/>
                <w:b/>
                <w:sz w:val="28"/>
              </w:rPr>
              <w:t>343</w:t>
            </w:r>
          </w:p>
        </w:tc>
        <w:tc>
          <w:tcPr>
            <w:tcW w:type="dxa" w:w="2520"/>
            <w:vAlign w:val="center"/>
          </w:tcPr>
          <w:p>
            <w:pPr>
              <w:jc w:val="left"/>
            </w:pPr>
            <w:r/>
            <w:r>
              <w:rPr>
                <w:rFonts w:ascii="Aptos" w:hAnsi="Aptos"/>
                <w:b/>
                <w:sz w:val="28"/>
              </w:rPr>
              <w:t>7</w:t>
            </w:r>
          </w:p>
        </w:tc>
        <w:tc>
          <w:tcPr>
            <w:tcW w:type="dxa" w:w="2520"/>
            <w:vAlign w:val="center"/>
          </w:tcPr>
          <w:p>
            <w:pPr>
              <w:jc w:val="left"/>
            </w:pPr>
            <w:r/>
            <w:r>
              <w:rPr>
                <w:rFonts w:ascii="Aptos" w:hAnsi="Aptos"/>
                <w:b/>
                <w:sz w:val="28"/>
              </w:rPr>
              <w:t>₹11,104</w:t>
            </w:r>
          </w:p>
        </w:tc>
      </w:tr>
    </w:tbl>
    <w:p/>
    <w:p>
      <w:pPr>
        <w:pStyle w:val="BodyText"/>
        <w:spacing w:after="100" w:line="259" w:lineRule="auto"/>
      </w:pPr>
      <w:r>
        <w:t>*Profit is an illustrative project calculation using the 20% margin defined in the notebook; it should not be interpreted as audited business profit.</w:t>
      </w:r>
    </w:p>
    <w:p>
      <w:pPr>
        <w:pStyle w:val="Heading2"/>
        <w:spacing w:before="80" w:after="120"/>
      </w:pPr>
      <w:r>
        <w:t>Headline Findings</w:t>
      </w:r>
    </w:p>
    <w:p>
      <w:pPr>
        <w:pStyle w:val="ListBullet"/>
        <w:spacing w:after="60"/>
      </w:pPr>
      <w:r>
        <w:t>Electronics is the largest category with ₹1,411,589 in sales, representing 37.1% of total sales.</w:t>
      </w:r>
    </w:p>
    <w:p>
      <w:pPr>
        <w:pStyle w:val="ListBullet"/>
        <w:spacing w:after="60"/>
      </w:pPr>
      <w:r>
        <w:t>Laptop is the top product by sales at ₹729,099.</w:t>
      </w:r>
    </w:p>
    <w:p>
      <w:pPr>
        <w:pStyle w:val="ListBullet"/>
        <w:spacing w:after="60"/>
      </w:pPr>
      <w:r>
        <w:t>Pune is the leading city by sales at ₹894,272, followed closely by Bengaluru.</w:t>
      </w:r>
    </w:p>
    <w:p>
      <w:pPr>
        <w:pStyle w:val="ListBullet"/>
        <w:spacing w:after="60"/>
      </w:pPr>
      <w:r>
        <w:t>May is the strongest month at ₹875,578; March is the weakest among the six months shown.</w:t>
      </w:r>
    </w:p>
    <w:p>
      <w:pPr>
        <w:pStyle w:val="ListBullet"/>
        <w:spacing w:after="60"/>
      </w:pPr>
      <w:r>
        <w:t>Wallet has the highest number of orders (80); COD is also a major payment channel.</w:t>
      </w:r>
    </w:p>
    <w:p>
      <w:pPr>
        <w:pStyle w:val="ListBullet"/>
        <w:spacing w:after="60"/>
      </w:pPr>
      <w:r>
        <w:t>Returned orders are the largest status group in the cleaned analysis dataset (90 records), highlighting a key operational area for improvement.</w:t>
      </w:r>
    </w:p>
    <w:p>
      <w:r>
        <w:br w:type="page"/>
      </w:r>
    </w:p>
    <w:p>
      <w:pPr>
        <w:pStyle w:val="Heading1"/>
        <w:spacing w:before="80" w:after="120"/>
      </w:pPr>
      <w:r>
        <w:t>2. Data Overview &amp; Business Objective</w:t>
      </w:r>
    </w:p>
    <w:p>
      <w:pPr>
        <w:pStyle w:val="BodyText"/>
        <w:spacing w:after="100" w:line="259" w:lineRule="auto"/>
      </w:pPr>
      <w:r>
        <w:t>The original working dataset contained 414 records and 15 columns. The notebook identifies fields covering order details, customer information, geography, products, pricing, discounts, payment mode, order status, and delivery dates. After applying the documented cleaning rules, the analysis frame contains 343 records and 22 columns after feature engineering.</w:t>
      </w:r>
    </w:p>
    <w:p>
      <w:pPr>
        <w:pStyle w:val="Heading2"/>
        <w:spacing w:before="80" w:after="120"/>
      </w:pPr>
      <w:r>
        <w:t>Business Questions</w:t>
      </w:r>
    </w:p>
    <w:p>
      <w:pPr>
        <w:pStyle w:val="ListBullet"/>
        <w:spacing w:after="60"/>
      </w:pPr>
      <w:r>
        <w:t>How much sales value is generated across the order dataset?</w:t>
      </w:r>
    </w:p>
    <w:p>
      <w:pPr>
        <w:pStyle w:val="ListBullet"/>
        <w:spacing w:after="60"/>
      </w:pPr>
      <w:r>
        <w:t>Which products and categories contribute the most sales?</w:t>
      </w:r>
    </w:p>
    <w:p>
      <w:pPr>
        <w:pStyle w:val="ListBullet"/>
        <w:spacing w:after="60"/>
      </w:pPr>
      <w:r>
        <w:t>Which cities are the strongest markets?</w:t>
      </w:r>
    </w:p>
    <w:p>
      <w:pPr>
        <w:pStyle w:val="ListBullet"/>
        <w:spacing w:after="60"/>
      </w:pPr>
      <w:r>
        <w:t>How does sales performance change month by month?</w:t>
      </w:r>
    </w:p>
    <w:p>
      <w:pPr>
        <w:pStyle w:val="ListBullet"/>
        <w:spacing w:after="60"/>
      </w:pPr>
      <w:r>
        <w:t>Which payment modes are most frequently used?</w:t>
      </w:r>
    </w:p>
    <w:p>
      <w:pPr>
        <w:pStyle w:val="ListBullet"/>
        <w:spacing w:after="60"/>
      </w:pPr>
      <w:r>
        <w:t>How are orders distributed across Delivered, Pending, Returned, and Cancelled statuses?</w:t>
      </w:r>
    </w:p>
    <w:p>
      <w:pPr>
        <w:pStyle w:val="Heading2"/>
        <w:spacing w:before="80" w:after="120"/>
      </w:pPr>
      <w:r>
        <w:t>Key Dataset Fields</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jc w:val="left"/>
            </w:pPr>
            <w:r/>
            <w:r>
              <w:rPr>
                <w:rFonts w:ascii="Aptos" w:hAnsi="Aptos"/>
                <w:b/>
                <w:sz w:val="18"/>
              </w:rPr>
              <w:t>Field</w:t>
            </w:r>
          </w:p>
        </w:tc>
        <w:tc>
          <w:tcPr>
            <w:tcW w:type="dxa" w:w="6624"/>
            <w:vAlign w:val="center"/>
            <w:shd w:fill="D9EAF7"/>
          </w:tcPr>
          <w:p>
            <w:pPr>
              <w:jc w:val="left"/>
            </w:pPr>
            <w:r/>
            <w:r>
              <w:rPr>
                <w:rFonts w:ascii="Aptos" w:hAnsi="Aptos"/>
                <w:b/>
                <w:sz w:val="18"/>
              </w:rPr>
              <w:t>Purpose</w:t>
            </w:r>
          </w:p>
        </w:tc>
      </w:tr>
      <w:tr>
        <w:tc>
          <w:tcPr>
            <w:tcW w:type="dxa" w:w="2880"/>
            <w:vAlign w:val="center"/>
          </w:tcPr>
          <w:p>
            <w:pPr>
              <w:jc w:val="left"/>
            </w:pPr>
            <w:r/>
            <w:r>
              <w:rPr>
                <w:rFonts w:ascii="Aptos" w:hAnsi="Aptos"/>
                <w:b w:val="0"/>
                <w:sz w:val="18"/>
              </w:rPr>
              <w:t>Order_ID</w:t>
            </w:r>
          </w:p>
        </w:tc>
        <w:tc>
          <w:tcPr>
            <w:tcW w:type="dxa" w:w="6624"/>
            <w:vAlign w:val="center"/>
          </w:tcPr>
          <w:p>
            <w:pPr>
              <w:jc w:val="left"/>
            </w:pPr>
            <w:r/>
            <w:r>
              <w:rPr>
                <w:rFonts w:ascii="Aptos" w:hAnsi="Aptos"/>
                <w:b w:val="0"/>
                <w:sz w:val="18"/>
              </w:rPr>
              <w:t>Order identifier</w:t>
            </w:r>
          </w:p>
        </w:tc>
      </w:tr>
      <w:tr>
        <w:tc>
          <w:tcPr>
            <w:tcW w:type="dxa" w:w="2880"/>
            <w:vAlign w:val="center"/>
          </w:tcPr>
          <w:p>
            <w:pPr>
              <w:jc w:val="left"/>
            </w:pPr>
            <w:r/>
            <w:r>
              <w:rPr>
                <w:rFonts w:ascii="Aptos" w:hAnsi="Aptos"/>
                <w:b w:val="0"/>
                <w:sz w:val="18"/>
              </w:rPr>
              <w:t>Order_Date / Delivery_Date</w:t>
            </w:r>
          </w:p>
        </w:tc>
        <w:tc>
          <w:tcPr>
            <w:tcW w:type="dxa" w:w="6624"/>
            <w:vAlign w:val="center"/>
          </w:tcPr>
          <w:p>
            <w:pPr>
              <w:jc w:val="left"/>
            </w:pPr>
            <w:r/>
            <w:r>
              <w:rPr>
                <w:rFonts w:ascii="Aptos" w:hAnsi="Aptos"/>
                <w:b w:val="0"/>
                <w:sz w:val="18"/>
              </w:rPr>
              <w:t>Order and delivery dates</w:t>
            </w:r>
          </w:p>
        </w:tc>
      </w:tr>
      <w:tr>
        <w:tc>
          <w:tcPr>
            <w:tcW w:type="dxa" w:w="2880"/>
            <w:vAlign w:val="center"/>
          </w:tcPr>
          <w:p>
            <w:pPr>
              <w:jc w:val="left"/>
            </w:pPr>
            <w:r/>
            <w:r>
              <w:rPr>
                <w:rFonts w:ascii="Aptos" w:hAnsi="Aptos"/>
                <w:b w:val="0"/>
                <w:sz w:val="18"/>
              </w:rPr>
              <w:t>Customer_Name</w:t>
            </w:r>
          </w:p>
        </w:tc>
        <w:tc>
          <w:tcPr>
            <w:tcW w:type="dxa" w:w="6624"/>
            <w:vAlign w:val="center"/>
          </w:tcPr>
          <w:p>
            <w:pPr>
              <w:jc w:val="left"/>
            </w:pPr>
            <w:r/>
            <w:r>
              <w:rPr>
                <w:rFonts w:ascii="Aptos" w:hAnsi="Aptos"/>
                <w:b w:val="0"/>
                <w:sz w:val="18"/>
              </w:rPr>
              <w:t>Customer label</w:t>
            </w:r>
          </w:p>
        </w:tc>
      </w:tr>
      <w:tr>
        <w:tc>
          <w:tcPr>
            <w:tcW w:type="dxa" w:w="2880"/>
            <w:vAlign w:val="center"/>
          </w:tcPr>
          <w:p>
            <w:pPr>
              <w:jc w:val="left"/>
            </w:pPr>
            <w:r/>
            <w:r>
              <w:rPr>
                <w:rFonts w:ascii="Aptos" w:hAnsi="Aptos"/>
                <w:b w:val="0"/>
                <w:sz w:val="18"/>
              </w:rPr>
              <w:t>City / State</w:t>
            </w:r>
          </w:p>
        </w:tc>
        <w:tc>
          <w:tcPr>
            <w:tcW w:type="dxa" w:w="6624"/>
            <w:vAlign w:val="center"/>
          </w:tcPr>
          <w:p>
            <w:pPr>
              <w:jc w:val="left"/>
            </w:pPr>
            <w:r/>
            <w:r>
              <w:rPr>
                <w:rFonts w:ascii="Aptos" w:hAnsi="Aptos"/>
                <w:b w:val="0"/>
                <w:sz w:val="18"/>
              </w:rPr>
              <w:t>Geographic dimensions</w:t>
            </w:r>
          </w:p>
        </w:tc>
      </w:tr>
      <w:tr>
        <w:tc>
          <w:tcPr>
            <w:tcW w:type="dxa" w:w="2880"/>
            <w:vAlign w:val="center"/>
          </w:tcPr>
          <w:p>
            <w:pPr>
              <w:jc w:val="left"/>
            </w:pPr>
            <w:r/>
            <w:r>
              <w:rPr>
                <w:rFonts w:ascii="Aptos" w:hAnsi="Aptos"/>
                <w:b w:val="0"/>
                <w:sz w:val="18"/>
              </w:rPr>
              <w:t>Product / Category</w:t>
            </w:r>
          </w:p>
        </w:tc>
        <w:tc>
          <w:tcPr>
            <w:tcW w:type="dxa" w:w="6624"/>
            <w:vAlign w:val="center"/>
          </w:tcPr>
          <w:p>
            <w:pPr>
              <w:jc w:val="left"/>
            </w:pPr>
            <w:r/>
            <w:r>
              <w:rPr>
                <w:rFonts w:ascii="Aptos" w:hAnsi="Aptos"/>
                <w:b w:val="0"/>
                <w:sz w:val="18"/>
              </w:rPr>
              <w:t>Product hierarchy</w:t>
            </w:r>
          </w:p>
        </w:tc>
      </w:tr>
      <w:tr>
        <w:tc>
          <w:tcPr>
            <w:tcW w:type="dxa" w:w="2880"/>
            <w:vAlign w:val="center"/>
          </w:tcPr>
          <w:p>
            <w:pPr>
              <w:jc w:val="left"/>
            </w:pPr>
            <w:r/>
            <w:r>
              <w:rPr>
                <w:rFonts w:ascii="Aptos" w:hAnsi="Aptos"/>
                <w:b w:val="0"/>
                <w:sz w:val="18"/>
              </w:rPr>
              <w:t>Qty / Unit_Price</w:t>
            </w:r>
          </w:p>
        </w:tc>
        <w:tc>
          <w:tcPr>
            <w:tcW w:type="dxa" w:w="6624"/>
            <w:vAlign w:val="center"/>
          </w:tcPr>
          <w:p>
            <w:pPr>
              <w:jc w:val="left"/>
            </w:pPr>
            <w:r/>
            <w:r>
              <w:rPr>
                <w:rFonts w:ascii="Aptos" w:hAnsi="Aptos"/>
                <w:b w:val="0"/>
                <w:sz w:val="18"/>
              </w:rPr>
              <w:t>Quantity and price</w:t>
            </w:r>
          </w:p>
        </w:tc>
      </w:tr>
      <w:tr>
        <w:tc>
          <w:tcPr>
            <w:tcW w:type="dxa" w:w="2880"/>
            <w:vAlign w:val="center"/>
          </w:tcPr>
          <w:p>
            <w:pPr>
              <w:jc w:val="left"/>
            </w:pPr>
            <w:r/>
            <w:r>
              <w:rPr>
                <w:rFonts w:ascii="Aptos" w:hAnsi="Aptos"/>
                <w:b w:val="0"/>
                <w:sz w:val="18"/>
              </w:rPr>
              <w:t>Discount</w:t>
            </w:r>
          </w:p>
        </w:tc>
        <w:tc>
          <w:tcPr>
            <w:tcW w:type="dxa" w:w="6624"/>
            <w:vAlign w:val="center"/>
          </w:tcPr>
          <w:p>
            <w:pPr>
              <w:jc w:val="left"/>
            </w:pPr>
            <w:r/>
            <w:r>
              <w:rPr>
                <w:rFonts w:ascii="Aptos" w:hAnsi="Aptos"/>
                <w:b w:val="0"/>
                <w:sz w:val="18"/>
              </w:rPr>
              <w:t>Discount percentage</w:t>
            </w:r>
          </w:p>
        </w:tc>
      </w:tr>
      <w:tr>
        <w:tc>
          <w:tcPr>
            <w:tcW w:type="dxa" w:w="2880"/>
            <w:vAlign w:val="center"/>
          </w:tcPr>
          <w:p>
            <w:pPr>
              <w:jc w:val="left"/>
            </w:pPr>
            <w:r/>
            <w:r>
              <w:rPr>
                <w:rFonts w:ascii="Aptos" w:hAnsi="Aptos"/>
                <w:b w:val="0"/>
                <w:sz w:val="18"/>
              </w:rPr>
              <w:t>Payment_Mode</w:t>
            </w:r>
          </w:p>
        </w:tc>
        <w:tc>
          <w:tcPr>
            <w:tcW w:type="dxa" w:w="6624"/>
            <w:vAlign w:val="center"/>
          </w:tcPr>
          <w:p>
            <w:pPr>
              <w:jc w:val="left"/>
            </w:pPr>
            <w:r/>
            <w:r>
              <w:rPr>
                <w:rFonts w:ascii="Aptos" w:hAnsi="Aptos"/>
                <w:b w:val="0"/>
                <w:sz w:val="18"/>
              </w:rPr>
              <w:t>Payment channel</w:t>
            </w:r>
          </w:p>
        </w:tc>
      </w:tr>
      <w:tr>
        <w:tc>
          <w:tcPr>
            <w:tcW w:type="dxa" w:w="2880"/>
            <w:vAlign w:val="center"/>
          </w:tcPr>
          <w:p>
            <w:pPr>
              <w:jc w:val="left"/>
            </w:pPr>
            <w:r/>
            <w:r>
              <w:rPr>
                <w:rFonts w:ascii="Aptos" w:hAnsi="Aptos"/>
                <w:b w:val="0"/>
                <w:sz w:val="18"/>
              </w:rPr>
              <w:t>Order_Status</w:t>
            </w:r>
          </w:p>
        </w:tc>
        <w:tc>
          <w:tcPr>
            <w:tcW w:type="dxa" w:w="6624"/>
            <w:vAlign w:val="center"/>
          </w:tcPr>
          <w:p>
            <w:pPr>
              <w:jc w:val="left"/>
            </w:pPr>
            <w:r/>
            <w:r>
              <w:rPr>
                <w:rFonts w:ascii="Aptos" w:hAnsi="Aptos"/>
                <w:b w:val="0"/>
                <w:sz w:val="18"/>
              </w:rPr>
              <w:t>Order lifecycle status</w:t>
            </w:r>
          </w:p>
        </w:tc>
      </w:tr>
    </w:tbl>
    <w:p/>
    <w:p>
      <w:pPr>
        <w:pStyle w:val="Heading2"/>
        <w:spacing w:before="80" w:after="120"/>
      </w:pPr>
      <w:r>
        <w:t>Analytical Scope</w:t>
      </w:r>
    </w:p>
    <w:p>
      <w:pPr>
        <w:pStyle w:val="BodyText"/>
        <w:spacing w:after="100" w:line="259" w:lineRule="auto"/>
      </w:pPr>
      <w:r>
        <w:t>The project focuses on descriptive analytics rather than predictive modeling. The output is designed to support business reporting, performance monitoring, and management-level decision making.</w:t>
      </w:r>
    </w:p>
    <w:p>
      <w:r>
        <w:br w:type="page"/>
      </w:r>
    </w:p>
    <w:p>
      <w:pPr>
        <w:pStyle w:val="Heading1"/>
        <w:spacing w:before="80" w:after="120"/>
      </w:pPr>
      <w:r>
        <w:t>3. Data Cleaning &amp; Preparation</w:t>
      </w:r>
    </w:p>
    <w:p>
      <w:pPr>
        <w:pStyle w:val="BodyText"/>
        <w:spacing w:after="100" w:line="259" w:lineRule="auto"/>
      </w:pPr>
      <w:r>
        <w:t>The notebook follows a structured cleaning workflow before analysis. This improves consistency and prevents obvious data-quality issues from distorting the dashboard and SQL results.</w:t>
      </w:r>
    </w:p>
    <w:tbl>
      <w:tblPr>
        <w:tblStyle w:val="TableGrid"/>
        <w:tblW w:type="auto" w:w="0"/>
        <w:jc w:val="center"/>
        <w:tblLook w:firstColumn="1" w:firstRow="1" w:lastColumn="0" w:lastRow="0" w:noHBand="0" w:noVBand="1" w:val="04A0"/>
      </w:tblPr>
      <w:tblGrid>
        <w:gridCol w:w="5040"/>
        <w:gridCol w:w="5040"/>
      </w:tblGrid>
      <w:tr>
        <w:tc>
          <w:tcPr>
            <w:tcW w:type="dxa" w:w="3168"/>
            <w:vAlign w:val="center"/>
            <w:shd w:fill="D9EAF7"/>
          </w:tcPr>
          <w:p>
            <w:pPr>
              <w:jc w:val="left"/>
            </w:pPr>
            <w:r/>
            <w:r>
              <w:rPr>
                <w:rFonts w:ascii="Aptos" w:hAnsi="Aptos"/>
                <w:b/>
                <w:sz w:val="18"/>
              </w:rPr>
              <w:t>Cleaning step</w:t>
            </w:r>
          </w:p>
        </w:tc>
        <w:tc>
          <w:tcPr>
            <w:tcW w:type="dxa" w:w="6336"/>
            <w:vAlign w:val="center"/>
            <w:shd w:fill="D9EAF7"/>
          </w:tcPr>
          <w:p>
            <w:pPr>
              <w:jc w:val="left"/>
            </w:pPr>
            <w:r/>
            <w:r>
              <w:rPr>
                <w:rFonts w:ascii="Aptos" w:hAnsi="Aptos"/>
                <w:b/>
                <w:sz w:val="18"/>
              </w:rPr>
              <w:t>Treatment</w:t>
            </w:r>
          </w:p>
        </w:tc>
      </w:tr>
      <w:tr>
        <w:tc>
          <w:tcPr>
            <w:tcW w:type="dxa" w:w="3168"/>
            <w:vAlign w:val="center"/>
          </w:tcPr>
          <w:p>
            <w:pPr>
              <w:jc w:val="left"/>
            </w:pPr>
            <w:r/>
            <w:r>
              <w:rPr>
                <w:rFonts w:ascii="Aptos" w:hAnsi="Aptos"/>
                <w:b w:val="0"/>
                <w:sz w:val="18"/>
              </w:rPr>
              <w:t>Duplicate records</w:t>
            </w:r>
          </w:p>
        </w:tc>
        <w:tc>
          <w:tcPr>
            <w:tcW w:type="dxa" w:w="6336"/>
            <w:vAlign w:val="center"/>
          </w:tcPr>
          <w:p>
            <w:pPr>
              <w:jc w:val="left"/>
            </w:pPr>
            <w:r/>
            <w:r>
              <w:rPr>
                <w:rFonts w:ascii="Aptos" w:hAnsi="Aptos"/>
                <w:b w:val="0"/>
                <w:sz w:val="18"/>
              </w:rPr>
              <w:t>8 duplicates removed</w:t>
            </w:r>
          </w:p>
        </w:tc>
      </w:tr>
      <w:tr>
        <w:tc>
          <w:tcPr>
            <w:tcW w:type="dxa" w:w="3168"/>
            <w:vAlign w:val="center"/>
          </w:tcPr>
          <w:p>
            <w:pPr>
              <w:jc w:val="left"/>
            </w:pPr>
            <w:r/>
            <w:r>
              <w:rPr>
                <w:rFonts w:ascii="Aptos" w:hAnsi="Aptos"/>
                <w:b w:val="0"/>
                <w:sz w:val="18"/>
              </w:rPr>
              <w:t>Text standardization</w:t>
            </w:r>
          </w:p>
        </w:tc>
        <w:tc>
          <w:tcPr>
            <w:tcW w:type="dxa" w:w="6336"/>
            <w:vAlign w:val="center"/>
          </w:tcPr>
          <w:p>
            <w:pPr>
              <w:jc w:val="left"/>
            </w:pPr>
            <w:r/>
            <w:r>
              <w:rPr>
                <w:rFonts w:ascii="Aptos" w:hAnsi="Aptos"/>
                <w:b w:val="0"/>
                <w:sz w:val="18"/>
              </w:rPr>
              <w:t>Trim spaces; title-case customer/city/state</w:t>
            </w:r>
          </w:p>
        </w:tc>
      </w:tr>
      <w:tr>
        <w:tc>
          <w:tcPr>
            <w:tcW w:type="dxa" w:w="3168"/>
            <w:vAlign w:val="center"/>
          </w:tcPr>
          <w:p>
            <w:pPr>
              <w:jc w:val="left"/>
            </w:pPr>
            <w:r/>
            <w:r>
              <w:rPr>
                <w:rFonts w:ascii="Aptos" w:hAnsi="Aptos"/>
                <w:b w:val="0"/>
                <w:sz w:val="18"/>
              </w:rPr>
              <w:t>Email validation</w:t>
            </w:r>
          </w:p>
        </w:tc>
        <w:tc>
          <w:tcPr>
            <w:tcW w:type="dxa" w:w="6336"/>
            <w:vAlign w:val="center"/>
          </w:tcPr>
          <w:p>
            <w:pPr>
              <w:jc w:val="left"/>
            </w:pPr>
            <w:r/>
            <w:r>
              <w:rPr>
                <w:rFonts w:ascii="Aptos" w:hAnsi="Aptos"/>
                <w:b w:val="0"/>
                <w:sz w:val="18"/>
              </w:rPr>
              <w:t>Keep records containing '@'</w:t>
            </w:r>
          </w:p>
        </w:tc>
      </w:tr>
      <w:tr>
        <w:tc>
          <w:tcPr>
            <w:tcW w:type="dxa" w:w="3168"/>
            <w:vAlign w:val="center"/>
          </w:tcPr>
          <w:p>
            <w:pPr>
              <w:jc w:val="left"/>
            </w:pPr>
            <w:r/>
            <w:r>
              <w:rPr>
                <w:rFonts w:ascii="Aptos" w:hAnsi="Aptos"/>
                <w:b w:val="0"/>
                <w:sz w:val="18"/>
              </w:rPr>
              <w:t>Date conversion</w:t>
            </w:r>
          </w:p>
        </w:tc>
        <w:tc>
          <w:tcPr>
            <w:tcW w:type="dxa" w:w="6336"/>
            <w:vAlign w:val="center"/>
          </w:tcPr>
          <w:p>
            <w:pPr>
              <w:jc w:val="left"/>
            </w:pPr>
            <w:r/>
            <w:r>
              <w:rPr>
                <w:rFonts w:ascii="Aptos" w:hAnsi="Aptos"/>
                <w:b w:val="0"/>
                <w:sz w:val="18"/>
              </w:rPr>
              <w:t>Convert order and delivery dates to datetime</w:t>
            </w:r>
          </w:p>
        </w:tc>
      </w:tr>
      <w:tr>
        <w:tc>
          <w:tcPr>
            <w:tcW w:type="dxa" w:w="3168"/>
            <w:vAlign w:val="center"/>
          </w:tcPr>
          <w:p>
            <w:pPr>
              <w:jc w:val="left"/>
            </w:pPr>
            <w:r/>
            <w:r>
              <w:rPr>
                <w:rFonts w:ascii="Aptos" w:hAnsi="Aptos"/>
                <w:b w:val="0"/>
                <w:sz w:val="18"/>
              </w:rPr>
              <w:t>Numeric conversion</w:t>
            </w:r>
          </w:p>
        </w:tc>
        <w:tc>
          <w:tcPr>
            <w:tcW w:type="dxa" w:w="6336"/>
            <w:vAlign w:val="center"/>
          </w:tcPr>
          <w:p>
            <w:pPr>
              <w:jc w:val="left"/>
            </w:pPr>
            <w:r/>
            <w:r>
              <w:rPr>
                <w:rFonts w:ascii="Aptos" w:hAnsi="Aptos"/>
                <w:b w:val="0"/>
                <w:sz w:val="18"/>
              </w:rPr>
              <w:t>Convert Qty, Unit_Price and Discount to numeric</w:t>
            </w:r>
          </w:p>
        </w:tc>
      </w:tr>
      <w:tr>
        <w:tc>
          <w:tcPr>
            <w:tcW w:type="dxa" w:w="3168"/>
            <w:vAlign w:val="center"/>
          </w:tcPr>
          <w:p>
            <w:pPr>
              <w:jc w:val="left"/>
            </w:pPr>
            <w:r/>
            <w:r>
              <w:rPr>
                <w:rFonts w:ascii="Aptos" w:hAnsi="Aptos"/>
                <w:b w:val="0"/>
                <w:sz w:val="18"/>
              </w:rPr>
              <w:t>Invalid quantity</w:t>
            </w:r>
          </w:p>
        </w:tc>
        <w:tc>
          <w:tcPr>
            <w:tcW w:type="dxa" w:w="6336"/>
            <w:vAlign w:val="center"/>
          </w:tcPr>
          <w:p>
            <w:pPr>
              <w:jc w:val="left"/>
            </w:pPr>
            <w:r/>
            <w:r>
              <w:rPr>
                <w:rFonts w:ascii="Aptos" w:hAnsi="Aptos"/>
                <w:b w:val="0"/>
                <w:sz w:val="18"/>
              </w:rPr>
              <w:t>Remove Qty ≤ 0 records</w:t>
            </w:r>
          </w:p>
        </w:tc>
      </w:tr>
      <w:tr>
        <w:tc>
          <w:tcPr>
            <w:tcW w:type="dxa" w:w="3168"/>
            <w:vAlign w:val="center"/>
          </w:tcPr>
          <w:p>
            <w:pPr>
              <w:jc w:val="left"/>
            </w:pPr>
            <w:r/>
            <w:r>
              <w:rPr>
                <w:rFonts w:ascii="Aptos" w:hAnsi="Aptos"/>
                <w:b w:val="0"/>
                <w:sz w:val="18"/>
              </w:rPr>
              <w:t>Missing Qty/Price</w:t>
            </w:r>
          </w:p>
        </w:tc>
        <w:tc>
          <w:tcPr>
            <w:tcW w:type="dxa" w:w="6336"/>
            <w:vAlign w:val="center"/>
          </w:tcPr>
          <w:p>
            <w:pPr>
              <w:jc w:val="left"/>
            </w:pPr>
            <w:r/>
            <w:r>
              <w:rPr>
                <w:rFonts w:ascii="Aptos" w:hAnsi="Aptos"/>
                <w:b w:val="0"/>
                <w:sz w:val="18"/>
              </w:rPr>
              <w:t>Remove rows missing Qty or Unit_Price</w:t>
            </w:r>
          </w:p>
        </w:tc>
      </w:tr>
      <w:tr>
        <w:tc>
          <w:tcPr>
            <w:tcW w:type="dxa" w:w="3168"/>
            <w:vAlign w:val="center"/>
          </w:tcPr>
          <w:p>
            <w:pPr>
              <w:jc w:val="left"/>
            </w:pPr>
            <w:r/>
            <w:r>
              <w:rPr>
                <w:rFonts w:ascii="Aptos" w:hAnsi="Aptos"/>
                <w:b w:val="0"/>
                <w:sz w:val="18"/>
              </w:rPr>
              <w:t>Missing discount</w:t>
            </w:r>
          </w:p>
        </w:tc>
        <w:tc>
          <w:tcPr>
            <w:tcW w:type="dxa" w:w="6336"/>
            <w:vAlign w:val="center"/>
          </w:tcPr>
          <w:p>
            <w:pPr>
              <w:jc w:val="left"/>
            </w:pPr>
            <w:r/>
            <w:r>
              <w:rPr>
                <w:rFonts w:ascii="Aptos" w:hAnsi="Aptos"/>
                <w:b w:val="0"/>
                <w:sz w:val="18"/>
              </w:rPr>
              <w:t>Fill with 0</w:t>
            </w:r>
          </w:p>
        </w:tc>
      </w:tr>
      <w:tr>
        <w:tc>
          <w:tcPr>
            <w:tcW w:type="dxa" w:w="3168"/>
            <w:vAlign w:val="center"/>
          </w:tcPr>
          <w:p>
            <w:pPr>
              <w:jc w:val="left"/>
            </w:pPr>
            <w:r/>
            <w:r>
              <w:rPr>
                <w:rFonts w:ascii="Aptos" w:hAnsi="Aptos"/>
                <w:b w:val="0"/>
                <w:sz w:val="18"/>
              </w:rPr>
              <w:t>Missing phone</w:t>
            </w:r>
          </w:p>
        </w:tc>
        <w:tc>
          <w:tcPr>
            <w:tcW w:type="dxa" w:w="6336"/>
            <w:vAlign w:val="center"/>
          </w:tcPr>
          <w:p>
            <w:pPr>
              <w:jc w:val="left"/>
            </w:pPr>
            <w:r/>
            <w:r>
              <w:rPr>
                <w:rFonts w:ascii="Aptos" w:hAnsi="Aptos"/>
                <w:b w:val="0"/>
                <w:sz w:val="18"/>
              </w:rPr>
              <w:t>Fill with 'Unknown'</w:t>
            </w:r>
          </w:p>
        </w:tc>
      </w:tr>
      <w:tr>
        <w:tc>
          <w:tcPr>
            <w:tcW w:type="dxa" w:w="3168"/>
            <w:vAlign w:val="center"/>
          </w:tcPr>
          <w:p>
            <w:pPr>
              <w:jc w:val="left"/>
            </w:pPr>
            <w:r/>
            <w:r>
              <w:rPr>
                <w:rFonts w:ascii="Aptos" w:hAnsi="Aptos"/>
                <w:b w:val="0"/>
                <w:sz w:val="18"/>
              </w:rPr>
              <w:t>Missing delivery date</w:t>
            </w:r>
          </w:p>
        </w:tc>
        <w:tc>
          <w:tcPr>
            <w:tcW w:type="dxa" w:w="6336"/>
            <w:vAlign w:val="center"/>
          </w:tcPr>
          <w:p>
            <w:pPr>
              <w:jc w:val="left"/>
            </w:pPr>
            <w:r/>
            <w:r>
              <w:rPr>
                <w:rFonts w:ascii="Aptos" w:hAnsi="Aptos"/>
                <w:b w:val="0"/>
                <w:sz w:val="18"/>
              </w:rPr>
              <w:t>Fill from Order_Date</w:t>
            </w:r>
          </w:p>
        </w:tc>
      </w:tr>
    </w:tbl>
    <w:p/>
    <w:p>
      <w:pPr>
        <w:pStyle w:val="Heading2"/>
        <w:spacing w:before="80" w:after="120"/>
      </w:pPr>
      <w:r>
        <w:t>Feature Engineering</w:t>
      </w:r>
    </w:p>
    <w:p>
      <w:pPr>
        <w:pStyle w:val="BodyText"/>
        <w:spacing w:after="100" w:line="259" w:lineRule="auto"/>
      </w:pPr>
      <w:r>
        <w:t>Three main financial fields were derived in the notebook:</w:t>
      </w:r>
    </w:p>
    <w:p>
      <w:pPr>
        <w:pStyle w:val="ListBullet"/>
        <w:spacing w:after="60"/>
      </w:pPr>
      <w:r>
        <w:t>Sales = Qty × Unit_Price</w:t>
      </w:r>
    </w:p>
    <w:p>
      <w:pPr>
        <w:pStyle w:val="ListBullet"/>
        <w:spacing w:after="60"/>
      </w:pPr>
      <w:r>
        <w:t>Net Amount = Sales − (Sales × Discount / 100)</w:t>
      </w:r>
    </w:p>
    <w:p>
      <w:pPr>
        <w:pStyle w:val="ListBullet"/>
        <w:spacing w:after="60"/>
      </w:pPr>
      <w:r>
        <w:t>Profit = Net Amount × 20% (illustrative project assumption)</w:t>
      </w:r>
    </w:p>
    <w:p>
      <w:pPr>
        <w:pStyle w:val="BodyText"/>
        <w:spacing w:after="100" w:line="259" w:lineRule="auto"/>
      </w:pPr>
      <w:r>
        <w:t>Additional time dimensions were created for Month, Year, and Weekday to support trend analysis and dashboard filtering.</w:t>
      </w:r>
    </w:p>
    <w:p>
      <w:pPr>
        <w:pStyle w:val="Heading2"/>
        <w:spacing w:before="80" w:after="120"/>
      </w:pPr>
      <w:r>
        <w:t>Data Quality Note</w:t>
      </w:r>
    </w:p>
    <w:p>
      <w:pPr>
        <w:pStyle w:val="BodyText"/>
        <w:spacing w:after="100" w:line="259" w:lineRule="auto"/>
      </w:pPr>
      <w:r>
        <w:t>The supplied CSV file is a project output file but still contains some raw-style values such as blank discounts and negative quantities. The report therefore uses the notebook's documented cleaning rules to reproduce the 343-row analysis dataset for the business metrics. This keeps the reported insights aligned with the demonstrated cleaning workflow.</w:t>
      </w:r>
    </w:p>
    <w:p>
      <w:r>
        <w:br w:type="page"/>
      </w:r>
    </w:p>
    <w:p>
      <w:pPr>
        <w:pStyle w:val="Heading1"/>
        <w:spacing w:before="80" w:after="120"/>
      </w:pPr>
      <w:r>
        <w:t>4. Exploratory Data Analysis</w:t>
      </w:r>
    </w:p>
    <w:p>
      <w:pPr>
        <w:pStyle w:val="Heading2"/>
        <w:spacing w:before="80" w:after="120"/>
      </w:pPr>
      <w:r>
        <w:t>Sales by Product</w:t>
      </w:r>
    </w:p>
    <w:p>
      <w:pPr>
        <w:jc w:val="center"/>
      </w:pPr>
      <w:r>
        <w:drawing>
          <wp:inline xmlns:a="http://schemas.openxmlformats.org/drawingml/2006/main" xmlns:pic="http://schemas.openxmlformats.org/drawingml/2006/picture">
            <wp:extent cx="6126480" cy="3025009"/>
            <wp:docPr id="1" name="Picture 1"/>
            <wp:cNvGraphicFramePr>
              <a:graphicFrameLocks noChangeAspect="1"/>
            </wp:cNvGraphicFramePr>
            <a:graphic>
              <a:graphicData uri="http://schemas.openxmlformats.org/drawingml/2006/picture">
                <pic:pic>
                  <pic:nvPicPr>
                    <pic:cNvPr id="0" name="sales_by_product.png"/>
                    <pic:cNvPicPr/>
                  </pic:nvPicPr>
                  <pic:blipFill>
                    <a:blip r:embed="rId11"/>
                    <a:stretch>
                      <a:fillRect/>
                    </a:stretch>
                  </pic:blipFill>
                  <pic:spPr>
                    <a:xfrm>
                      <a:off x="0" y="0"/>
                      <a:ext cx="6126480" cy="3025009"/>
                    </a:xfrm>
                    <a:prstGeom prst="rect"/>
                  </pic:spPr>
                </pic:pic>
              </a:graphicData>
            </a:graphic>
          </wp:inline>
        </w:drawing>
      </w:r>
    </w:p>
    <w:p>
      <w:pPr>
        <w:pStyle w:val="BodyText"/>
        <w:spacing w:after="100" w:line="259" w:lineRule="auto"/>
      </w:pPr>
      <w:r>
        <w:t>Laptop leads product sales at ₹729,099, followed by Chair (₹718,109) and Mouse (₹682,490). Shoes contributes the lowest sales among the six products.</w:t>
      </w:r>
    </w:p>
    <w:p>
      <w:pPr>
        <w:pStyle w:val="Heading2"/>
        <w:spacing w:before="80" w:after="120"/>
      </w:pPr>
      <w:r>
        <w:t>Sales by Category</w:t>
      </w:r>
    </w:p>
    <w:p>
      <w:pPr>
        <w:jc w:val="center"/>
      </w:pPr>
      <w:r>
        <w:drawing>
          <wp:inline xmlns:a="http://schemas.openxmlformats.org/drawingml/2006/main" xmlns:pic="http://schemas.openxmlformats.org/drawingml/2006/picture">
            <wp:extent cx="6126480" cy="3025009"/>
            <wp:docPr id="2" name="Picture 2"/>
            <wp:cNvGraphicFramePr>
              <a:graphicFrameLocks noChangeAspect="1"/>
            </wp:cNvGraphicFramePr>
            <a:graphic>
              <a:graphicData uri="http://schemas.openxmlformats.org/drawingml/2006/picture">
                <pic:pic>
                  <pic:nvPicPr>
                    <pic:cNvPr id="0" name="sales_by_category.png"/>
                    <pic:cNvPicPr/>
                  </pic:nvPicPr>
                  <pic:blipFill>
                    <a:blip r:embed="rId12"/>
                    <a:stretch>
                      <a:fillRect/>
                    </a:stretch>
                  </pic:blipFill>
                  <pic:spPr>
                    <a:xfrm>
                      <a:off x="0" y="0"/>
                      <a:ext cx="6126480" cy="3025009"/>
                    </a:xfrm>
                    <a:prstGeom prst="rect"/>
                  </pic:spPr>
                </pic:pic>
              </a:graphicData>
            </a:graphic>
          </wp:inline>
        </w:drawing>
      </w:r>
    </w:p>
    <w:p>
      <w:pPr>
        <w:pStyle w:val="BodyText"/>
        <w:spacing w:after="100" w:line="259" w:lineRule="auto"/>
      </w:pPr>
      <w:r>
        <w:t>Electronics is the strongest category at ₹1,411,589; Fashion is second at ₹1,010,968. Together, these two categories contribute 63.6% of total sales.</w:t>
      </w:r>
    </w:p>
    <w:p>
      <w:r>
        <w:br w:type="page"/>
      </w:r>
    </w:p>
    <w:p>
      <w:pPr>
        <w:pStyle w:val="Heading1"/>
        <w:spacing w:before="80" w:after="120"/>
      </w:pPr>
      <w:r>
        <w:t>5. Trends, Geography &amp; Order Behavior</w:t>
      </w:r>
    </w:p>
    <w:p>
      <w:pPr>
        <w:pStyle w:val="Heading2"/>
        <w:spacing w:before="80" w:after="120"/>
      </w:pPr>
      <w:r>
        <w:t>Monthly Sales Trend</w:t>
      </w:r>
    </w:p>
    <w:p>
      <w:pPr>
        <w:jc w:val="center"/>
      </w:pPr>
      <w:r>
        <w:drawing>
          <wp:inline xmlns:a="http://schemas.openxmlformats.org/drawingml/2006/main" xmlns:pic="http://schemas.openxmlformats.org/drawingml/2006/picture">
            <wp:extent cx="6126480" cy="3025009"/>
            <wp:docPr id="3" name="Picture 3"/>
            <wp:cNvGraphicFramePr>
              <a:graphicFrameLocks noChangeAspect="1"/>
            </wp:cNvGraphicFramePr>
            <a:graphic>
              <a:graphicData uri="http://schemas.openxmlformats.org/drawingml/2006/picture">
                <pic:pic>
                  <pic:nvPicPr>
                    <pic:cNvPr id="0" name="monthly_sales.png"/>
                    <pic:cNvPicPr/>
                  </pic:nvPicPr>
                  <pic:blipFill>
                    <a:blip r:embed="rId13"/>
                    <a:stretch>
                      <a:fillRect/>
                    </a:stretch>
                  </pic:blipFill>
                  <pic:spPr>
                    <a:xfrm>
                      <a:off x="0" y="0"/>
                      <a:ext cx="6126480" cy="3025009"/>
                    </a:xfrm>
                    <a:prstGeom prst="rect"/>
                  </pic:spPr>
                </pic:pic>
              </a:graphicData>
            </a:graphic>
          </wp:inline>
        </w:drawing>
      </w:r>
    </w:p>
    <w:p>
      <w:pPr>
        <w:pStyle w:val="BodyText"/>
        <w:spacing w:after="100" w:line="259" w:lineRule="auto"/>
      </w:pPr>
      <w:r>
        <w:t>Sales peak in May at ₹875,578. June remains strong at ₹777,983, while March records the lowest monthly sales at ₹314,559.</w:t>
      </w:r>
    </w:p>
    <w:p>
      <w:pPr>
        <w:pStyle w:val="Heading2"/>
        <w:spacing w:before="80" w:after="120"/>
      </w:pPr>
      <w:r>
        <w:t>Top Markets</w:t>
      </w:r>
    </w:p>
    <w:tbl>
      <w:tblPr>
        <w:tblStyle w:val="TableGrid"/>
        <w:tblW w:type="auto" w:w="0"/>
        <w:jc w:val="center"/>
        <w:tblLook w:firstColumn="1" w:firstRow="1" w:lastColumn="0" w:lastRow="0" w:noHBand="0" w:noVBand="1" w:val="04A0"/>
      </w:tblPr>
      <w:tblGrid>
        <w:gridCol w:w="3360"/>
        <w:gridCol w:w="3360"/>
        <w:gridCol w:w="3360"/>
      </w:tblGrid>
      <w:tr>
        <w:tc>
          <w:tcPr>
            <w:tcW w:type="dxa" w:w="3168"/>
            <w:vAlign w:val="center"/>
            <w:shd w:fill="D9EAF7"/>
          </w:tcPr>
          <w:p>
            <w:pPr>
              <w:jc w:val="left"/>
            </w:pPr>
            <w:r/>
            <w:r>
              <w:rPr>
                <w:rFonts w:ascii="Aptos" w:hAnsi="Aptos"/>
                <w:b/>
                <w:sz w:val="18"/>
              </w:rPr>
              <w:t>City</w:t>
            </w:r>
          </w:p>
        </w:tc>
        <w:tc>
          <w:tcPr>
            <w:tcW w:type="dxa" w:w="2880"/>
            <w:vAlign w:val="center"/>
            <w:shd w:fill="D9EAF7"/>
          </w:tcPr>
          <w:p>
            <w:pPr>
              <w:jc w:val="left"/>
            </w:pPr>
            <w:r/>
            <w:r>
              <w:rPr>
                <w:rFonts w:ascii="Aptos" w:hAnsi="Aptos"/>
                <w:b/>
                <w:sz w:val="18"/>
              </w:rPr>
              <w:t>Sales</w:t>
            </w:r>
          </w:p>
        </w:tc>
        <w:tc>
          <w:tcPr>
            <w:tcW w:type="dxa" w:w="2160"/>
            <w:vAlign w:val="center"/>
            <w:shd w:fill="D9EAF7"/>
          </w:tcPr>
          <w:p>
            <w:pPr>
              <w:jc w:val="left"/>
            </w:pPr>
            <w:r/>
            <w:r>
              <w:rPr>
                <w:rFonts w:ascii="Aptos" w:hAnsi="Aptos"/>
                <w:b/>
                <w:sz w:val="18"/>
              </w:rPr>
              <w:t>Share</w:t>
            </w:r>
          </w:p>
        </w:tc>
      </w:tr>
      <w:tr>
        <w:tc>
          <w:tcPr>
            <w:tcW w:type="dxa" w:w="3168"/>
            <w:vAlign w:val="center"/>
          </w:tcPr>
          <w:p>
            <w:pPr>
              <w:jc w:val="left"/>
            </w:pPr>
            <w:r/>
            <w:r>
              <w:rPr>
                <w:rFonts w:ascii="Aptos" w:hAnsi="Aptos"/>
                <w:b w:val="0"/>
                <w:sz w:val="18"/>
              </w:rPr>
              <w:t>Pune</w:t>
            </w:r>
          </w:p>
        </w:tc>
        <w:tc>
          <w:tcPr>
            <w:tcW w:type="dxa" w:w="2880"/>
            <w:vAlign w:val="center"/>
          </w:tcPr>
          <w:p>
            <w:pPr>
              <w:jc w:val="left"/>
            </w:pPr>
            <w:r/>
            <w:r>
              <w:rPr>
                <w:rFonts w:ascii="Aptos" w:hAnsi="Aptos"/>
                <w:b w:val="0"/>
                <w:sz w:val="18"/>
              </w:rPr>
              <w:t>₹894,272</w:t>
            </w:r>
          </w:p>
        </w:tc>
        <w:tc>
          <w:tcPr>
            <w:tcW w:type="dxa" w:w="2160"/>
            <w:vAlign w:val="center"/>
          </w:tcPr>
          <w:p>
            <w:pPr>
              <w:jc w:val="left"/>
            </w:pPr>
            <w:r/>
            <w:r>
              <w:rPr>
                <w:rFonts w:ascii="Aptos" w:hAnsi="Aptos"/>
                <w:b w:val="0"/>
                <w:sz w:val="18"/>
              </w:rPr>
              <w:t>23.5%</w:t>
            </w:r>
          </w:p>
        </w:tc>
      </w:tr>
      <w:tr>
        <w:tc>
          <w:tcPr>
            <w:tcW w:type="dxa" w:w="3168"/>
            <w:vAlign w:val="center"/>
          </w:tcPr>
          <w:p>
            <w:pPr>
              <w:jc w:val="left"/>
            </w:pPr>
            <w:r/>
            <w:r>
              <w:rPr>
                <w:rFonts w:ascii="Aptos" w:hAnsi="Aptos"/>
                <w:b w:val="0"/>
                <w:sz w:val="18"/>
              </w:rPr>
              <w:t>Bengaluru</w:t>
            </w:r>
          </w:p>
        </w:tc>
        <w:tc>
          <w:tcPr>
            <w:tcW w:type="dxa" w:w="2880"/>
            <w:vAlign w:val="center"/>
          </w:tcPr>
          <w:p>
            <w:pPr>
              <w:jc w:val="left"/>
            </w:pPr>
            <w:r/>
            <w:r>
              <w:rPr>
                <w:rFonts w:ascii="Aptos" w:hAnsi="Aptos"/>
                <w:b w:val="0"/>
                <w:sz w:val="18"/>
              </w:rPr>
              <w:t>₹827,695</w:t>
            </w:r>
          </w:p>
        </w:tc>
        <w:tc>
          <w:tcPr>
            <w:tcW w:type="dxa" w:w="2160"/>
            <w:vAlign w:val="center"/>
          </w:tcPr>
          <w:p>
            <w:pPr>
              <w:jc w:val="left"/>
            </w:pPr>
            <w:r/>
            <w:r>
              <w:rPr>
                <w:rFonts w:ascii="Aptos" w:hAnsi="Aptos"/>
                <w:b w:val="0"/>
                <w:sz w:val="18"/>
              </w:rPr>
              <w:t>21.7%</w:t>
            </w:r>
          </w:p>
        </w:tc>
      </w:tr>
      <w:tr>
        <w:tc>
          <w:tcPr>
            <w:tcW w:type="dxa" w:w="3168"/>
            <w:vAlign w:val="center"/>
          </w:tcPr>
          <w:p>
            <w:pPr>
              <w:jc w:val="left"/>
            </w:pPr>
            <w:r/>
            <w:r>
              <w:rPr>
                <w:rFonts w:ascii="Aptos" w:hAnsi="Aptos"/>
                <w:b w:val="0"/>
                <w:sz w:val="18"/>
              </w:rPr>
              <w:t>Delhi</w:t>
            </w:r>
          </w:p>
        </w:tc>
        <w:tc>
          <w:tcPr>
            <w:tcW w:type="dxa" w:w="2880"/>
            <w:vAlign w:val="center"/>
          </w:tcPr>
          <w:p>
            <w:pPr>
              <w:jc w:val="left"/>
            </w:pPr>
            <w:r/>
            <w:r>
              <w:rPr>
                <w:rFonts w:ascii="Aptos" w:hAnsi="Aptos"/>
                <w:b w:val="0"/>
                <w:sz w:val="18"/>
              </w:rPr>
              <w:t>₹579,814</w:t>
            </w:r>
          </w:p>
        </w:tc>
        <w:tc>
          <w:tcPr>
            <w:tcW w:type="dxa" w:w="2160"/>
            <w:vAlign w:val="center"/>
          </w:tcPr>
          <w:p>
            <w:pPr>
              <w:jc w:val="left"/>
            </w:pPr>
            <w:r/>
            <w:r>
              <w:rPr>
                <w:rFonts w:ascii="Aptos" w:hAnsi="Aptos"/>
                <w:b w:val="0"/>
                <w:sz w:val="18"/>
              </w:rPr>
              <w:t>15.2%</w:t>
            </w:r>
          </w:p>
        </w:tc>
      </w:tr>
      <w:tr>
        <w:tc>
          <w:tcPr>
            <w:tcW w:type="dxa" w:w="3168"/>
            <w:vAlign w:val="center"/>
          </w:tcPr>
          <w:p>
            <w:pPr>
              <w:jc w:val="left"/>
            </w:pPr>
            <w:r/>
            <w:r>
              <w:rPr>
                <w:rFonts w:ascii="Aptos" w:hAnsi="Aptos"/>
                <w:b w:val="0"/>
                <w:sz w:val="18"/>
              </w:rPr>
              <w:t>Lucknow</w:t>
            </w:r>
          </w:p>
        </w:tc>
        <w:tc>
          <w:tcPr>
            <w:tcW w:type="dxa" w:w="2880"/>
            <w:vAlign w:val="center"/>
          </w:tcPr>
          <w:p>
            <w:pPr>
              <w:jc w:val="left"/>
            </w:pPr>
            <w:r/>
            <w:r>
              <w:rPr>
                <w:rFonts w:ascii="Aptos" w:hAnsi="Aptos"/>
                <w:b w:val="0"/>
                <w:sz w:val="18"/>
              </w:rPr>
              <w:t>₹573,937</w:t>
            </w:r>
          </w:p>
        </w:tc>
        <w:tc>
          <w:tcPr>
            <w:tcW w:type="dxa" w:w="2160"/>
            <w:vAlign w:val="center"/>
          </w:tcPr>
          <w:p>
            <w:pPr>
              <w:jc w:val="left"/>
            </w:pPr>
            <w:r/>
            <w:r>
              <w:rPr>
                <w:rFonts w:ascii="Aptos" w:hAnsi="Aptos"/>
                <w:b w:val="0"/>
                <w:sz w:val="18"/>
              </w:rPr>
              <w:t>15.1%</w:t>
            </w:r>
          </w:p>
        </w:tc>
      </w:tr>
      <w:tr>
        <w:tc>
          <w:tcPr>
            <w:tcW w:type="dxa" w:w="3168"/>
            <w:vAlign w:val="center"/>
          </w:tcPr>
          <w:p>
            <w:pPr>
              <w:jc w:val="left"/>
            </w:pPr>
            <w:r/>
            <w:r>
              <w:rPr>
                <w:rFonts w:ascii="Aptos" w:hAnsi="Aptos"/>
                <w:b w:val="0"/>
                <w:sz w:val="18"/>
              </w:rPr>
              <w:t>Mumbai</w:t>
            </w:r>
          </w:p>
        </w:tc>
        <w:tc>
          <w:tcPr>
            <w:tcW w:type="dxa" w:w="2880"/>
            <w:vAlign w:val="center"/>
          </w:tcPr>
          <w:p>
            <w:pPr>
              <w:jc w:val="left"/>
            </w:pPr>
            <w:r/>
            <w:r>
              <w:rPr>
                <w:rFonts w:ascii="Aptos" w:hAnsi="Aptos"/>
                <w:b w:val="0"/>
                <w:sz w:val="18"/>
              </w:rPr>
              <w:t>₹520,995</w:t>
            </w:r>
          </w:p>
        </w:tc>
        <w:tc>
          <w:tcPr>
            <w:tcW w:type="dxa" w:w="2160"/>
            <w:vAlign w:val="center"/>
          </w:tcPr>
          <w:p>
            <w:pPr>
              <w:jc w:val="left"/>
            </w:pPr>
            <w:r/>
            <w:r>
              <w:rPr>
                <w:rFonts w:ascii="Aptos" w:hAnsi="Aptos"/>
                <w:b w:val="0"/>
                <w:sz w:val="18"/>
              </w:rPr>
              <w:t>13.7%</w:t>
            </w:r>
          </w:p>
        </w:tc>
      </w:tr>
      <w:tr>
        <w:tc>
          <w:tcPr>
            <w:tcW w:type="dxa" w:w="3168"/>
            <w:vAlign w:val="center"/>
          </w:tcPr>
          <w:p>
            <w:pPr>
              <w:jc w:val="left"/>
            </w:pPr>
            <w:r/>
            <w:r>
              <w:rPr>
                <w:rFonts w:ascii="Aptos" w:hAnsi="Aptos"/>
                <w:b w:val="0"/>
                <w:sz w:val="18"/>
              </w:rPr>
              <w:t>Jaipur</w:t>
            </w:r>
          </w:p>
        </w:tc>
        <w:tc>
          <w:tcPr>
            <w:tcW w:type="dxa" w:w="2880"/>
            <w:vAlign w:val="center"/>
          </w:tcPr>
          <w:p>
            <w:pPr>
              <w:jc w:val="left"/>
            </w:pPr>
            <w:r/>
            <w:r>
              <w:rPr>
                <w:rFonts w:ascii="Aptos" w:hAnsi="Aptos"/>
                <w:b w:val="0"/>
                <w:sz w:val="18"/>
              </w:rPr>
              <w:t>₹411,844</w:t>
            </w:r>
          </w:p>
        </w:tc>
        <w:tc>
          <w:tcPr>
            <w:tcW w:type="dxa" w:w="2160"/>
            <w:vAlign w:val="center"/>
          </w:tcPr>
          <w:p>
            <w:pPr>
              <w:jc w:val="left"/>
            </w:pPr>
            <w:r/>
            <w:r>
              <w:rPr>
                <w:rFonts w:ascii="Aptos" w:hAnsi="Aptos"/>
                <w:b w:val="0"/>
                <w:sz w:val="18"/>
              </w:rPr>
              <w:t>10.8%</w:t>
            </w:r>
          </w:p>
        </w:tc>
      </w:tr>
    </w:tbl>
    <w:p/>
    <w:p>
      <w:pPr>
        <w:pStyle w:val="Heading2"/>
        <w:spacing w:before="80" w:after="120"/>
      </w:pPr>
      <w:r>
        <w:t>Payment Mode</w:t>
      </w:r>
    </w:p>
    <w:p>
      <w:pPr>
        <w:jc w:val="center"/>
      </w:pPr>
      <w:r>
        <w:drawing>
          <wp:inline xmlns:a="http://schemas.openxmlformats.org/drawingml/2006/main" xmlns:pic="http://schemas.openxmlformats.org/drawingml/2006/picture">
            <wp:extent cx="6126480" cy="3025009"/>
            <wp:docPr id="4" name="Picture 4"/>
            <wp:cNvGraphicFramePr>
              <a:graphicFrameLocks noChangeAspect="1"/>
            </wp:cNvGraphicFramePr>
            <a:graphic>
              <a:graphicData uri="http://schemas.openxmlformats.org/drawingml/2006/picture">
                <pic:pic>
                  <pic:nvPicPr>
                    <pic:cNvPr id="0" name="orders_by_payment.png"/>
                    <pic:cNvPicPr/>
                  </pic:nvPicPr>
                  <pic:blipFill>
                    <a:blip r:embed="rId14"/>
                    <a:stretch>
                      <a:fillRect/>
                    </a:stretch>
                  </pic:blipFill>
                  <pic:spPr>
                    <a:xfrm>
                      <a:off x="0" y="0"/>
                      <a:ext cx="6126480" cy="3025009"/>
                    </a:xfrm>
                    <a:prstGeom prst="rect"/>
                  </pic:spPr>
                </pic:pic>
              </a:graphicData>
            </a:graphic>
          </wp:inline>
        </w:drawing>
      </w:r>
    </w:p>
    <w:p>
      <w:pPr>
        <w:pStyle w:val="BodyText"/>
        <w:spacing w:after="100" w:line="259" w:lineRule="auto"/>
      </w:pPr>
      <w:r>
        <w:t>Wallet has the highest order count, while COD is also heavily used. This suggests that payment-channel analysis can be useful for customer experience and conversion optimization.</w:t>
      </w:r>
    </w:p>
    <w:p>
      <w:r>
        <w:br w:type="page"/>
      </w:r>
    </w:p>
    <w:p>
      <w:pPr>
        <w:pStyle w:val="Heading1"/>
        <w:spacing w:before="80" w:after="120"/>
      </w:pPr>
      <w:r>
        <w:t>6. SQL &amp; Power BI Implementation</w:t>
      </w:r>
    </w:p>
    <w:p>
      <w:pPr>
        <w:pStyle w:val="Heading2"/>
        <w:spacing w:before="80" w:after="120"/>
      </w:pPr>
      <w:r>
        <w:t>MySQL / SQL Analysis</w:t>
      </w:r>
    </w:p>
    <w:p>
      <w:pPr>
        <w:pStyle w:val="BodyText"/>
        <w:spacing w:after="100" w:line="259" w:lineRule="auto"/>
      </w:pPr>
      <w:r>
        <w:t>The SQL script creates and selects the ecommerce database, inspects the orders table, calculates total sales, ranks products and cities by sales, analyzes monthly sales, counts orders by payment mode, and filters cancelled orders. The core sales logic is based on Qty × Unit_Price.</w:t>
      </w:r>
    </w:p>
    <w:tbl>
      <w:tblPr>
        <w:tblStyle w:val="TableGrid"/>
        <w:tblW w:type="auto" w:w="0"/>
        <w:jc w:val="center"/>
        <w:tblLook w:firstColumn="1" w:firstRow="1" w:lastColumn="0" w:lastRow="0" w:noHBand="0" w:noVBand="1" w:val="04A0"/>
      </w:tblPr>
      <w:tblGrid>
        <w:gridCol w:w="5040"/>
        <w:gridCol w:w="5040"/>
      </w:tblGrid>
      <w:tr>
        <w:tc>
          <w:tcPr>
            <w:tcW w:type="dxa" w:w="2880"/>
            <w:vAlign w:val="center"/>
            <w:shd w:fill="D9EAF7"/>
          </w:tcPr>
          <w:p>
            <w:pPr>
              <w:jc w:val="left"/>
            </w:pPr>
            <w:r/>
            <w:r>
              <w:rPr>
                <w:rFonts w:ascii="Aptos" w:hAnsi="Aptos"/>
                <w:b/>
                <w:sz w:val="18"/>
              </w:rPr>
              <w:t>Analysis</w:t>
            </w:r>
          </w:p>
        </w:tc>
        <w:tc>
          <w:tcPr>
            <w:tcW w:type="dxa" w:w="6336"/>
            <w:vAlign w:val="center"/>
            <w:shd w:fill="D9EAF7"/>
          </w:tcPr>
          <w:p>
            <w:pPr>
              <w:jc w:val="left"/>
            </w:pPr>
            <w:r/>
            <w:r>
              <w:rPr>
                <w:rFonts w:ascii="Aptos" w:hAnsi="Aptos"/>
                <w:b/>
                <w:sz w:val="18"/>
              </w:rPr>
              <w:t>SQL approach</w:t>
            </w:r>
          </w:p>
        </w:tc>
      </w:tr>
      <w:tr>
        <w:tc>
          <w:tcPr>
            <w:tcW w:type="dxa" w:w="2880"/>
            <w:vAlign w:val="center"/>
          </w:tcPr>
          <w:p>
            <w:pPr>
              <w:jc w:val="left"/>
            </w:pPr>
            <w:r/>
            <w:r>
              <w:rPr>
                <w:rFonts w:ascii="Aptos" w:hAnsi="Aptos"/>
                <w:b w:val="0"/>
                <w:sz w:val="18"/>
              </w:rPr>
              <w:t>Total sales</w:t>
            </w:r>
          </w:p>
        </w:tc>
        <w:tc>
          <w:tcPr>
            <w:tcW w:type="dxa" w:w="6336"/>
            <w:vAlign w:val="center"/>
          </w:tcPr>
          <w:p>
            <w:pPr>
              <w:jc w:val="left"/>
            </w:pPr>
            <w:r/>
            <w:r>
              <w:rPr>
                <w:rFonts w:ascii="Aptos" w:hAnsi="Aptos"/>
                <w:b w:val="0"/>
                <w:sz w:val="18"/>
              </w:rPr>
              <w:t>SUM(Qty * Unit_Price)</w:t>
            </w:r>
          </w:p>
        </w:tc>
      </w:tr>
      <w:tr>
        <w:tc>
          <w:tcPr>
            <w:tcW w:type="dxa" w:w="2880"/>
            <w:vAlign w:val="center"/>
          </w:tcPr>
          <w:p>
            <w:pPr>
              <w:jc w:val="left"/>
            </w:pPr>
            <w:r/>
            <w:r>
              <w:rPr>
                <w:rFonts w:ascii="Aptos" w:hAnsi="Aptos"/>
                <w:b w:val="0"/>
                <w:sz w:val="18"/>
              </w:rPr>
              <w:t>Product ranking</w:t>
            </w:r>
          </w:p>
        </w:tc>
        <w:tc>
          <w:tcPr>
            <w:tcW w:type="dxa" w:w="6336"/>
            <w:vAlign w:val="center"/>
          </w:tcPr>
          <w:p>
            <w:pPr>
              <w:jc w:val="left"/>
            </w:pPr>
            <w:r/>
            <w:r>
              <w:rPr>
                <w:rFonts w:ascii="Aptos" w:hAnsi="Aptos"/>
                <w:b w:val="0"/>
                <w:sz w:val="18"/>
              </w:rPr>
              <w:t>GROUP BY Product + ORDER BY Total_Sales DESC</w:t>
            </w:r>
          </w:p>
        </w:tc>
      </w:tr>
      <w:tr>
        <w:tc>
          <w:tcPr>
            <w:tcW w:type="dxa" w:w="2880"/>
            <w:vAlign w:val="center"/>
          </w:tcPr>
          <w:p>
            <w:pPr>
              <w:jc w:val="left"/>
            </w:pPr>
            <w:r/>
            <w:r>
              <w:rPr>
                <w:rFonts w:ascii="Aptos" w:hAnsi="Aptos"/>
                <w:b w:val="0"/>
                <w:sz w:val="18"/>
              </w:rPr>
              <w:t>City ranking</w:t>
            </w:r>
          </w:p>
        </w:tc>
        <w:tc>
          <w:tcPr>
            <w:tcW w:type="dxa" w:w="6336"/>
            <w:vAlign w:val="center"/>
          </w:tcPr>
          <w:p>
            <w:pPr>
              <w:jc w:val="left"/>
            </w:pPr>
            <w:r/>
            <w:r>
              <w:rPr>
                <w:rFonts w:ascii="Aptos" w:hAnsi="Aptos"/>
                <w:b w:val="0"/>
                <w:sz w:val="18"/>
              </w:rPr>
              <w:t>GROUP BY City + ORDER BY Total_Sales DESC</w:t>
            </w:r>
          </w:p>
        </w:tc>
      </w:tr>
      <w:tr>
        <w:tc>
          <w:tcPr>
            <w:tcW w:type="dxa" w:w="2880"/>
            <w:vAlign w:val="center"/>
          </w:tcPr>
          <w:p>
            <w:pPr>
              <w:jc w:val="left"/>
            </w:pPr>
            <w:r/>
            <w:r>
              <w:rPr>
                <w:rFonts w:ascii="Aptos" w:hAnsi="Aptos"/>
                <w:b w:val="0"/>
                <w:sz w:val="18"/>
              </w:rPr>
              <w:t>Monthly trend</w:t>
            </w:r>
          </w:p>
        </w:tc>
        <w:tc>
          <w:tcPr>
            <w:tcW w:type="dxa" w:w="6336"/>
            <w:vAlign w:val="center"/>
          </w:tcPr>
          <w:p>
            <w:pPr>
              <w:jc w:val="left"/>
            </w:pPr>
            <w:r/>
            <w:r>
              <w:rPr>
                <w:rFonts w:ascii="Aptos" w:hAnsi="Aptos"/>
                <w:b w:val="0"/>
                <w:sz w:val="18"/>
              </w:rPr>
              <w:t>MONTH(STR_TO_DATE(Order_Date, '%d/%m/%Y'))</w:t>
            </w:r>
          </w:p>
        </w:tc>
      </w:tr>
      <w:tr>
        <w:tc>
          <w:tcPr>
            <w:tcW w:type="dxa" w:w="2880"/>
            <w:vAlign w:val="center"/>
          </w:tcPr>
          <w:p>
            <w:pPr>
              <w:jc w:val="left"/>
            </w:pPr>
            <w:r/>
            <w:r>
              <w:rPr>
                <w:rFonts w:ascii="Aptos" w:hAnsi="Aptos"/>
                <w:b w:val="0"/>
                <w:sz w:val="18"/>
              </w:rPr>
              <w:t>Payment analysis</w:t>
            </w:r>
          </w:p>
        </w:tc>
        <w:tc>
          <w:tcPr>
            <w:tcW w:type="dxa" w:w="6336"/>
            <w:vAlign w:val="center"/>
          </w:tcPr>
          <w:p>
            <w:pPr>
              <w:jc w:val="left"/>
            </w:pPr>
            <w:r/>
            <w:r>
              <w:rPr>
                <w:rFonts w:ascii="Aptos" w:hAnsi="Aptos"/>
                <w:b w:val="0"/>
                <w:sz w:val="18"/>
              </w:rPr>
              <w:t>GROUP BY Payment_Mode</w:t>
            </w:r>
          </w:p>
        </w:tc>
      </w:tr>
      <w:tr>
        <w:tc>
          <w:tcPr>
            <w:tcW w:type="dxa" w:w="2880"/>
            <w:vAlign w:val="center"/>
          </w:tcPr>
          <w:p>
            <w:pPr>
              <w:jc w:val="left"/>
            </w:pPr>
            <w:r/>
            <w:r>
              <w:rPr>
                <w:rFonts w:ascii="Aptos" w:hAnsi="Aptos"/>
                <w:b w:val="0"/>
                <w:sz w:val="18"/>
              </w:rPr>
              <w:t>Cancelled orders</w:t>
            </w:r>
          </w:p>
        </w:tc>
        <w:tc>
          <w:tcPr>
            <w:tcW w:type="dxa" w:w="6336"/>
            <w:vAlign w:val="center"/>
          </w:tcPr>
          <w:p>
            <w:pPr>
              <w:jc w:val="left"/>
            </w:pPr>
            <w:r/>
            <w:r>
              <w:rPr>
                <w:rFonts w:ascii="Aptos" w:hAnsi="Aptos"/>
                <w:b w:val="0"/>
                <w:sz w:val="18"/>
              </w:rPr>
              <w:t>WHERE Order_Status = 'Cancelled'</w:t>
            </w:r>
          </w:p>
        </w:tc>
      </w:tr>
    </w:tbl>
    <w:p/>
    <w:p>
      <w:pPr>
        <w:pStyle w:val="BodyText"/>
        <w:spacing w:after="100" w:line="259" w:lineRule="auto"/>
      </w:pPr>
      <w:r>
        <w:t>The supplied SQL file explicitly includes these analysis queries, demonstrating the transition from cleaned order data to relational business reporting.</w:t>
      </w:r>
    </w:p>
    <w:p>
      <w:pPr>
        <w:pStyle w:val="Heading2"/>
        <w:spacing w:before="80" w:after="120"/>
      </w:pPr>
      <w:r>
        <w:t>Power BI Dashboard</w:t>
      </w:r>
    </w:p>
    <w:p>
      <w:pPr>
        <w:pStyle w:val="BodyText"/>
        <w:spacing w:after="100" w:line="259" w:lineRule="auto"/>
      </w:pPr>
      <w:r>
        <w:t>The Power BI dashboard is the presentation layer of the project. Recommended dashboard interactions include date/year-month, category, city, and payment-mode filters, allowing users to move from high-level KPIs to specific segments. The dashboard is intended to provide a single view of sales performance, product contribution, geography, payment behavior, and order status.</w:t>
      </w:r>
    </w:p>
    <w:p>
      <w:pPr>
        <w:pStyle w:val="Heading2"/>
        <w:spacing w:before="80" w:after="120"/>
      </w:pPr>
      <w:r>
        <w:t>End-to-End Flow</w:t>
      </w:r>
    </w:p>
    <w:p>
      <w:pPr>
        <w:pStyle w:val="BodyText"/>
        <w:spacing w:after="100" w:line="259" w:lineRule="auto"/>
      </w:pPr>
      <w:r>
        <w:t>Raw Excel → Python/Pandas cleaning → Feature engineering → Clean dataset → MySQL orders table → SQL analysis → Power BI dashboard → Business insights</w:t>
      </w:r>
    </w:p>
    <w:p>
      <w:r>
        <w:br w:type="page"/>
      </w:r>
    </w:p>
    <w:p>
      <w:pPr>
        <w:pStyle w:val="Heading1"/>
        <w:spacing w:before="80" w:after="120"/>
      </w:pPr>
      <w:r>
        <w:t>7. Key Findings &amp; Recommendations</w:t>
      </w:r>
    </w:p>
    <w:tbl>
      <w:tblPr>
        <w:tblStyle w:val="TableGrid"/>
        <w:tblW w:type="auto" w:w="0"/>
        <w:jc w:val="center"/>
        <w:tblLook w:firstColumn="1" w:firstRow="1" w:lastColumn="0" w:lastRow="0" w:noHBand="0" w:noVBand="1" w:val="04A0"/>
      </w:tblPr>
      <w:tblGrid>
        <w:gridCol w:w="3360"/>
        <w:gridCol w:w="3360"/>
        <w:gridCol w:w="3360"/>
      </w:tblGrid>
      <w:tr>
        <w:tc>
          <w:tcPr>
            <w:tcW w:type="dxa" w:w="1944"/>
            <w:vAlign w:val="center"/>
            <w:shd w:fill="D9EAF7"/>
          </w:tcPr>
          <w:p>
            <w:pPr>
              <w:jc w:val="left"/>
            </w:pPr>
            <w:r/>
            <w:r>
              <w:rPr>
                <w:rFonts w:ascii="Aptos" w:hAnsi="Aptos"/>
                <w:b/>
                <w:sz w:val="18"/>
              </w:rPr>
              <w:t>Area</w:t>
            </w:r>
          </w:p>
        </w:tc>
        <w:tc>
          <w:tcPr>
            <w:tcW w:type="dxa" w:w="3672"/>
            <w:vAlign w:val="center"/>
            <w:shd w:fill="D9EAF7"/>
          </w:tcPr>
          <w:p>
            <w:pPr>
              <w:jc w:val="left"/>
            </w:pPr>
            <w:r/>
            <w:r>
              <w:rPr>
                <w:rFonts w:ascii="Aptos" w:hAnsi="Aptos"/>
                <w:b/>
                <w:sz w:val="18"/>
              </w:rPr>
              <w:t>Evidence</w:t>
            </w:r>
          </w:p>
        </w:tc>
        <w:tc>
          <w:tcPr>
            <w:tcW w:type="dxa" w:w="3672"/>
            <w:vAlign w:val="center"/>
            <w:shd w:fill="D9EAF7"/>
          </w:tcPr>
          <w:p>
            <w:pPr>
              <w:jc w:val="left"/>
            </w:pPr>
            <w:r/>
            <w:r>
              <w:rPr>
                <w:rFonts w:ascii="Aptos" w:hAnsi="Aptos"/>
                <w:b/>
                <w:sz w:val="18"/>
              </w:rPr>
              <w:t>Recommendation</w:t>
            </w:r>
          </w:p>
        </w:tc>
      </w:tr>
      <w:tr>
        <w:tc>
          <w:tcPr>
            <w:tcW w:type="dxa" w:w="1944"/>
            <w:vAlign w:val="center"/>
          </w:tcPr>
          <w:p>
            <w:pPr>
              <w:jc w:val="left"/>
            </w:pPr>
            <w:r/>
            <w:r>
              <w:rPr>
                <w:rFonts w:ascii="Aptos" w:hAnsi="Aptos"/>
                <w:b w:val="0"/>
                <w:sz w:val="18"/>
              </w:rPr>
              <w:t>Category strength</w:t>
            </w:r>
          </w:p>
        </w:tc>
        <w:tc>
          <w:tcPr>
            <w:tcW w:type="dxa" w:w="3672"/>
            <w:vAlign w:val="center"/>
          </w:tcPr>
          <w:p>
            <w:pPr>
              <w:jc w:val="left"/>
            </w:pPr>
            <w:r/>
            <w:r>
              <w:rPr>
                <w:rFonts w:ascii="Aptos" w:hAnsi="Aptos"/>
                <w:b w:val="0"/>
                <w:sz w:val="18"/>
              </w:rPr>
              <w:t>Electronics leads with ₹1,411,589 sales.</w:t>
            </w:r>
          </w:p>
        </w:tc>
        <w:tc>
          <w:tcPr>
            <w:tcW w:type="dxa" w:w="3672"/>
            <w:vAlign w:val="center"/>
          </w:tcPr>
          <w:p>
            <w:pPr>
              <w:jc w:val="left"/>
            </w:pPr>
            <w:r/>
            <w:r>
              <w:rPr>
                <w:rFonts w:ascii="Aptos" w:hAnsi="Aptos"/>
                <w:b w:val="0"/>
                <w:sz w:val="18"/>
              </w:rPr>
              <w:t>Protect inventory availability and promote high-performing electronics products.</w:t>
            </w:r>
          </w:p>
        </w:tc>
      </w:tr>
      <w:tr>
        <w:tc>
          <w:tcPr>
            <w:tcW w:type="dxa" w:w="1944"/>
            <w:vAlign w:val="center"/>
          </w:tcPr>
          <w:p>
            <w:pPr>
              <w:jc w:val="left"/>
            </w:pPr>
            <w:r/>
            <w:r>
              <w:rPr>
                <w:rFonts w:ascii="Aptos" w:hAnsi="Aptos"/>
                <w:b w:val="0"/>
                <w:sz w:val="18"/>
              </w:rPr>
              <w:t>Product performance</w:t>
            </w:r>
          </w:p>
        </w:tc>
        <w:tc>
          <w:tcPr>
            <w:tcW w:type="dxa" w:w="3672"/>
            <w:vAlign w:val="center"/>
          </w:tcPr>
          <w:p>
            <w:pPr>
              <w:jc w:val="left"/>
            </w:pPr>
            <w:r/>
            <w:r>
              <w:rPr>
                <w:rFonts w:ascii="Aptos" w:hAnsi="Aptos"/>
                <w:b w:val="0"/>
                <w:sz w:val="18"/>
              </w:rPr>
              <w:t>Laptop is #1 at ₹729,099.</w:t>
            </w:r>
          </w:p>
        </w:tc>
        <w:tc>
          <w:tcPr>
            <w:tcW w:type="dxa" w:w="3672"/>
            <w:vAlign w:val="center"/>
          </w:tcPr>
          <w:p>
            <w:pPr>
              <w:jc w:val="left"/>
            </w:pPr>
            <w:r/>
            <w:r>
              <w:rPr>
                <w:rFonts w:ascii="Aptos" w:hAnsi="Aptos"/>
                <w:b w:val="0"/>
                <w:sz w:val="18"/>
              </w:rPr>
              <w:t>Use laptop performance as a benchmark for pricing, promotion and stock planning.</w:t>
            </w:r>
          </w:p>
        </w:tc>
      </w:tr>
      <w:tr>
        <w:tc>
          <w:tcPr>
            <w:tcW w:type="dxa" w:w="1944"/>
            <w:vAlign w:val="center"/>
          </w:tcPr>
          <w:p>
            <w:pPr>
              <w:jc w:val="left"/>
            </w:pPr>
            <w:r/>
            <w:r>
              <w:rPr>
                <w:rFonts w:ascii="Aptos" w:hAnsi="Aptos"/>
                <w:b w:val="0"/>
                <w:sz w:val="18"/>
              </w:rPr>
              <w:t>Geographic performance</w:t>
            </w:r>
          </w:p>
        </w:tc>
        <w:tc>
          <w:tcPr>
            <w:tcW w:type="dxa" w:w="3672"/>
            <w:vAlign w:val="center"/>
          </w:tcPr>
          <w:p>
            <w:pPr>
              <w:jc w:val="left"/>
            </w:pPr>
            <w:r/>
            <w:r>
              <w:rPr>
                <w:rFonts w:ascii="Aptos" w:hAnsi="Aptos"/>
                <w:b w:val="0"/>
                <w:sz w:val="18"/>
              </w:rPr>
              <w:t>Pune leads at ₹894,272; Bengaluru is second.</w:t>
            </w:r>
          </w:p>
        </w:tc>
        <w:tc>
          <w:tcPr>
            <w:tcW w:type="dxa" w:w="3672"/>
            <w:vAlign w:val="center"/>
          </w:tcPr>
          <w:p>
            <w:pPr>
              <w:jc w:val="left"/>
            </w:pPr>
            <w:r/>
            <w:r>
              <w:rPr>
                <w:rFonts w:ascii="Aptos" w:hAnsi="Aptos"/>
                <w:b w:val="0"/>
                <w:sz w:val="18"/>
              </w:rPr>
              <w:t>Prioritize marketing and fulfillment optimization in the strongest cities.</w:t>
            </w:r>
          </w:p>
        </w:tc>
      </w:tr>
      <w:tr>
        <w:tc>
          <w:tcPr>
            <w:tcW w:type="dxa" w:w="1944"/>
            <w:vAlign w:val="center"/>
          </w:tcPr>
          <w:p>
            <w:pPr>
              <w:jc w:val="left"/>
            </w:pPr>
            <w:r/>
            <w:r>
              <w:rPr>
                <w:rFonts w:ascii="Aptos" w:hAnsi="Aptos"/>
                <w:b w:val="0"/>
                <w:sz w:val="18"/>
              </w:rPr>
              <w:t>Monthly seasonality</w:t>
            </w:r>
          </w:p>
        </w:tc>
        <w:tc>
          <w:tcPr>
            <w:tcW w:type="dxa" w:w="3672"/>
            <w:vAlign w:val="center"/>
          </w:tcPr>
          <w:p>
            <w:pPr>
              <w:jc w:val="left"/>
            </w:pPr>
            <w:r/>
            <w:r>
              <w:rPr>
                <w:rFonts w:ascii="Aptos" w:hAnsi="Aptos"/>
                <w:b w:val="0"/>
                <w:sz w:val="18"/>
              </w:rPr>
              <w:t>May is the strongest month at ₹875,578.</w:t>
            </w:r>
          </w:p>
        </w:tc>
        <w:tc>
          <w:tcPr>
            <w:tcW w:type="dxa" w:w="3672"/>
            <w:vAlign w:val="center"/>
          </w:tcPr>
          <w:p>
            <w:pPr>
              <w:jc w:val="left"/>
            </w:pPr>
            <w:r/>
            <w:r>
              <w:rPr>
                <w:rFonts w:ascii="Aptos" w:hAnsi="Aptos"/>
                <w:b w:val="0"/>
                <w:sz w:val="18"/>
              </w:rPr>
              <w:t>Investigate May drivers and replicate successful campaigns or demand patterns.</w:t>
            </w:r>
          </w:p>
        </w:tc>
      </w:tr>
      <w:tr>
        <w:tc>
          <w:tcPr>
            <w:tcW w:type="dxa" w:w="1944"/>
            <w:vAlign w:val="center"/>
          </w:tcPr>
          <w:p>
            <w:pPr>
              <w:jc w:val="left"/>
            </w:pPr>
            <w:r/>
            <w:r>
              <w:rPr>
                <w:rFonts w:ascii="Aptos" w:hAnsi="Aptos"/>
                <w:b w:val="0"/>
                <w:sz w:val="18"/>
              </w:rPr>
              <w:t>Returns</w:t>
            </w:r>
          </w:p>
        </w:tc>
        <w:tc>
          <w:tcPr>
            <w:tcW w:type="dxa" w:w="3672"/>
            <w:vAlign w:val="center"/>
          </w:tcPr>
          <w:p>
            <w:pPr>
              <w:jc w:val="left"/>
            </w:pPr>
            <w:r/>
            <w:r>
              <w:rPr>
                <w:rFonts w:ascii="Aptos" w:hAnsi="Aptos"/>
                <w:b w:val="0"/>
                <w:sz w:val="18"/>
              </w:rPr>
              <w:t>Returned orders are the largest status group (90).</w:t>
            </w:r>
          </w:p>
        </w:tc>
        <w:tc>
          <w:tcPr>
            <w:tcW w:type="dxa" w:w="3672"/>
            <w:vAlign w:val="center"/>
          </w:tcPr>
          <w:p>
            <w:pPr>
              <w:jc w:val="left"/>
            </w:pPr>
            <w:r/>
            <w:r>
              <w:rPr>
                <w:rFonts w:ascii="Aptos" w:hAnsi="Aptos"/>
                <w:b w:val="0"/>
                <w:sz w:val="18"/>
              </w:rPr>
              <w:t>Review product quality, descriptions, sizing/specification clarity and delivery experience.</w:t>
            </w:r>
          </w:p>
        </w:tc>
      </w:tr>
      <w:tr>
        <w:tc>
          <w:tcPr>
            <w:tcW w:type="dxa" w:w="1944"/>
            <w:vAlign w:val="center"/>
          </w:tcPr>
          <w:p>
            <w:pPr>
              <w:jc w:val="left"/>
            </w:pPr>
            <w:r/>
            <w:r>
              <w:rPr>
                <w:rFonts w:ascii="Aptos" w:hAnsi="Aptos"/>
                <w:b w:val="0"/>
                <w:sz w:val="18"/>
              </w:rPr>
              <w:t>Cancellations</w:t>
            </w:r>
          </w:p>
        </w:tc>
        <w:tc>
          <w:tcPr>
            <w:tcW w:type="dxa" w:w="3672"/>
            <w:vAlign w:val="center"/>
          </w:tcPr>
          <w:p>
            <w:pPr>
              <w:jc w:val="left"/>
            </w:pPr>
            <w:r/>
            <w:r>
              <w:rPr>
                <w:rFonts w:ascii="Aptos" w:hAnsi="Aptos"/>
                <w:b w:val="0"/>
                <w:sz w:val="18"/>
              </w:rPr>
              <w:t>Cancelled orders total 86.</w:t>
            </w:r>
          </w:p>
        </w:tc>
        <w:tc>
          <w:tcPr>
            <w:tcW w:type="dxa" w:w="3672"/>
            <w:vAlign w:val="center"/>
          </w:tcPr>
          <w:p>
            <w:pPr>
              <w:jc w:val="left"/>
            </w:pPr>
            <w:r/>
            <w:r>
              <w:rPr>
                <w:rFonts w:ascii="Aptos" w:hAnsi="Aptos"/>
                <w:b w:val="0"/>
                <w:sz w:val="18"/>
              </w:rPr>
              <w:t>Identify cancellation reasons and improve payment, inventory and delivery communication.</w:t>
            </w:r>
          </w:p>
        </w:tc>
      </w:tr>
      <w:tr>
        <w:tc>
          <w:tcPr>
            <w:tcW w:type="dxa" w:w="1944"/>
            <w:vAlign w:val="center"/>
          </w:tcPr>
          <w:p>
            <w:pPr>
              <w:jc w:val="left"/>
            </w:pPr>
            <w:r/>
            <w:r>
              <w:rPr>
                <w:rFonts w:ascii="Aptos" w:hAnsi="Aptos"/>
                <w:b w:val="0"/>
                <w:sz w:val="18"/>
              </w:rPr>
              <w:t>Payment behavior</w:t>
            </w:r>
          </w:p>
        </w:tc>
        <w:tc>
          <w:tcPr>
            <w:tcW w:type="dxa" w:w="3672"/>
            <w:vAlign w:val="center"/>
          </w:tcPr>
          <w:p>
            <w:pPr>
              <w:jc w:val="left"/>
            </w:pPr>
            <w:r/>
            <w:r>
              <w:rPr>
                <w:rFonts w:ascii="Aptos" w:hAnsi="Aptos"/>
                <w:b w:val="0"/>
                <w:sz w:val="18"/>
              </w:rPr>
              <w:t>Wallet records 80 orders.</w:t>
            </w:r>
          </w:p>
        </w:tc>
        <w:tc>
          <w:tcPr>
            <w:tcW w:type="dxa" w:w="3672"/>
            <w:vAlign w:val="center"/>
          </w:tcPr>
          <w:p>
            <w:pPr>
              <w:jc w:val="left"/>
            </w:pPr>
            <w:r/>
            <w:r>
              <w:rPr>
                <w:rFonts w:ascii="Aptos" w:hAnsi="Aptos"/>
                <w:b w:val="0"/>
                <w:sz w:val="18"/>
              </w:rPr>
              <w:t>Keep wallet experience strong while monitoring COD and other payment channels.</w:t>
            </w:r>
          </w:p>
        </w:tc>
      </w:tr>
    </w:tbl>
    <w:p/>
    <w:p>
      <w:pPr>
        <w:pStyle w:val="Heading2"/>
        <w:spacing w:before="80" w:after="120"/>
      </w:pPr>
      <w:r>
        <w:t>Management Dashboard KPIs</w:t>
      </w:r>
    </w:p>
    <w:p>
      <w:pPr>
        <w:pStyle w:val="ListBullet"/>
        <w:spacing w:after="60"/>
      </w:pPr>
      <w:r>
        <w:t>Total Sales</w:t>
      </w:r>
    </w:p>
    <w:p>
      <w:pPr>
        <w:pStyle w:val="ListBullet"/>
        <w:spacing w:after="60"/>
      </w:pPr>
      <w:r>
        <w:t>Net Amount</w:t>
      </w:r>
    </w:p>
    <w:p>
      <w:pPr>
        <w:pStyle w:val="ListBullet"/>
        <w:spacing w:after="60"/>
      </w:pPr>
      <w:r>
        <w:t>Estimated Profit</w:t>
      </w:r>
    </w:p>
    <w:p>
      <w:pPr>
        <w:pStyle w:val="ListBullet"/>
        <w:spacing w:after="60"/>
      </w:pPr>
      <w:r>
        <w:t>Total Orders</w:t>
      </w:r>
    </w:p>
    <w:p>
      <w:pPr>
        <w:pStyle w:val="ListBullet"/>
        <w:spacing w:after="60"/>
      </w:pPr>
      <w:r>
        <w:t>Total Quantity</w:t>
      </w:r>
    </w:p>
    <w:p>
      <w:pPr>
        <w:pStyle w:val="ListBullet"/>
        <w:spacing w:after="60"/>
      </w:pPr>
      <w:r>
        <w:t>Delivered / Pending / Returned / Cancelled</w:t>
      </w:r>
    </w:p>
    <w:p>
      <w:pPr>
        <w:pStyle w:val="ListBullet"/>
        <w:spacing w:after="60"/>
      </w:pPr>
      <w:r>
        <w:t>Sales by Product and Category</w:t>
      </w:r>
    </w:p>
    <w:p>
      <w:pPr>
        <w:pStyle w:val="ListBullet"/>
        <w:spacing w:after="60"/>
      </w:pPr>
      <w:r>
        <w:t>Sales by City</w:t>
      </w:r>
    </w:p>
    <w:p>
      <w:pPr>
        <w:pStyle w:val="ListBullet"/>
        <w:spacing w:after="60"/>
      </w:pPr>
      <w:r>
        <w:t>Monthly Sales Trend</w:t>
      </w:r>
    </w:p>
    <w:p>
      <w:pPr>
        <w:pStyle w:val="ListBullet"/>
        <w:spacing w:after="60"/>
      </w:pPr>
      <w:r>
        <w:t>Orders by Payment Mode</w:t>
      </w:r>
    </w:p>
    <w:p>
      <w:r>
        <w:br w:type="page"/>
      </w:r>
    </w:p>
    <w:p>
      <w:pPr>
        <w:pStyle w:val="Heading1"/>
        <w:spacing w:before="80" w:after="120"/>
      </w:pPr>
      <w:r>
        <w:t>8. Conclusion</w:t>
      </w:r>
    </w:p>
    <w:p>
      <w:pPr>
        <w:pStyle w:val="BodyText"/>
        <w:spacing w:after="100" w:line="259" w:lineRule="auto"/>
      </w:pPr>
      <w:r>
        <w:t>This e-commerce analytics project demonstrates a complete data-analysis lifecycle from raw data preparation to business reporting. Python/Pandas was used to identify and address duplicates, invalid values, missing values, formatting inconsistencies and data types. Feature engineering added sales, net amount, profit and time-based fields for analysis.</w:t>
      </w:r>
    </w:p>
    <w:p>
      <w:pPr>
        <w:pStyle w:val="BodyText"/>
        <w:spacing w:after="100" w:line="259" w:lineRule="auto"/>
      </w:pPr>
      <w:r>
        <w:t>SQL provided a structured way to query sales, products, cities, monthly performance, payment methods and cancelled orders. Power BI then converts these analyses into an interactive dashboard suitable for management review and business exploration.</w:t>
      </w:r>
    </w:p>
    <w:p>
      <w:pPr>
        <w:pStyle w:val="BodyText"/>
        <w:spacing w:after="100" w:line="259" w:lineRule="auto"/>
      </w:pPr>
      <w:r>
        <w:t>Based on the cleaned 343-row analysis dataset, the project reports ₹3,808,557 in gross sales, ₹3,515,432 in net amount, ₹703,086 in illustrative profit, and 1,143 units across 343 unique order IDs. The strongest category is Electronics, the leading product is Laptop, and Pune is the strongest city by sales.</w:t>
      </w:r>
    </w:p>
    <w:p>
      <w:pPr>
        <w:pStyle w:val="Heading2"/>
        <w:spacing w:before="80" w:after="120"/>
      </w:pPr>
      <w:r>
        <w:t>Final Takeaway</w:t>
      </w:r>
    </w:p>
    <w:p>
      <w:pPr>
        <w:pStyle w:val="BodyText"/>
        <w:spacing w:after="100" w:line="259" w:lineRule="auto"/>
      </w:pPr>
      <w:r>
        <w:t>The main business opportunity is not only to grow sales but also to improve order quality. The high share of returned and cancelled orders indicates that operational improvements—such as better product information, inventory accuracy, payment experience and delivery communication—could strengthen the value generated from existing demand.</w:t>
      </w:r>
    </w:p>
    <w:p>
      <w:pPr>
        <w:pStyle w:val="Heading2"/>
        <w:spacing w:before="80" w:after="120"/>
      </w:pPr>
      <w:r>
        <w:t>Tools Used</w:t>
      </w:r>
    </w:p>
    <w:p>
      <w:pPr>
        <w:pStyle w:val="BodyText"/>
        <w:spacing w:after="100" w:line="259" w:lineRule="auto"/>
      </w:pPr>
      <w:r>
        <w:t>Python • Pandas • NumPy • MySQL • SQL • Power BI • Excel</w:t>
      </w:r>
    </w:p>
    <w:p>
      <w:pPr>
        <w:pStyle w:val="Heading2"/>
        <w:spacing w:before="80" w:after="120"/>
      </w:pPr>
      <w:r>
        <w:t>Source Files Reviewed</w:t>
      </w:r>
    </w:p>
    <w:p>
      <w:pPr>
        <w:pStyle w:val="ListBullet"/>
        <w:spacing w:after="60"/>
      </w:pPr>
      <w:r>
        <w:t>Ecommerce_Unclean_Project.xlsx — source dataset</w:t>
      </w:r>
    </w:p>
    <w:p>
      <w:pPr>
        <w:pStyle w:val="ListBullet"/>
        <w:spacing w:after="60"/>
      </w:pPr>
      <w:r>
        <w:t>ecommerce.ipynb — cleaning, feature engineering and MySQL workflow</w:t>
      </w:r>
    </w:p>
    <w:p>
      <w:pPr>
        <w:pStyle w:val="ListBullet"/>
        <w:spacing w:after="60"/>
      </w:pPr>
      <w:r>
        <w:t>ecommerce sql.sql — SQL analysis queries</w:t>
      </w:r>
    </w:p>
    <w:p>
      <w:pPr>
        <w:pStyle w:val="ListBullet"/>
        <w:spacing w:after="60"/>
      </w:pPr>
      <w:r>
        <w:t>Clean_Ecommerce_Finall.csv — supplied project data output</w:t>
      </w:r>
    </w:p>
    <w:p>
      <w:pPr>
        <w:pStyle w:val="ListBullet"/>
        <w:spacing w:after="60"/>
      </w:pPr>
      <w:r>
        <w:t>Ecommerce dashboard.pbix — Power BI dashboard</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sz w:val="16"/>
      </w:rPr>
      <w:t>Project Report  |  2025 Dataset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sz w:val="16"/>
      </w:rPr>
      <w:t>E-COMMERCE SALES &amp; CUSTOMER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Display" w:hAnsi="Aptos Display"/>
      <w:i/>
      <w:iCs/>
      <w:color w:val="4F81BD" w:themeColor="accent1"/>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