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40"/>
        <w:jc w:val="center"/>
      </w:pPr>
      <w:r>
        <w:rPr>
          <w:rFonts w:ascii="Arial" w:cs="Arial" w:eastAsia="Arial" w:hAnsi="Arial"/>
          <w:b/>
          <w:bCs/>
          <w:caps/>
          <w:color w:val="2E6DA4"/>
          <w:sz w:val="22"/>
          <w:szCs w:val="22"/>
        </w:rPr>
        <w:t xml:space="preserve">PROJECT TECHNICAL DOCUMENTATION</w:t>
      </w:r>
    </w:p>
    <w:p>
      <w:pPr>
        <w:pBdr>
          <w:bottom w:val="single" w:color="1B3F8C" w:sz="6" w:space="8"/>
        </w:pBdr>
        <w:spacing w:before="0" w:after="60"/>
        <w:jc w:val="center"/>
      </w:pPr>
      <w:r>
        <w:t xml:space="preserve"/>
      </w:r>
    </w:p>
    <w:p>
      <w:pPr>
        <w:spacing w:before="100" w:after="80"/>
        <w:jc w:val="center"/>
      </w:pPr>
      <w:r>
        <w:rPr>
          <w:rFonts w:ascii="Arial" w:cs="Arial" w:eastAsia="Arial" w:hAnsi="Arial"/>
          <w:b/>
          <w:bCs/>
          <w:color w:val="1B3F8C"/>
          <w:sz w:val="52"/>
          <w:szCs w:val="52"/>
        </w:rPr>
        <w:t xml:space="preserve">Wind-Aware Spatio-Temporal</w:t>
      </w:r>
    </w:p>
    <w:p>
      <w:pPr>
        <w:spacing w:before="0" w:after="80"/>
        <w:jc w:val="center"/>
      </w:pPr>
      <w:r>
        <w:rPr>
          <w:rFonts w:ascii="Arial" w:cs="Arial" w:eastAsia="Arial" w:hAnsi="Arial"/>
          <w:b/>
          <w:bCs/>
          <w:color w:val="1B3F8C"/>
          <w:sz w:val="52"/>
          <w:szCs w:val="52"/>
        </w:rPr>
        <w:t xml:space="preserve">AQI Prediction System</w:t>
      </w:r>
    </w:p>
    <w:p>
      <w:pPr>
        <w:spacing w:before="0" w:after="120"/>
        <w:jc w:val="center"/>
      </w:pPr>
      <w:r>
        <w:rPr>
          <w:rFonts w:ascii="Arial" w:cs="Arial" w:eastAsia="Arial" w:hAnsi="Arial"/>
          <w:b w:val="false"/>
          <w:bCs w:val="false"/>
          <w:i/>
          <w:iCs/>
          <w:color w:val="2E6DA4"/>
          <w:sz w:val="40"/>
          <w:szCs w:val="40"/>
        </w:rPr>
        <w:t xml:space="preserve">for India</w:t>
      </w:r>
    </w:p>
    <w:p>
      <w:pPr>
        <w:pBdr>
          <w:bottom w:val="single" w:color="C5D5E8" w:sz="2" w:space="6"/>
        </w:pBdr>
        <w:spacing w:before="60" w:after="60"/>
        <w:jc w:val="center"/>
      </w:pPr>
      <w:r>
        <w:rPr>
          <w:rFonts w:ascii="Arial" w:cs="Arial" w:eastAsia="Arial" w:hAnsi="Arial"/>
          <w:i/>
          <w:iCs/>
          <w:color w:val="2C3E6B"/>
          <w:sz w:val="24"/>
          <w:szCs w:val="24"/>
        </w:rPr>
        <w:t xml:space="preserve">Predicting Air Quality Index at Any Location in India Using Wind Transport Modelling,</w:t>
      </w:r>
    </w:p>
    <w:p>
      <w:pPr>
        <w:spacing w:before="0" w:after="200"/>
        <w:jc w:val="center"/>
      </w:pPr>
      <w:r>
        <w:rPr>
          <w:rFonts w:ascii="Arial" w:cs="Arial" w:eastAsia="Arial" w:hAnsi="Arial"/>
          <w:i/>
          <w:iCs/>
          <w:color w:val="2C3E6B"/>
          <w:sz w:val="24"/>
          <w:szCs w:val="24"/>
        </w:rPr>
        <w:t xml:space="preserve">Spatiotemporal Graph Neural Networks, and Multi-Source Environmental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F8C" w:sz="1"/>
              <w:left w:val="single" w:color="1B3F8C" w:sz="1"/>
              <w:bottom w:val="single" w:color="1B3F8C" w:sz="1"/>
              <w:right w:val="single" w:color="1B3F8C" w:sz="1"/>
            </w:tcBorders>
            <w:shd w:fill="EBF1F9" w:val="clear"/>
            <w:tcMar>
              <w:top w:type="dxa" w:w="100"/>
              <w:left w:type="dxa" w:w="100"/>
              <w:bottom w:type="dxa" w:w="100"/>
              <w:right w:type="dxa" w:w="100"/>
            </w:tcMar>
          </w:tcPr>
          <w:p>
            <w:pPr>
              <w:jc w:val="center"/>
            </w:pPr>
            <w:r>
              <w:rPr>
                <w:rFonts w:ascii="Arial" w:cs="Arial" w:eastAsia="Arial" w:hAnsi="Arial"/>
                <w:b/>
                <w:bCs/>
                <w:color w:val="1B3F8C"/>
                <w:sz w:val="20"/>
                <w:szCs w:val="20"/>
              </w:rPr>
              <w:t xml:space="preserve">Civil Engineering</w:t>
            </w:r>
          </w:p>
        </w:tc>
        <w:tc>
          <w:tcPr>
            <w:tcW w:type="dxa" w:w="2340"/>
            <w:tcBorders>
              <w:top w:val="single" w:color="1B3F8C" w:sz="1"/>
              <w:left w:val="single" w:color="1B3F8C" w:sz="1"/>
              <w:bottom w:val="single" w:color="1B3F8C" w:sz="1"/>
              <w:right w:val="single" w:color="1B3F8C" w:sz="1"/>
            </w:tcBorders>
            <w:shd w:fill="EBF1F9" w:val="clear"/>
            <w:tcMar>
              <w:top w:type="dxa" w:w="100"/>
              <w:left w:type="dxa" w:w="100"/>
              <w:bottom w:type="dxa" w:w="100"/>
              <w:right w:type="dxa" w:w="100"/>
            </w:tcMar>
          </w:tcPr>
          <w:p>
            <w:pPr>
              <w:jc w:val="center"/>
            </w:pPr>
            <w:r>
              <w:rPr>
                <w:rFonts w:ascii="Arial" w:cs="Arial" w:eastAsia="Arial" w:hAnsi="Arial"/>
                <w:b/>
                <w:bCs/>
                <w:color w:val="1B3F8C"/>
                <w:sz w:val="20"/>
                <w:szCs w:val="20"/>
              </w:rPr>
              <w:t xml:space="preserve">Machine Learning</w:t>
            </w:r>
          </w:p>
        </w:tc>
        <w:tc>
          <w:tcPr>
            <w:tcW w:type="dxa" w:w="2340"/>
            <w:tcBorders>
              <w:top w:val="single" w:color="1B3F8C" w:sz="1"/>
              <w:left w:val="single" w:color="1B3F8C" w:sz="1"/>
              <w:bottom w:val="single" w:color="1B3F8C" w:sz="1"/>
              <w:right w:val="single" w:color="1B3F8C" w:sz="1"/>
            </w:tcBorders>
            <w:shd w:fill="EBF1F9" w:val="clear"/>
            <w:tcMar>
              <w:top w:type="dxa" w:w="100"/>
              <w:left w:type="dxa" w:w="100"/>
              <w:bottom w:type="dxa" w:w="100"/>
              <w:right w:type="dxa" w:w="100"/>
            </w:tcMar>
          </w:tcPr>
          <w:p>
            <w:pPr>
              <w:jc w:val="center"/>
            </w:pPr>
            <w:r>
              <w:rPr>
                <w:rFonts w:ascii="Arial" w:cs="Arial" w:eastAsia="Arial" w:hAnsi="Arial"/>
                <w:b/>
                <w:bCs/>
                <w:color w:val="1B3F8C"/>
                <w:sz w:val="20"/>
                <w:szCs w:val="20"/>
              </w:rPr>
              <w:t xml:space="preserve">Geospatial (GIS)</w:t>
            </w:r>
          </w:p>
        </w:tc>
        <w:tc>
          <w:tcPr>
            <w:tcW w:type="dxa" w:w="2340"/>
            <w:tcBorders>
              <w:top w:val="single" w:color="1B3F8C" w:sz="1"/>
              <w:left w:val="single" w:color="1B3F8C" w:sz="1"/>
              <w:bottom w:val="single" w:color="1B3F8C" w:sz="1"/>
              <w:right w:val="single" w:color="1B3F8C" w:sz="1"/>
            </w:tcBorders>
            <w:shd w:fill="EBF1F9" w:val="clear"/>
            <w:tcMar>
              <w:top w:type="dxa" w:w="100"/>
              <w:left w:type="dxa" w:w="100"/>
              <w:bottom w:type="dxa" w:w="100"/>
              <w:right w:type="dxa" w:w="100"/>
            </w:tcMar>
          </w:tcPr>
          <w:p>
            <w:pPr>
              <w:jc w:val="center"/>
            </w:pPr>
            <w:r>
              <w:rPr>
                <w:rFonts w:ascii="Arial" w:cs="Arial" w:eastAsia="Arial" w:hAnsi="Arial"/>
                <w:b/>
                <w:bCs/>
                <w:color w:val="1B3F8C"/>
                <w:sz w:val="20"/>
                <w:szCs w:val="20"/>
              </w:rPr>
              <w:t xml:space="preserve">Environmental Sci.</w:t>
            </w:r>
          </w:p>
        </w:tc>
      </w:tr>
    </w:tbl>
    <w:p>
      <w:pPr>
        <w:spacing w:before="0" w:after="240"/>
      </w:pPr>
      <w:r>
        <w:t xml:space="preserve"/>
      </w:r>
    </w:p>
    <w:p>
      <w:pPr>
        <w:jc w:val="center"/>
      </w:pPr>
      <w:r>
        <w:rPr>
          <w:rFonts w:ascii="Arial" w:cs="Arial" w:eastAsia="Arial" w:hAnsi="Arial"/>
          <w:color w:val="2C3E6B"/>
          <w:sz w:val="22"/>
          <w:szCs w:val="22"/>
        </w:rPr>
        <w:t xml:space="preserve">Badithala Nayan Preetham  |  B.Tech Civil Engineering  |  IIT (BHU) Varanasi</w:t>
      </w:r>
    </w:p>
    <w:p>
      <w:pPr>
        <w:jc w:val="center"/>
      </w:pPr>
      <w:r>
        <w:rPr>
          <w:rFonts w:ascii="Arial" w:cs="Arial" w:eastAsia="Arial" w:hAnsi="Arial"/>
          <w:color w:val="2C3E6B"/>
          <w:sz w:val="22"/>
          <w:szCs w:val="22"/>
        </w:rPr>
        <w:t xml:space="preserve">Under guidance of Prof. Dr. Anurag Ohri  |  Department of Civil Engineering</w:t>
      </w:r>
    </w:p>
    <w:p>
      <w:pPr>
        <w:spacing w:before="60"/>
        <w:jc w:val="center"/>
      </w:pPr>
      <w:r>
        <w:rPr>
          <w:rFonts w:ascii="Arial" w:cs="Arial" w:eastAsia="Arial" w:hAnsi="Arial"/>
          <w:color w:val="888888"/>
          <w:sz w:val="22"/>
          <w:szCs w:val="22"/>
        </w:rPr>
        <w:t xml:space="preserve">2025 – 2026</w:t>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1. Project Overview</w:t>
      </w:r>
    </w:p>
    <w:p>
      <w:pPr>
        <w:spacing w:before="60" w:after="100"/>
        <w:jc w:val="both"/>
      </w:pPr>
      <w:r>
        <w:rPr>
          <w:rFonts w:ascii="Arial" w:cs="Arial" w:eastAsia="Arial" w:hAnsi="Arial"/>
          <w:color w:val="1A1A2E"/>
          <w:sz w:val="22"/>
          <w:szCs w:val="22"/>
        </w:rPr>
        <w:t xml:space="preserve">This project develops a Wind-Aware Spatiotemporal AQI Prediction System capable of forecasting Air Quality Index at any geographic location in India — including cities and regions with no physical monitoring station — by entering only a latitude and longitude.</w:t>
      </w:r>
    </w:p>
    <w:p>
      <w:pPr>
        <w:spacing w:before="0" w:after="80"/>
      </w:pPr>
      <w:r>
        <w:t xml:space="preserve"/>
      </w:r>
    </w:p>
    <w:p>
      <w:pPr>
        <w:spacing w:before="60" w:after="100"/>
        <w:jc w:val="both"/>
      </w:pPr>
      <w:r>
        <w:rPr>
          <w:rFonts w:ascii="Arial" w:cs="Arial" w:eastAsia="Arial" w:hAnsi="Arial"/>
          <w:color w:val="1A1A2E"/>
          <w:sz w:val="22"/>
          <w:szCs w:val="22"/>
        </w:rPr>
        <w:t xml:space="preserve">The system combines three pillars that no existing Indian AQI tool integrates simultaneously:</w:t>
      </w:r>
    </w:p>
    <w:p>
      <w:pPr>
        <w:pStyle w:val="ListParagraph"/>
        <w:numPr>
          <w:ilvl w:val="0"/>
          <w:numId w:val="2"/>
        </w:numPr>
        <w:spacing w:before="40" w:after="40"/>
      </w:pPr>
      <w:r>
        <w:rPr>
          <w:rFonts w:ascii="Arial" w:cs="Arial" w:eastAsia="Arial" w:hAnsi="Arial"/>
          <w:color w:val="1A1A2E"/>
          <w:sz w:val="22"/>
          <w:szCs w:val="22"/>
        </w:rPr>
        <w:t xml:space="preserve">Historical pollution data from 183 CPCB monitoring stations across India (2014–2023)</w:t>
      </w:r>
    </w:p>
    <w:p>
      <w:pPr>
        <w:pStyle w:val="ListParagraph"/>
        <w:numPr>
          <w:ilvl w:val="0"/>
          <w:numId w:val="2"/>
        </w:numPr>
        <w:spacing w:before="40" w:after="40"/>
      </w:pPr>
      <w:r>
        <w:rPr>
          <w:rFonts w:ascii="Arial" w:cs="Arial" w:eastAsia="Arial" w:hAnsi="Arial"/>
          <w:color w:val="1A1A2E"/>
          <w:sz w:val="22"/>
          <w:szCs w:val="22"/>
        </w:rPr>
        <w:t xml:space="preserve">Atmospheric transport modelling — how pollution physically travels between cities driven by wind</w:t>
      </w:r>
    </w:p>
    <w:p>
      <w:pPr>
        <w:pStyle w:val="ListParagraph"/>
        <w:numPr>
          <w:ilvl w:val="0"/>
          <w:numId w:val="2"/>
        </w:numPr>
        <w:spacing w:before="40" w:after="40"/>
      </w:pPr>
      <w:r>
        <w:rPr>
          <w:rFonts w:ascii="Arial" w:cs="Arial" w:eastAsia="Arial" w:hAnsi="Arial"/>
          <w:color w:val="1A1A2E"/>
          <w:sz w:val="22"/>
          <w:szCs w:val="22"/>
        </w:rPr>
        <w:t xml:space="preserve">Spatiotemporal Graph Neural Networks (GNN) that model cities as nodes and wind-driven relationships as dynamic edges</w:t>
      </w:r>
    </w:p>
    <w:p>
      <w:pPr>
        <w:spacing w:before="0" w:after="80"/>
      </w:pPr>
      <w:r>
        <w:t xml:space="preserve"/>
      </w:r>
    </w:p>
    <w:p>
      <w:pPr>
        <w:pStyle w:val="Heading2"/>
        <w:spacing w:before="280" w:after="80"/>
      </w:pPr>
      <w:r>
        <w:rPr>
          <w:rFonts w:ascii="Arial" w:cs="Arial" w:eastAsia="Arial" w:hAnsi="Arial"/>
          <w:b/>
          <w:bCs/>
          <w:color w:val="2E6DA4"/>
          <w:sz w:val="26"/>
          <w:szCs w:val="26"/>
        </w:rPr>
        <w:t xml:space="preserve">1.1 The Core Problem This Solves</w:t>
      </w:r>
    </w:p>
    <w:p>
      <w:pPr>
        <w:spacing w:before="60" w:after="100"/>
        <w:jc w:val="both"/>
      </w:pPr>
      <w:r>
        <w:rPr>
          <w:rFonts w:ascii="Arial" w:cs="Arial" w:eastAsia="Arial" w:hAnsi="Arial"/>
          <w:color w:val="1A1A2E"/>
          <w:sz w:val="22"/>
          <w:szCs w:val="22"/>
        </w:rPr>
        <w:t xml:space="preserve">India has approximately 300 CPCB monitoring stations for 4,000+ urban settlements. Over 79% of the Indian population has no access to real-time air quality data. Existing tools (CPCB Sameer App, IQAir, SAFAR) show readings only where physical sensors exist. When sensors fail or are absent, there is no prediction capability.</w:t>
      </w:r>
    </w:p>
    <w:p>
      <w:pPr>
        <w:spacing w:before="0" w:after="80"/>
      </w:pPr>
      <w:r>
        <w:t xml:space="preserve"/>
      </w:r>
    </w:p>
    <w:p>
      <w:pPr>
        <w:spacing w:before="60" w:after="100"/>
        <w:jc w:val="both"/>
      </w:pPr>
      <w:r>
        <w:rPr>
          <w:rFonts w:ascii="Arial" w:cs="Arial" w:eastAsia="Arial" w:hAnsi="Arial"/>
          <w:color w:val="1A1A2E"/>
          <w:sz w:val="22"/>
          <w:szCs w:val="22"/>
        </w:rPr>
        <w:t xml:space="preserve">This project answers a question no existing Indian system can answer: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F8C" w:sz="1"/>
              <w:left w:val="single" w:color="1B3F8C" w:sz="1"/>
              <w:bottom w:val="single" w:color="1B3F8C" w:sz="1"/>
              <w:right w:val="single" w:color="1B3F8C" w:sz="1"/>
            </w:tcBorders>
            <w:shd w:fill="EBF1F9" w:val="clear"/>
            <w:tcMar>
              <w:top w:type="dxa" w:w="120"/>
              <w:left w:type="dxa" w:w="200"/>
              <w:bottom w:type="dxa" w:w="120"/>
              <w:right w:type="dxa" w:w="200"/>
            </w:tcMar>
          </w:tcPr>
          <w:p>
            <w:pPr>
              <w:jc w:val="center"/>
            </w:pPr>
            <w:r>
              <w:rPr>
                <w:rFonts w:ascii="Arial" w:cs="Arial" w:eastAsia="Arial" w:hAnsi="Arial"/>
                <w:b/>
                <w:bCs/>
                <w:i/>
                <w:iCs/>
                <w:color w:val="1B3F8C"/>
                <w:sz w:val="24"/>
                <w:szCs w:val="24"/>
              </w:rPr>
              <w:t xml:space="preserve">"What is the AQI right now at 25.3°N, 83.0°E — and which city's pollution is causing it?"</w:t>
            </w:r>
          </w:p>
        </w:tc>
      </w:tr>
    </w:tbl>
    <w:p>
      <w:pPr>
        <w:spacing w:before="0" w:after="80"/>
      </w:pPr>
      <w:r>
        <w:t xml:space="preserve"/>
      </w:r>
    </w:p>
    <w:p>
      <w:pPr>
        <w:pStyle w:val="Heading2"/>
        <w:spacing w:before="280" w:after="80"/>
      </w:pPr>
      <w:r>
        <w:rPr>
          <w:rFonts w:ascii="Arial" w:cs="Arial" w:eastAsia="Arial" w:hAnsi="Arial"/>
          <w:b/>
          <w:bCs/>
          <w:color w:val="2E6DA4"/>
          <w:sz w:val="26"/>
          <w:szCs w:val="26"/>
        </w:rPr>
        <w:t xml:space="preserve">1.2 What Makes This Different From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0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0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Covers</w:t>
            </w:r>
          </w:p>
        </w:tc>
        <w:tc>
          <w:tcPr>
            <w:tcW w:type="dxa" w:w="296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Critical Gap</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CPCB Sameer App</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Live sensor readings</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~300 cities</w:t>
            </w:r>
          </w:p>
        </w:tc>
        <w:tc>
          <w:tcPr>
            <w:tcW w:type="dxa" w:w="29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Zero prediction, zero unmonitored coverage</w:t>
            </w:r>
          </w:p>
        </w:tc>
      </w:tr>
      <w:tr>
        <w:tc>
          <w:tcPr>
            <w:tcW w:type="dxa" w:w="24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IQAir / AirVisual</w:t>
            </w:r>
          </w:p>
        </w:tc>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Sensor + weather interpolation</w:t>
            </w:r>
          </w:p>
        </w:tc>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Global (patchy)</w:t>
            </w:r>
          </w:p>
        </w:tc>
        <w:tc>
          <w:tcPr>
            <w:tcW w:type="dxa" w:w="29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No transport modelling, only measurement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SAFAR (MoES India)</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WRF-Chem physics simulation</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8 Indian cities only</w:t>
            </w:r>
          </w:p>
        </w:tc>
        <w:tc>
          <w:tcPr>
            <w:tcW w:type="dxa" w:w="29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Expensive, not scalable, not ML-based</w:t>
            </w:r>
          </w:p>
        </w:tc>
      </w:tr>
      <w:tr>
        <w:tc>
          <w:tcPr>
            <w:tcW w:type="dxa" w:w="24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ICIMD Dashboard (2024)</w:t>
            </w:r>
          </w:p>
        </w:tc>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WRF-Chem for IGP region</w:t>
            </w:r>
          </w:p>
        </w:tc>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IGP + Himalayas</w:t>
            </w:r>
          </w:p>
        </w:tc>
        <w:tc>
          <w:tcPr>
            <w:tcW w:type="dxa" w:w="29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Physics model only, no unmonitored prediction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Nature 2025 (IGB study)</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ML + MERRA-2 PM2.5 estimation</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Delhi/Kanpur/Patna</w:t>
            </w:r>
          </w:p>
        </w:tc>
        <w:tc>
          <w:tcPr>
            <w:tcW w:type="dxa" w:w="29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Estimates present PM2.5 — not transport forecasting</w:t>
            </w:r>
          </w:p>
        </w:tc>
      </w:tr>
      <w:tr>
        <w:tc>
          <w:tcPr>
            <w:tcW w:type="dxa" w:w="2400"/>
            <w:tcBorders>
              <w:top w:val="single" w:color="C5D5E8" w:sz="1"/>
              <w:left w:val="single" w:color="C5D5E8" w:sz="1"/>
              <w:bottom w:val="single" w:color="C5D5E8" w:sz="1"/>
              <w:right w:val="single" w:color="C5D5E8" w:sz="1"/>
            </w:tcBorders>
            <w:shd w:fill="E8F5E9" w:val="clear"/>
            <w:tcMar>
              <w:top w:type="dxa" w:w="70"/>
              <w:left w:type="dxa" w:w="120"/>
              <w:bottom w:type="dxa" w:w="70"/>
              <w:right w:type="dxa" w:w="120"/>
            </w:tcMar>
          </w:tcPr>
          <w:p>
            <w:r>
              <w:rPr>
                <w:rFonts w:ascii="Arial" w:cs="Arial" w:eastAsia="Arial" w:hAnsi="Arial"/>
                <w:b/>
                <w:bCs/>
                <w:color w:val="1B6B2E"/>
                <w:sz w:val="20"/>
                <w:szCs w:val="20"/>
              </w:rPr>
              <w:t xml:space="preserve">THIS PROJECT</w:t>
            </w:r>
          </w:p>
        </w:tc>
        <w:tc>
          <w:tcPr>
            <w:tcW w:type="dxa" w:w="2000"/>
            <w:tcBorders>
              <w:top w:val="single" w:color="C5D5E8" w:sz="1"/>
              <w:left w:val="single" w:color="C5D5E8" w:sz="1"/>
              <w:bottom w:val="single" w:color="C5D5E8" w:sz="1"/>
              <w:right w:val="single" w:color="C5D5E8" w:sz="1"/>
            </w:tcBorders>
            <w:shd w:fill="E8F5E9" w:val="clear"/>
            <w:tcMar>
              <w:top w:type="dxa" w:w="70"/>
              <w:left w:type="dxa" w:w="120"/>
              <w:bottom w:type="dxa" w:w="70"/>
              <w:right w:type="dxa" w:w="120"/>
            </w:tcMar>
          </w:tcPr>
          <w:p>
            <w:r>
              <w:rPr>
                <w:rFonts w:ascii="Arial" w:cs="Arial" w:eastAsia="Arial" w:hAnsi="Arial"/>
                <w:b/>
                <w:bCs/>
                <w:color w:val="1B6B2E"/>
                <w:sz w:val="20"/>
                <w:szCs w:val="20"/>
              </w:rPr>
              <w:t xml:space="preserve">GNN + wind transport + virtual sensors</w:t>
            </w:r>
          </w:p>
        </w:tc>
        <w:tc>
          <w:tcPr>
            <w:tcW w:type="dxa" w:w="2000"/>
            <w:tcBorders>
              <w:top w:val="single" w:color="C5D5E8" w:sz="1"/>
              <w:left w:val="single" w:color="C5D5E8" w:sz="1"/>
              <w:bottom w:val="single" w:color="C5D5E8" w:sz="1"/>
              <w:right w:val="single" w:color="C5D5E8" w:sz="1"/>
            </w:tcBorders>
            <w:shd w:fill="E8F5E9" w:val="clear"/>
            <w:tcMar>
              <w:top w:type="dxa" w:w="70"/>
              <w:left w:type="dxa" w:w="120"/>
              <w:bottom w:type="dxa" w:w="70"/>
              <w:right w:type="dxa" w:w="120"/>
            </w:tcMar>
          </w:tcPr>
          <w:p>
            <w:r>
              <w:rPr>
                <w:rFonts w:ascii="Arial" w:cs="Arial" w:eastAsia="Arial" w:hAnsi="Arial"/>
                <w:b/>
                <w:bCs/>
                <w:color w:val="1B6B2E"/>
                <w:sz w:val="20"/>
                <w:szCs w:val="20"/>
              </w:rPr>
              <w:t xml:space="preserve">All of India — any lat/lon</w:t>
            </w:r>
          </w:p>
        </w:tc>
        <w:tc>
          <w:tcPr>
            <w:tcW w:type="dxa" w:w="2960"/>
            <w:tcBorders>
              <w:top w:val="single" w:color="C5D5E8" w:sz="1"/>
              <w:left w:val="single" w:color="C5D5E8" w:sz="1"/>
              <w:bottom w:val="single" w:color="C5D5E8" w:sz="1"/>
              <w:right w:val="single" w:color="C5D5E8" w:sz="1"/>
            </w:tcBorders>
            <w:shd w:fill="E8F5E9" w:val="clear"/>
            <w:tcMar>
              <w:top w:type="dxa" w:w="70"/>
              <w:left w:type="dxa" w:w="120"/>
              <w:bottom w:type="dxa" w:w="70"/>
              <w:right w:type="dxa" w:w="120"/>
            </w:tcMar>
          </w:tcPr>
          <w:p>
            <w:r>
              <w:rPr>
                <w:rFonts w:ascii="Arial" w:cs="Arial" w:eastAsia="Arial" w:hAnsi="Arial"/>
                <w:b/>
                <w:bCs/>
                <w:color w:val="1B6B2E"/>
                <w:sz w:val="20"/>
                <w:szCs w:val="20"/>
              </w:rPr>
              <w:t xml:space="preserve">Nothing — this fills the gap</w:t>
            </w:r>
          </w:p>
        </w:tc>
      </w:tr>
    </w:tbl>
    <w:p>
      <w:pPr>
        <w:spacing w:before="0" w:after="80"/>
      </w:pPr>
      <w:r>
        <w:t xml:space="preserve"/>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2. Research Foundation &amp; Papers</w:t>
      </w:r>
    </w:p>
    <w:p>
      <w:pPr>
        <w:spacing w:before="60" w:after="100"/>
        <w:jc w:val="both"/>
      </w:pPr>
      <w:r>
        <w:rPr>
          <w:rFonts w:ascii="Arial" w:cs="Arial" w:eastAsia="Arial" w:hAnsi="Arial"/>
          <w:color w:val="1A1A2E"/>
          <w:sz w:val="22"/>
          <w:szCs w:val="22"/>
        </w:rPr>
        <w:t xml:space="preserve">This project is built on four published research papers, each contributing a specific component of the architecture. This is not a tutorial project — it extends the current state of the art to India's unmonitored cities.</w:t>
      </w:r>
    </w:p>
    <w:p>
      <w:pPr>
        <w:spacing w:before="0" w:after="80"/>
      </w:pPr>
      <w:r>
        <w:t xml:space="preserve"/>
      </w:r>
    </w:p>
    <w:p>
      <w:pPr>
        <w:pStyle w:val="Heading3"/>
        <w:spacing w:before="200" w:after="60"/>
      </w:pPr>
      <w:r>
        <w:rPr>
          <w:rFonts w:ascii="Arial" w:cs="Arial" w:eastAsia="Arial" w:hAnsi="Arial"/>
          <w:b/>
          <w:bCs/>
          <w:color w:val="2C3E6B"/>
          <w:sz w:val="22"/>
          <w:szCs w:val="22"/>
        </w:rPr>
        <w:t xml:space="preserve">Paper 1 — DST_GNN (Springer Applied Intelligence, September 2024)</w:t>
      </w:r>
    </w:p>
    <w:p>
      <w:pPr>
        <w:spacing w:before="60" w:after="100"/>
        <w:jc w:val="both"/>
      </w:pPr>
      <w:r>
        <w:rPr>
          <w:rFonts w:ascii="Arial" w:cs="Arial" w:eastAsia="Arial" w:hAnsi="Arial"/>
          <w:color w:val="1A1A2E"/>
          <w:sz w:val="22"/>
          <w:szCs w:val="22"/>
        </w:rPr>
        <w:t xml:space="preserve">DST_GNN uses HYSPLIT backward trajectory modelling to construct dynamic edge relationships among city graph nodes. A gated recurrent unit with attention mechanism learns the timing of PM2.5 concentration changes. This reduced MAE by ~14% and RMSE by ~13% compared to advanced static GNN methods. This paper established that dynamic wind-driven edges beat static distance edges for air quality transport.</w:t>
      </w:r>
    </w:p>
    <w:p>
      <w:pPr>
        <w:spacing w:before="60" w:after="100"/>
      </w:pPr>
      <w:r>
        <w:rPr>
          <w:rFonts w:ascii="Arial" w:cs="Arial" w:eastAsia="Arial" w:hAnsi="Arial"/>
          <w:b/>
          <w:bCs/>
          <w:color w:val="2E6DA4"/>
          <w:sz w:val="22"/>
          <w:szCs w:val="22"/>
        </w:rPr>
        <w:t xml:space="preserve">Project Application: </w:t>
      </w:r>
      <w:r>
        <w:rPr>
          <w:rFonts w:ascii="Arial" w:cs="Arial" w:eastAsia="Arial" w:hAnsi="Arial"/>
          <w:color w:val="1A1A2E"/>
          <w:sz w:val="22"/>
          <w:szCs w:val="22"/>
        </w:rPr>
        <w:t xml:space="preserve">How this project uses it: Replicates this dynamic edge architecture for Indian cities using CPCB data instead of Chinese monitoring data.</w:t>
      </w:r>
    </w:p>
    <w:p>
      <w:pPr>
        <w:spacing w:before="0" w:after="80"/>
      </w:pPr>
      <w:r>
        <w:t xml:space="preserve"/>
      </w:r>
    </w:p>
    <w:p>
      <w:pPr>
        <w:pStyle w:val="Heading3"/>
        <w:spacing w:before="200" w:after="60"/>
      </w:pPr>
      <w:r>
        <w:rPr>
          <w:rFonts w:ascii="Arial" w:cs="Arial" w:eastAsia="Arial" w:hAnsi="Arial"/>
          <w:b/>
          <w:bCs/>
          <w:color w:val="2C3E6B"/>
          <w:sz w:val="22"/>
          <w:szCs w:val="22"/>
        </w:rPr>
        <w:t xml:space="preserve">Paper 2 — MGST_GNN (IJCAI 2024 STRL Workshop)</w:t>
      </w:r>
    </w:p>
    <w:p>
      <w:pPr>
        <w:spacing w:before="60" w:after="100"/>
        <w:jc w:val="both"/>
      </w:pPr>
      <w:r>
        <w:rPr>
          <w:rFonts w:ascii="Arial" w:cs="Arial" w:eastAsia="Arial" w:hAnsi="Arial"/>
          <w:color w:val="1A1A2E"/>
          <w:sz w:val="22"/>
          <w:szCs w:val="22"/>
        </w:rPr>
        <w:t xml:space="preserve">Using HYSPLIT to dynamically adjust the weights of graph edges is a more effective strategy than taking static wind direction and distance as edge features. This paper proved the concept of physics-informed dynamic graph edges for pollution transport at multi-city scale.</w:t>
      </w:r>
    </w:p>
    <w:p>
      <w:pPr>
        <w:spacing w:before="60" w:after="100"/>
      </w:pPr>
      <w:r>
        <w:rPr>
          <w:rFonts w:ascii="Arial" w:cs="Arial" w:eastAsia="Arial" w:hAnsi="Arial"/>
          <w:b/>
          <w:bCs/>
          <w:color w:val="2E6DA4"/>
          <w:sz w:val="22"/>
          <w:szCs w:val="22"/>
        </w:rPr>
        <w:t xml:space="preserve">Project Application: </w:t>
      </w:r>
      <w:r>
        <w:rPr>
          <w:rFonts w:ascii="Arial" w:cs="Arial" w:eastAsia="Arial" w:hAnsi="Arial"/>
          <w:color w:val="1A1A2E"/>
          <w:sz w:val="22"/>
          <w:szCs w:val="22"/>
        </w:rPr>
        <w:t xml:space="preserve">How this project uses it: Theoretical justification for why the project uses wind-vector-computed edge weights rather than simple geographic distance.</w:t>
      </w:r>
    </w:p>
    <w:p>
      <w:pPr>
        <w:spacing w:before="0" w:after="80"/>
      </w:pPr>
      <w:r>
        <w:t xml:space="preserve"/>
      </w:r>
    </w:p>
    <w:p>
      <w:pPr>
        <w:pStyle w:val="Heading3"/>
        <w:spacing w:before="200" w:after="60"/>
      </w:pPr>
      <w:r>
        <w:rPr>
          <w:rFonts w:ascii="Arial" w:cs="Arial" w:eastAsia="Arial" w:hAnsi="Arial"/>
          <w:b/>
          <w:bCs/>
          <w:color w:val="2C3E6B"/>
          <w:sz w:val="22"/>
          <w:szCs w:val="22"/>
        </w:rPr>
        <w:t xml:space="preserve">Paper 3 — GraphSAGE Virtual Sensors (ICLR 2025 Climate Workshop, Bristol/London)</w:t>
      </w:r>
    </w:p>
    <w:p>
      <w:pPr>
        <w:spacing w:before="60" w:after="100"/>
        <w:jc w:val="both"/>
      </w:pPr>
      <w:r>
        <w:rPr>
          <w:rFonts w:ascii="Arial" w:cs="Arial" w:eastAsia="Arial" w:hAnsi="Arial"/>
          <w:color w:val="1A1A2E"/>
          <w:sz w:val="22"/>
          <w:szCs w:val="22"/>
        </w:rPr>
        <w:t xml:space="preserve">An inductive learning framework using GraphSAGE was pre-trained on London data and fine-tuned on Bristol, achieving 8.6% reduction in NRMSE and 32.6% reduction in Gradient RMSE for locations with no monitoring stations. This is the virtual sensor concept — predicting AQI where no physical sensor exists.</w:t>
      </w:r>
    </w:p>
    <w:p>
      <w:pPr>
        <w:spacing w:before="60" w:after="100"/>
      </w:pPr>
      <w:r>
        <w:rPr>
          <w:rFonts w:ascii="Arial" w:cs="Arial" w:eastAsia="Arial" w:hAnsi="Arial"/>
          <w:b/>
          <w:bCs/>
          <w:color w:val="2E6DA4"/>
          <w:sz w:val="22"/>
          <w:szCs w:val="22"/>
        </w:rPr>
        <w:t xml:space="preserve">Project Application: </w:t>
      </w:r>
      <w:r>
        <w:rPr>
          <w:rFonts w:ascii="Arial" w:cs="Arial" w:eastAsia="Arial" w:hAnsi="Arial"/>
          <w:color w:val="1A1A2E"/>
          <w:sz w:val="22"/>
          <w:szCs w:val="22"/>
        </w:rPr>
        <w:t xml:space="preserve">How this project uses it: The direct basis for the unmonitored city prediction capability. Pre-train on data-rich IGP cities (Delhi, Kanpur, Lucknow), transfer to sparse/unmonitored cities.</w:t>
      </w:r>
    </w:p>
    <w:p>
      <w:pPr>
        <w:spacing w:before="0" w:after="80"/>
      </w:pPr>
      <w:r>
        <w:t xml:space="preserve"/>
      </w:r>
    </w:p>
    <w:p>
      <w:pPr>
        <w:pStyle w:val="Heading3"/>
        <w:spacing w:before="200" w:after="60"/>
      </w:pPr>
      <w:r>
        <w:rPr>
          <w:rFonts w:ascii="Arial" w:cs="Arial" w:eastAsia="Arial" w:hAnsi="Arial"/>
          <w:b/>
          <w:bCs/>
          <w:color w:val="2C3E6B"/>
          <w:sz w:val="22"/>
          <w:szCs w:val="22"/>
        </w:rPr>
        <w:t xml:space="preserve">Paper 4 — MERRA-2 + ML for the Indo-Gangetic Basin (Nature Scientific Reports, March 2025)</w:t>
      </w:r>
    </w:p>
    <w:p>
      <w:pPr>
        <w:spacing w:before="60" w:after="100"/>
        <w:jc w:val="both"/>
      </w:pPr>
      <w:r>
        <w:rPr>
          <w:rFonts w:ascii="Arial" w:cs="Arial" w:eastAsia="Arial" w:hAnsi="Arial"/>
          <w:color w:val="1A1A2E"/>
          <w:sz w:val="22"/>
          <w:szCs w:val="22"/>
        </w:rPr>
        <w:t xml:space="preserve">Uses ground observations from 183 CPCB stations with MERRA-2 reanalysis products and meteorological variables spanning 2014–2023. Stacking ensemble achieved R² of 0.79–0.82. Successfully reproduced extreme winter pollution episodes across the IGB.</w:t>
      </w:r>
    </w:p>
    <w:p>
      <w:pPr>
        <w:spacing w:before="60" w:after="100"/>
      </w:pPr>
      <w:r>
        <w:rPr>
          <w:rFonts w:ascii="Arial" w:cs="Arial" w:eastAsia="Arial" w:hAnsi="Arial"/>
          <w:b/>
          <w:bCs/>
          <w:color w:val="2E6DA4"/>
          <w:sz w:val="22"/>
          <w:szCs w:val="22"/>
        </w:rPr>
        <w:t xml:space="preserve">Project Application: </w:t>
      </w:r>
      <w:r>
        <w:rPr>
          <w:rFonts w:ascii="Arial" w:cs="Arial" w:eastAsia="Arial" w:hAnsi="Arial"/>
          <w:color w:val="1A1A2E"/>
          <w:sz w:val="22"/>
          <w:szCs w:val="22"/>
        </w:rPr>
        <w:t xml:space="preserve">How this project uses it: The India-specific data foundation. This paper did ML estimation — this project extends it to cross-city transport forecasting and virtual sensor deployment at unmonitored locations.</w:t>
      </w:r>
    </w:p>
    <w:p>
      <w:pPr>
        <w:spacing w:before="0" w:after="80"/>
      </w:pPr>
      <w:r>
        <w:t xml:space="preserve"/>
      </w:r>
    </w:p>
    <w:p>
      <w:pPr>
        <w:pStyle w:val="Heading2"/>
        <w:spacing w:before="280" w:after="80"/>
      </w:pPr>
      <w:r>
        <w:rPr>
          <w:rFonts w:ascii="Arial" w:cs="Arial" w:eastAsia="Arial" w:hAnsi="Arial"/>
          <w:b/>
          <w:bCs/>
          <w:color w:val="2E6DA4"/>
          <w:sz w:val="26"/>
          <w:szCs w:val="26"/>
        </w:rPr>
        <w:t xml:space="preserve">2.1 The Research Gap This Project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F8C" w:sz="1"/>
              <w:left w:val="single" w:color="1B3F8C" w:sz="1"/>
              <w:bottom w:val="single" w:color="1B3F8C" w:sz="1"/>
              <w:right w:val="single" w:color="1B3F8C" w:sz="1"/>
            </w:tcBorders>
            <w:shd w:fill="EBF1F9" w:val="clear"/>
            <w:tcMar>
              <w:top w:type="dxa" w:w="120"/>
              <w:left w:type="dxa" w:w="200"/>
              <w:bottom w:type="dxa" w:w="120"/>
              <w:right w:type="dxa" w:w="200"/>
            </w:tcMar>
          </w:tcPr>
          <w:p>
            <w:pPr>
              <w:spacing w:before="0" w:after="60"/>
            </w:pPr>
            <w:r>
              <w:rPr>
                <w:rFonts w:ascii="Arial" w:cs="Arial" w:eastAsia="Arial" w:hAnsi="Arial"/>
                <w:b/>
                <w:bCs/>
                <w:color w:val="1B3F8C"/>
                <w:sz w:val="21"/>
                <w:szCs w:val="21"/>
              </w:rPr>
              <w:t xml:space="preserve">What exists in literature (as of 2025):</w:t>
            </w:r>
          </w:p>
          <w:p>
            <w:pPr>
              <w:pStyle w:val="ListParagraph"/>
              <w:numPr>
                <w:ilvl w:val="0"/>
                <w:numId w:val="2"/>
              </w:numPr>
              <w:spacing w:before="30" w:after="30"/>
            </w:pPr>
            <w:r>
              <w:rPr>
                <w:rFonts w:ascii="Arial" w:cs="Arial" w:eastAsia="Arial" w:hAnsi="Arial"/>
                <w:color w:val="1A1A2E"/>
                <w:sz w:val="21"/>
                <w:szCs w:val="21"/>
              </w:rPr>
              <w:t xml:space="preserve">Dynamic wind-weighted GNN for China cities — DST_GNN, MGST_GNN (2024)</w:t>
            </w:r>
          </w:p>
          <w:p>
            <w:pPr>
              <w:pStyle w:val="ListParagraph"/>
              <w:numPr>
                <w:ilvl w:val="0"/>
                <w:numId w:val="2"/>
              </w:numPr>
              <w:spacing w:before="30" w:after="30"/>
            </w:pPr>
            <w:r>
              <w:rPr>
                <w:rFonts w:ascii="Arial" w:cs="Arial" w:eastAsia="Arial" w:hAnsi="Arial"/>
                <w:color w:val="1A1A2E"/>
                <w:sz w:val="21"/>
                <w:szCs w:val="21"/>
              </w:rPr>
              <w:t xml:space="preserve">Virtual sensor GraphSAGE for UK cities — Bristol/London (2025)</w:t>
            </w:r>
          </w:p>
          <w:p>
            <w:pPr>
              <w:pStyle w:val="ListParagraph"/>
              <w:numPr>
                <w:ilvl w:val="0"/>
                <w:numId w:val="2"/>
              </w:numPr>
              <w:spacing w:before="30" w:after="60"/>
            </w:pPr>
            <w:r>
              <w:rPr>
                <w:rFonts w:ascii="Arial" w:cs="Arial" w:eastAsia="Arial" w:hAnsi="Arial"/>
                <w:color w:val="1A1A2E"/>
                <w:sz w:val="21"/>
                <w:szCs w:val="21"/>
              </w:rPr>
              <w:t xml:space="preserve">ML + MERRA-2 for 4 Indian cities — estimation only, not transport (2025)</w:t>
            </w:r>
          </w:p>
          <w:p>
            <w:pPr>
              <w:spacing w:before="0" w:after="60"/>
            </w:pPr>
            <w:r>
              <w:rPr>
                <w:rFonts w:ascii="Arial" w:cs="Arial" w:eastAsia="Arial" w:hAnsi="Arial"/>
                <w:b/>
                <w:bCs/>
                <w:color w:val="8C1B1B"/>
                <w:sz w:val="21"/>
                <w:szCs w:val="21"/>
              </w:rPr>
              <w:t xml:space="preserve">What does NOT exist:</w:t>
            </w:r>
          </w:p>
          <w:p>
            <w:pPr>
              <w:pStyle w:val="ListParagraph"/>
              <w:numPr>
                <w:ilvl w:val="0"/>
                <w:numId w:val="2"/>
              </w:numPr>
              <w:spacing w:before="30" w:after="30"/>
            </w:pPr>
            <w:r>
              <w:rPr>
                <w:rFonts w:ascii="Arial" w:cs="Arial" w:eastAsia="Arial" w:hAnsi="Arial"/>
                <w:color w:val="1A1A2E"/>
                <w:sz w:val="21"/>
                <w:szCs w:val="21"/>
              </w:rPr>
              <w:t xml:space="preserve">Dynamic wind-transport GNN for the Indo-Gangetic Plain — not published</w:t>
            </w:r>
          </w:p>
          <w:p>
            <w:pPr>
              <w:pStyle w:val="ListParagraph"/>
              <w:numPr>
                <w:ilvl w:val="0"/>
                <w:numId w:val="2"/>
              </w:numPr>
              <w:spacing w:before="30" w:after="30"/>
            </w:pPr>
            <w:r>
              <w:rPr>
                <w:rFonts w:ascii="Arial" w:cs="Arial" w:eastAsia="Arial" w:hAnsi="Arial"/>
                <w:color w:val="1A1A2E"/>
                <w:sz w:val="21"/>
                <w:szCs w:val="21"/>
              </w:rPr>
              <w:t xml:space="preserve">Virtual sensor deployment for India's 3,700+ unmonitored cities — not published</w:t>
            </w:r>
          </w:p>
          <w:p>
            <w:pPr>
              <w:pStyle w:val="ListParagraph"/>
              <w:numPr>
                <w:ilvl w:val="0"/>
                <w:numId w:val="2"/>
              </w:numPr>
              <w:spacing w:before="30" w:after="30"/>
            </w:pPr>
            <w:r>
              <w:rPr>
                <w:rFonts w:ascii="Arial" w:cs="Arial" w:eastAsia="Arial" w:hAnsi="Arial"/>
                <w:color w:val="1A1A2E"/>
                <w:sz w:val="21"/>
                <w:szCs w:val="21"/>
              </w:rPr>
              <w:t xml:space="preserve">Himalayan terrain barrier index as a GNN edge feature — not published</w:t>
            </w:r>
          </w:p>
        </w:tc>
      </w:tr>
    </w:tbl>
    <w:p>
      <w:pPr>
        <w:spacing w:before="0" w:after="80"/>
      </w:pPr>
      <w:r>
        <w:t xml:space="preserve"/>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3. Complete Feature Set — What, Why, and How</w:t>
      </w:r>
    </w:p>
    <w:p>
      <w:pPr>
        <w:spacing w:before="60" w:after="100"/>
        <w:jc w:val="both"/>
      </w:pPr>
      <w:r>
        <w:rPr>
          <w:rFonts w:ascii="Arial" w:cs="Arial" w:eastAsia="Arial" w:hAnsi="Arial"/>
          <w:color w:val="1A1A2E"/>
          <w:sz w:val="22"/>
          <w:szCs w:val="22"/>
        </w:rPr>
        <w:t xml:space="preserve">The model uses 28 features across 3 categories: temporal lag features, atmospheric conditions, and spatial transport features. Every feature is justified by published atmospheric science.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600"/>
        <w:gridCol w:w="1560"/>
      </w:tblGrid>
      <w:tr>
        <w:tc>
          <w:tcPr>
            <w:tcW w:type="dxa" w:w="2200"/>
            <w:tcBorders>
              <w:top w:val="single" w:color="C5D5E8" w:sz="1"/>
              <w:left w:val="single" w:color="C5D5E8" w:sz="1"/>
              <w:bottom w:val="single" w:color="C5D5E8" w:sz="1"/>
              <w:right w:val="single" w:color="C5D5E8" w:sz="1"/>
            </w:tcBorders>
            <w:shd w:fill="1B3F8C" w:val="clear"/>
            <w:tcMar>
              <w:top w:type="dxa" w:w="70"/>
              <w:left w:type="dxa" w:w="120"/>
              <w:bottom w:type="dxa" w:w="70"/>
              <w:right w:type="dxa" w:w="120"/>
            </w:tcMar>
            <w:vAlign w:val="center"/>
          </w:tcPr>
          <w:p>
            <w:r>
              <w:rPr>
                <w:rFonts w:ascii="Arial" w:cs="Arial" w:eastAsia="Arial" w:hAnsi="Arial"/>
                <w:b/>
                <w:bCs/>
                <w:color w:val="FFFFFF"/>
                <w:sz w:val="20"/>
                <w:szCs w:val="20"/>
              </w:rPr>
              <w:t xml:space="preserve">Feature</w:t>
            </w:r>
          </w:p>
        </w:tc>
        <w:tc>
          <w:tcPr>
            <w:tcW w:type="dxa" w:w="4000"/>
            <w:tcBorders>
              <w:top w:val="single" w:color="C5D5E8" w:sz="1"/>
              <w:left w:val="single" w:color="C5D5E8" w:sz="1"/>
              <w:bottom w:val="single" w:color="C5D5E8" w:sz="1"/>
              <w:right w:val="single" w:color="C5D5E8" w:sz="1"/>
            </w:tcBorders>
            <w:shd w:fill="1B3F8C" w:val="clear"/>
            <w:tcMar>
              <w:top w:type="dxa" w:w="70"/>
              <w:left w:type="dxa" w:w="120"/>
              <w:bottom w:type="dxa" w:w="70"/>
              <w:right w:type="dxa" w:w="120"/>
            </w:tcMar>
            <w:vAlign w:val="center"/>
          </w:tcPr>
          <w:p>
            <w:r>
              <w:rPr>
                <w:rFonts w:ascii="Arial" w:cs="Arial" w:eastAsia="Arial" w:hAnsi="Arial"/>
                <w:b/>
                <w:bCs/>
                <w:color w:val="FFFFFF"/>
                <w:sz w:val="20"/>
                <w:szCs w:val="20"/>
              </w:rPr>
              <w:t xml:space="preserve">Why it matters (research basis)</w:t>
            </w:r>
          </w:p>
        </w:tc>
        <w:tc>
          <w:tcPr>
            <w:tcW w:type="dxa" w:w="1600"/>
            <w:tcBorders>
              <w:top w:val="single" w:color="C5D5E8" w:sz="1"/>
              <w:left w:val="single" w:color="C5D5E8" w:sz="1"/>
              <w:bottom w:val="single" w:color="C5D5E8" w:sz="1"/>
              <w:right w:val="single" w:color="C5D5E8" w:sz="1"/>
            </w:tcBorders>
            <w:shd w:fill="1B3F8C" w:val="clear"/>
            <w:tcMar>
              <w:top w:type="dxa" w:w="70"/>
              <w:left w:type="dxa" w:w="120"/>
              <w:bottom w:type="dxa" w:w="70"/>
              <w:right w:type="dxa" w:w="120"/>
            </w:tcMar>
            <w:vAlign w:val="center"/>
          </w:tcPr>
          <w:p>
            <w:r>
              <w:rPr>
                <w:rFonts w:ascii="Arial" w:cs="Arial" w:eastAsia="Arial" w:hAnsi="Arial"/>
                <w:b/>
                <w:bCs/>
                <w:color w:val="FFFFFF"/>
                <w:sz w:val="20"/>
                <w:szCs w:val="20"/>
              </w:rPr>
              <w:t xml:space="preserve">Data Source</w:t>
            </w:r>
          </w:p>
        </w:tc>
        <w:tc>
          <w:tcPr>
            <w:tcW w:type="dxa" w:w="1560"/>
            <w:tcBorders>
              <w:top w:val="single" w:color="C5D5E8" w:sz="1"/>
              <w:left w:val="single" w:color="C5D5E8" w:sz="1"/>
              <w:bottom w:val="single" w:color="C5D5E8" w:sz="1"/>
              <w:right w:val="single" w:color="C5D5E8" w:sz="1"/>
            </w:tcBorders>
            <w:shd w:fill="1B3F8C" w:val="clear"/>
            <w:tcMar>
              <w:top w:type="dxa" w:w="70"/>
              <w:left w:type="dxa" w:w="120"/>
              <w:bottom w:type="dxa" w:w="70"/>
              <w:right w:type="dxa" w:w="120"/>
            </w:tcMar>
            <w:vAlign w:val="center"/>
          </w:tcPr>
          <w:p>
            <w:r>
              <w:rPr>
                <w:rFonts w:ascii="Arial" w:cs="Arial" w:eastAsia="Arial" w:hAnsi="Arial"/>
                <w:b/>
                <w:bCs/>
                <w:color w:val="FFFFFF"/>
                <w:sz w:val="20"/>
                <w:szCs w:val="20"/>
              </w:rPr>
              <w:t xml:space="preserve">Importance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Previous AQI lags
t-1h, t-6h, t-12h, t-24h</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AQI is highly autocorrelated (~0.85 correlation with next day). Lag features capture persistence and slow-moving pollution events.</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CPCB API</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Wind speed + direction
u10, v10 components</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Determines transport direction and dilution rate. Low wind = accumulation. High wind = dispersion. Direction tells us which city is the upwind source. Most critical transport feature.</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ERA5 hourly</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PBLH — Planetary Boundary Layer Height</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Single strongest dispersion parameter. Low PBLH (300–400m winter mornings) traps pollution near surface. High PBLH (1500–2000m summer afternoons) dilutes it. Confirmed as top feature in multiple studies.</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ERA5 (blh variable)</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Upwind city AQI lags
(Novel contribution)</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City A's AQI 12–18 hours ago is a leading indicator for City B if wind blows A→B. Computed from ERA5 wind vectors. DST_GNN proved this reduces MAE by 14% over static methods.</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ERA5 + CPCB
(computed)</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Temperature (2m surface)</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Controls PBLH development. Temperature inversion (cold surface, warm above) blocks vertical mixing entirely, causing severe pollution episodes. Summer dominant PBLH driver.</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ERA5 (t2m)</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Humidity (Relative %)</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High humidity causes hygroscopic growth of PM2.5 — particles absorb water, grow larger. Also suppresses PBLH development. Negatively correlated with PBLH diurnally.</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ERA5 (r)</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Atmospheric Pressure
Surface + sea level</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High pressure system → subsidence → suppresses PBLH to as low as 320m → PM2.5 spikes to 78 μg/m³. Winter IGP pollution events directly caused by high-pressure systems above 1020 hPa.</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ERA5 (sp, msl)</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Rainfall / Precipitation</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Wet scavenging — rain washes PM2.5 out of air. AQI drops sharply after rainfall. India's monsoon (June–Sept) drives the sharpest seasonal AQI pattern in the entire dataset.</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ERA5 (tp)</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Elevation / Topography
SRTM DEM 90m</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Himalayan wall physically traps IGP pollution — unique India-specific physics. Valley trapping. Terrain barrier index between city pairs (max elevation along transport path) is a novel edge feature.</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SRTM DEM
USGS</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Seasonal encoding
sin/cos(month)</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Captures recurring patterns: winter inversion (Dec–Jan), crop burning (Oct–Nov), dust storms (Apr–May), monsoon cleaning (Jun–Sept). Encoded as sin/cos pairs to avoid discontinuity at year boundary.</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Derived from timestamp</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Hour of day
sin/cos(hour)</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Strong diurnal PBLH cycle — peaks 12–17h (good dispersion), crashes at night. Morning peak AQI at 09:00 due to low overnight PBLH trapping accumulated emissions.</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Derived from timestamp</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r>
        <w:tc>
          <w:tcPr>
            <w:tcW w:type="dxa" w:w="22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Land use / NDVI</w:t>
            </w:r>
          </w:p>
        </w:tc>
        <w:tc>
          <w:tcPr>
            <w:tcW w:type="dxa" w:w="4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Industrial zones, crop burning areas, urban heat islands affect local emission rates. NDVI captures Oct–Nov crop burning in Punjab/Haryana — direct AQI spike signal.</w:t>
            </w:r>
          </w:p>
        </w:tc>
        <w:tc>
          <w:tcPr>
            <w:tcW w:type="dxa" w:w="1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OSM + Sentinel-2</w:t>
            </w:r>
          </w:p>
        </w:tc>
        <w:tc>
          <w:tcPr>
            <w:tcW w:type="dxa" w:w="1560"/>
            <w:tcBorders>
              <w:top w:val="single" w:color="C5D5E8" w:sz="1"/>
              <w:left w:val="single" w:color="C5D5E8" w:sz="1"/>
              <w:bottom w:val="single" w:color="C5D5E8" w:sz="1"/>
              <w:right w:val="single" w:color="C5D5E8" w:sz="1"/>
            </w:tcBorders>
            <w:shd w:fill="EBF1F9" w:val="clear"/>
            <w:tcMar>
              <w:top w:type="dxa" w:w="70"/>
              <w:left w:type="dxa" w:w="120"/>
              <w:bottom w:type="dxa" w:w="70"/>
              <w:right w:type="dxa" w:w="120"/>
            </w:tcMar>
            <w:vAlign w:val="center"/>
          </w:tcPr>
          <w:p>
            <w:r>
              <w:rPr>
                <w:rFonts w:ascii="Arial" w:cs="Arial" w:eastAsia="Arial" w:hAnsi="Arial"/>
                <w:b w:val="false"/>
                <w:bCs w:val="false"/>
                <w:color w:val="1A1A2E"/>
                <w:sz w:val="20"/>
                <w:szCs w:val="20"/>
              </w:rPr>
              <w:t xml:space="preserve">★★</w:t>
            </w:r>
          </w:p>
        </w:tc>
      </w:tr>
    </w:tbl>
    <w:p>
      <w:pPr>
        <w:spacing w:before="0" w:after="80"/>
      </w:pPr>
      <w:r>
        <w:t xml:space="preserve"/>
      </w:r>
    </w:p>
    <w:p>
      <w:pPr>
        <w:pStyle w:val="Heading2"/>
        <w:spacing w:before="280" w:after="80"/>
      </w:pPr>
      <w:r>
        <w:rPr>
          <w:rFonts w:ascii="Arial" w:cs="Arial" w:eastAsia="Arial" w:hAnsi="Arial"/>
          <w:b/>
          <w:bCs/>
          <w:color w:val="2E6DA4"/>
          <w:sz w:val="26"/>
          <w:szCs w:val="26"/>
        </w:rPr>
        <w:t xml:space="preserve">3.1 Seasonal Modelling — Why This Is Critical for India</w:t>
      </w:r>
    </w:p>
    <w:p>
      <w:pPr>
        <w:spacing w:before="60" w:after="100"/>
        <w:jc w:val="both"/>
      </w:pPr>
      <w:r>
        <w:rPr>
          <w:rFonts w:ascii="Arial" w:cs="Arial" w:eastAsia="Arial" w:hAnsi="Arial"/>
          <w:color w:val="1A1A2E"/>
          <w:sz w:val="22"/>
          <w:szCs w:val="22"/>
        </w:rPr>
        <w:t xml:space="preserve">India's AQI patterns are driven by four distinct seasons with fundamentally different atmospheric physics. A model without explicit seasonal encoding will fail during extreme events because meteorological variables alone do not fully capture the biological and agricultural processes occurring seasonally.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5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Hidden Environmental Process</w:t>
            </w:r>
          </w:p>
        </w:tc>
        <w:tc>
          <w:tcPr>
            <w:tcW w:type="dxa" w:w="25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Effect on AQI</w:t>
            </w:r>
          </w:p>
        </w:tc>
        <w:tc>
          <w:tcPr>
            <w:tcW w:type="dxa" w:w="236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Model Signal</w:t>
            </w:r>
          </w:p>
        </w:tc>
      </w:tr>
      <w:tr>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Winter (Dec–Feb)</w:t>
            </w:r>
          </w:p>
        </w:tc>
        <w:tc>
          <w:tcPr>
            <w:tcW w:type="dxa" w:w="25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Temperature inversion + stagnant high-pressure system</w:t>
            </w:r>
          </w:p>
        </w:tc>
        <w:tc>
          <w:tcPr>
            <w:tcW w:type="dxa" w:w="25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PBLH drops to 300–400m. PM2.5 routinely exceeds 300 μg/m³ in IGP.</w:t>
            </w:r>
          </w:p>
        </w:tc>
        <w:tc>
          <w:tcPr>
            <w:tcW w:type="dxa" w:w="2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Low PBLH + high pressure + low wind</w:t>
            </w:r>
          </w:p>
        </w:tc>
      </w:tr>
      <w:tr>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Post-Monsoon (Oct–Nov)</w:t>
            </w:r>
          </w:p>
        </w:tc>
        <w:tc>
          <w:tcPr>
            <w:tcW w:type="dxa" w:w="25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Paddy stubble burning — Punjab, Haryana, western UP</w:t>
            </w:r>
          </w:p>
        </w:tc>
        <w:tc>
          <w:tcPr>
            <w:tcW w:type="dxa" w:w="25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Massive PM2.5 spikes. Delhi AQI hits Severe+ (500+). Wind carries smoke 500km+.</w:t>
            </w:r>
          </w:p>
        </w:tc>
        <w:tc>
          <w:tcPr>
            <w:tcW w:type="dxa" w:w="2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NDVI drop + wind transport from NW</w:t>
            </w:r>
          </w:p>
        </w:tc>
      </w:tr>
      <w:tr>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Summer (Apr–May)</w:t>
            </w:r>
          </w:p>
        </w:tc>
        <w:tc>
          <w:tcPr>
            <w:tcW w:type="dxa" w:w="25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Dust storms from Rajasthan + Thar Desert</w:t>
            </w:r>
          </w:p>
        </w:tc>
        <w:tc>
          <w:tcPr>
            <w:tcW w:type="dxa" w:w="25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PM10 dominates. AQI spikes 300–400. Visibility near zero during events.</w:t>
            </w:r>
          </w:p>
        </w:tc>
        <w:tc>
          <w:tcPr>
            <w:tcW w:type="dxa" w:w="2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High wind speed + low humidity</w:t>
            </w:r>
          </w:p>
        </w:tc>
      </w:tr>
      <w:tr>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Monsoon (Jun–Sept)</w:t>
            </w:r>
          </w:p>
        </w:tc>
        <w:tc>
          <w:tcPr>
            <w:tcW w:type="dxa" w:w="25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Rainfall scavenging + increased PBLH from thermal convection</w:t>
            </w:r>
          </w:p>
        </w:tc>
        <w:tc>
          <w:tcPr>
            <w:tcW w:type="dxa" w:w="25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Cleanest air of the year. PM2.5 drops to 20–40 μg/m³. AQI often Good.</w:t>
            </w:r>
          </w:p>
        </w:tc>
        <w:tc>
          <w:tcPr>
            <w:tcW w:type="dxa" w:w="2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High precipitation + rising PBLH</w:t>
            </w:r>
          </w:p>
        </w:tc>
      </w:tr>
    </w:tbl>
    <w:p>
      <w:pPr>
        <w:spacing w:before="0" w:after="80"/>
      </w:pPr>
      <w:r>
        <w:t xml:space="preserve"/>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4. Complete System Pipeline</w:t>
      </w:r>
    </w:p>
    <w:p>
      <w:pPr>
        <w:spacing w:before="60" w:after="100"/>
        <w:jc w:val="both"/>
      </w:pPr>
      <w:r>
        <w:rPr>
          <w:rFonts w:ascii="Arial" w:cs="Arial" w:eastAsia="Arial" w:hAnsi="Arial"/>
          <w:color w:val="1A1A2E"/>
          <w:sz w:val="22"/>
          <w:szCs w:val="22"/>
        </w:rPr>
        <w:t xml:space="preserve">The pipeline has 5 phases: Data Collection → Feature Engineering → Model Training → Validation → Deployment. Each phase is independent and can be executed sequentially.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1B3F8C" w:sz="1"/>
              <w:left w:val="single" w:color="1B3F8C" w:sz="1"/>
              <w:bottom w:val="single" w:color="1B3F8C" w:sz="1"/>
              <w:right w:val="single" w:color="1B3F8C" w:sz="1"/>
            </w:tcBorders>
            <w:shd w:fill="1B3F8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Phase / Duration</w:t>
            </w:r>
          </w:p>
        </w:tc>
        <w:tc>
          <w:tcPr>
            <w:tcW w:type="dxa" w:w="656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6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2200"/>
            <w:tcBorders>
              <w:top w:val="single" w:color="C5D5E8" w:sz="1"/>
              <w:left w:val="single" w:color="C5D5E8" w:sz="1"/>
              <w:bottom w:val="single" w:color="C5D5E8" w:sz="1"/>
              <w:right w:val="single" w:color="C5D5E8" w:sz="1"/>
            </w:tcBorders>
            <w:shd w:fill="EBF1F9" w:val="clear"/>
            <w:tcMar>
              <w:top w:type="dxa" w:w="80"/>
              <w:left w:type="dxa" w:w="120"/>
              <w:bottom w:type="dxa" w:w="80"/>
              <w:right w:type="dxa" w:w="120"/>
            </w:tcMar>
          </w:tcPr>
          <w:p>
            <w:r>
              <w:rPr>
                <w:rFonts w:ascii="Arial" w:cs="Arial" w:eastAsia="Arial" w:hAnsi="Arial"/>
                <w:b/>
                <w:bCs/>
                <w:color w:val="1B3F8C"/>
                <w:sz w:val="22"/>
                <w:szCs w:val="22"/>
              </w:rPr>
              <w:t xml:space="preserve">Data Collection</w:t>
            </w:r>
          </w:p>
          <w:p>
            <w:r>
              <w:rPr>
                <w:rFonts w:ascii="Arial" w:cs="Arial" w:eastAsia="Arial" w:hAnsi="Arial"/>
                <w:i/>
                <w:iCs/>
                <w:color w:val="666666"/>
                <w:sz w:val="20"/>
                <w:szCs w:val="20"/>
              </w:rPr>
              <w:t xml:space="preserve">Weeks 1–4</w:t>
            </w:r>
          </w:p>
        </w:tc>
        <w:tc>
          <w:tcPr>
            <w:tcW w:type="dxa" w:w="6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1A1A2E"/>
                <w:sz w:val="20"/>
                <w:szCs w:val="20"/>
              </w:rPr>
              <w:t xml:space="preserve">CPCB API: Pull hourly PM2.5, PM10, NO2, SO2, O3, CO for 183 stations, 2014–2023 (~96M rows, parquet format)</w:t>
            </w:r>
          </w:p>
          <w:p>
            <w:pPr>
              <w:pStyle w:val="ListParagraph"/>
              <w:numPr>
                <w:ilvl w:val="0"/>
                <w:numId w:val="2"/>
              </w:numPr>
              <w:spacing w:before="30" w:after="30"/>
            </w:pPr>
            <w:r>
              <w:rPr>
                <w:rFonts w:ascii="Arial" w:cs="Arial" w:eastAsia="Arial" w:hAnsi="Arial"/>
                <w:color w:val="1A1A2E"/>
                <w:sz w:val="20"/>
                <w:szCs w:val="20"/>
              </w:rPr>
              <w:t xml:space="preserve">ERA5: Download 7 variables (u10, v10, t2m, r, tp, sp, blh) for India bounding box (6°N–37°N, 66°E–98°E), 0.25° resolution, ~15–20 GB</w:t>
            </w:r>
          </w:p>
          <w:p>
            <w:pPr>
              <w:pStyle w:val="ListParagraph"/>
              <w:numPr>
                <w:ilvl w:val="0"/>
                <w:numId w:val="2"/>
              </w:numPr>
              <w:spacing w:before="30" w:after="30"/>
            </w:pPr>
            <w:r>
              <w:rPr>
                <w:rFonts w:ascii="Arial" w:cs="Arial" w:eastAsia="Arial" w:hAnsi="Arial"/>
                <w:color w:val="1A1A2E"/>
                <w:sz w:val="20"/>
                <w:szCs w:val="20"/>
              </w:rPr>
              <w:t xml:space="preserve">SRTM DEM: Extract elevation, slope, terrain roughness for each station coordinate from USGS EarthExplorer</w:t>
            </w:r>
          </w:p>
          <w:p>
            <w:pPr>
              <w:pStyle w:val="ListParagraph"/>
              <w:numPr>
                <w:ilvl w:val="0"/>
                <w:numId w:val="2"/>
              </w:numPr>
              <w:spacing w:before="30" w:after="30"/>
            </w:pPr>
            <w:r>
              <w:rPr>
                <w:rFonts w:ascii="Arial" w:cs="Arial" w:eastAsia="Arial" w:hAnsi="Arial"/>
                <w:color w:val="1A1A2E"/>
                <w:sz w:val="20"/>
                <w:szCs w:val="20"/>
              </w:rPr>
              <w:t xml:space="preserve">Handle 30–40% missing CPCB values: forward-fill up to 3 hours, flag longer gaps</w:t>
            </w:r>
          </w:p>
        </w:tc>
      </w:tr>
      <w:tr>
        <w:tc>
          <w:tcPr>
            <w:tcW w:type="dxa" w:w="6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2200"/>
            <w:tcBorders>
              <w:top w:val="single" w:color="C5D5E8" w:sz="1"/>
              <w:left w:val="single" w:color="C5D5E8" w:sz="1"/>
              <w:bottom w:val="single" w:color="C5D5E8" w:sz="1"/>
              <w:right w:val="single" w:color="C5D5E8" w:sz="1"/>
            </w:tcBorders>
            <w:shd w:fill="EEF5FF" w:val="clear"/>
            <w:tcMar>
              <w:top w:type="dxa" w:w="80"/>
              <w:left w:type="dxa" w:w="120"/>
              <w:bottom w:type="dxa" w:w="80"/>
              <w:right w:type="dxa" w:w="120"/>
            </w:tcMar>
          </w:tcPr>
          <w:p>
            <w:r>
              <w:rPr>
                <w:rFonts w:ascii="Arial" w:cs="Arial" w:eastAsia="Arial" w:hAnsi="Arial"/>
                <w:b/>
                <w:bCs/>
                <w:color w:val="1B3F8C"/>
                <w:sz w:val="22"/>
                <w:szCs w:val="22"/>
              </w:rPr>
              <w:t xml:space="preserve">Feature Engineering</w:t>
            </w:r>
          </w:p>
          <w:p>
            <w:r>
              <w:rPr>
                <w:rFonts w:ascii="Arial" w:cs="Arial" w:eastAsia="Arial" w:hAnsi="Arial"/>
                <w:i/>
                <w:iCs/>
                <w:color w:val="666666"/>
                <w:sz w:val="20"/>
                <w:szCs w:val="20"/>
              </w:rPr>
              <w:t xml:space="preserve">Weeks 5–8</w:t>
            </w:r>
          </w:p>
        </w:tc>
        <w:tc>
          <w:tcPr>
            <w:tcW w:type="dxa" w:w="6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1A1A2E"/>
                <w:sz w:val="20"/>
                <w:szCs w:val="20"/>
              </w:rPr>
              <w:t xml:space="preserve">Bilinear interpolation of ERA5 grid values to exact station lat/lon coordinates using xarray + scipy</w:t>
            </w:r>
          </w:p>
          <w:p>
            <w:pPr>
              <w:pStyle w:val="ListParagraph"/>
              <w:numPr>
                <w:ilvl w:val="0"/>
                <w:numId w:val="2"/>
              </w:numPr>
              <w:spacing w:before="30" w:after="30"/>
            </w:pPr>
            <w:r>
              <w:rPr>
                <w:rFonts w:ascii="Arial" w:cs="Arial" w:eastAsia="Arial" w:hAnsi="Arial"/>
                <w:color w:val="1A1A2E"/>
                <w:sz w:val="20"/>
                <w:szCs w:val="20"/>
              </w:rPr>
              <w:t xml:space="preserve">Compute wind transport probability between all city pairs from ERA5 u/v components and terrain barrier index</w:t>
            </w:r>
          </w:p>
          <w:p>
            <w:pPr>
              <w:pStyle w:val="ListParagraph"/>
              <w:numPr>
                <w:ilvl w:val="0"/>
                <w:numId w:val="2"/>
              </w:numPr>
              <w:spacing w:before="30" w:after="30"/>
            </w:pPr>
            <w:r>
              <w:rPr>
                <w:rFonts w:ascii="Arial" w:cs="Arial" w:eastAsia="Arial" w:hAnsi="Arial"/>
                <w:color w:val="1A1A2E"/>
                <w:sz w:val="20"/>
                <w:szCs w:val="20"/>
              </w:rPr>
              <w:t xml:space="preserve">Create dynamic 183×183 adjacency matrix updating every 6 hours based on wind transport weights</w:t>
            </w:r>
          </w:p>
          <w:p>
            <w:pPr>
              <w:pStyle w:val="ListParagraph"/>
              <w:numPr>
                <w:ilvl w:val="0"/>
                <w:numId w:val="2"/>
              </w:numPr>
              <w:spacing w:before="30" w:after="30"/>
            </w:pPr>
            <w:r>
              <w:rPr>
                <w:rFonts w:ascii="Arial" w:cs="Arial" w:eastAsia="Arial" w:hAnsi="Arial"/>
                <w:color w:val="1A1A2E"/>
                <w:sz w:val="20"/>
                <w:szCs w:val="20"/>
              </w:rPr>
              <w:t xml:space="preserve">Engineer upwind city AQI lag features: for each target city, identify upwind sources and their AQI at t-6h, t-12h, t-24h</w:t>
            </w:r>
          </w:p>
          <w:p>
            <w:pPr>
              <w:pStyle w:val="ListParagraph"/>
              <w:numPr>
                <w:ilvl w:val="0"/>
                <w:numId w:val="2"/>
              </w:numPr>
              <w:spacing w:before="30" w:after="30"/>
            </w:pPr>
            <w:r>
              <w:rPr>
                <w:rFonts w:ascii="Arial" w:cs="Arial" w:eastAsia="Arial" w:hAnsi="Arial"/>
                <w:color w:val="1A1A2E"/>
                <w:sz w:val="20"/>
                <w:szCs w:val="20"/>
              </w:rPr>
              <w:t xml:space="preserve">Encode hour and month as sin/cos pairs; create season category variable; extract NDVI from Sentinel-2</w:t>
            </w:r>
          </w:p>
        </w:tc>
      </w:tr>
      <w:tr>
        <w:tc>
          <w:tcPr>
            <w:tcW w:type="dxa" w:w="6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2200"/>
            <w:tcBorders>
              <w:top w:val="single" w:color="C5D5E8" w:sz="1"/>
              <w:left w:val="single" w:color="C5D5E8" w:sz="1"/>
              <w:bottom w:val="single" w:color="C5D5E8" w:sz="1"/>
              <w:right w:val="single" w:color="C5D5E8" w:sz="1"/>
            </w:tcBorders>
            <w:shd w:fill="EBF1F9" w:val="clear"/>
            <w:tcMar>
              <w:top w:type="dxa" w:w="80"/>
              <w:left w:type="dxa" w:w="120"/>
              <w:bottom w:type="dxa" w:w="80"/>
              <w:right w:type="dxa" w:w="120"/>
            </w:tcMar>
          </w:tcPr>
          <w:p>
            <w:r>
              <w:rPr>
                <w:rFonts w:ascii="Arial" w:cs="Arial" w:eastAsia="Arial" w:hAnsi="Arial"/>
                <w:b/>
                <w:bCs/>
                <w:color w:val="1B3F8C"/>
                <w:sz w:val="22"/>
                <w:szCs w:val="22"/>
              </w:rPr>
              <w:t xml:space="preserve">Model Training</w:t>
            </w:r>
          </w:p>
          <w:p>
            <w:r>
              <w:rPr>
                <w:rFonts w:ascii="Arial" w:cs="Arial" w:eastAsia="Arial" w:hAnsi="Arial"/>
                <w:i/>
                <w:iCs/>
                <w:color w:val="666666"/>
                <w:sz w:val="20"/>
                <w:szCs w:val="20"/>
              </w:rPr>
              <w:t xml:space="preserve">Weeks 9–14</w:t>
            </w:r>
          </w:p>
        </w:tc>
        <w:tc>
          <w:tcPr>
            <w:tcW w:type="dxa" w:w="6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1A1A2E"/>
                <w:sz w:val="20"/>
                <w:szCs w:val="20"/>
              </w:rPr>
              <w:t xml:space="preserve">Baseline LSTM: Train on local features only (no graph). Record RMSE, MAE, R² as comparison benchmark</w:t>
            </w:r>
          </w:p>
          <w:p>
            <w:pPr>
              <w:pStyle w:val="ListParagraph"/>
              <w:numPr>
                <w:ilvl w:val="0"/>
                <w:numId w:val="2"/>
              </w:numPr>
              <w:spacing w:before="30" w:after="30"/>
            </w:pPr>
            <w:r>
              <w:rPr>
                <w:rFonts w:ascii="Arial" w:cs="Arial" w:eastAsia="Arial" w:hAnsi="Arial"/>
                <w:color w:val="1A1A2E"/>
                <w:sz w:val="20"/>
                <w:szCs w:val="20"/>
              </w:rPr>
              <w:t xml:space="preserve">GraphSAGE + LSTM: 2 GraphSAGE layers aggregating neighbour features, LSTM hidden size 128 for temporal modelling</w:t>
            </w:r>
          </w:p>
          <w:p>
            <w:pPr>
              <w:pStyle w:val="ListParagraph"/>
              <w:numPr>
                <w:ilvl w:val="0"/>
                <w:numId w:val="2"/>
              </w:numPr>
              <w:spacing w:before="30" w:after="30"/>
            </w:pPr>
            <w:r>
              <w:rPr>
                <w:rFonts w:ascii="Arial" w:cs="Arial" w:eastAsia="Arial" w:hAnsi="Arial"/>
                <w:color w:val="1A1A2E"/>
                <w:sz w:val="20"/>
                <w:szCs w:val="20"/>
              </w:rPr>
              <w:t xml:space="preserve">Multi-horizon output: Predict AQI at 6h, 12h, and 24h ahead simultaneously</w:t>
            </w:r>
          </w:p>
          <w:p>
            <w:pPr>
              <w:pStyle w:val="ListParagraph"/>
              <w:numPr>
                <w:ilvl w:val="0"/>
                <w:numId w:val="2"/>
              </w:numPr>
              <w:spacing w:before="30" w:after="30"/>
            </w:pPr>
            <w:r>
              <w:rPr>
                <w:rFonts w:ascii="Arial" w:cs="Arial" w:eastAsia="Arial" w:hAnsi="Arial"/>
                <w:color w:val="1A1A2E"/>
                <w:sz w:val="20"/>
                <w:szCs w:val="20"/>
              </w:rPr>
              <w:t xml:space="preserve">Train split: 2014–2020 training, 2021 validation, 2022–2023 test</w:t>
            </w:r>
          </w:p>
          <w:p>
            <w:pPr>
              <w:pStyle w:val="ListParagraph"/>
              <w:numPr>
                <w:ilvl w:val="0"/>
                <w:numId w:val="2"/>
              </w:numPr>
              <w:spacing w:before="30" w:after="30"/>
            </w:pPr>
            <w:r>
              <w:rPr>
                <w:rFonts w:ascii="Arial" w:cs="Arial" w:eastAsia="Arial" w:hAnsi="Arial"/>
                <w:color w:val="1A1A2E"/>
                <w:sz w:val="20"/>
                <w:szCs w:val="20"/>
              </w:rPr>
              <w:t xml:space="preserve">SHAP analysis: document which features drive predictions by season and pollution episode type</w:t>
            </w:r>
          </w:p>
        </w:tc>
      </w:tr>
      <w:tr>
        <w:tc>
          <w:tcPr>
            <w:tcW w:type="dxa" w:w="6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2200"/>
            <w:tcBorders>
              <w:top w:val="single" w:color="C5D5E8" w:sz="1"/>
              <w:left w:val="single" w:color="C5D5E8" w:sz="1"/>
              <w:bottom w:val="single" w:color="C5D5E8" w:sz="1"/>
              <w:right w:val="single" w:color="C5D5E8" w:sz="1"/>
            </w:tcBorders>
            <w:shd w:fill="EEF5FF" w:val="clear"/>
            <w:tcMar>
              <w:top w:type="dxa" w:w="80"/>
              <w:left w:type="dxa" w:w="120"/>
              <w:bottom w:type="dxa" w:w="80"/>
              <w:right w:type="dxa" w:w="120"/>
            </w:tcMar>
          </w:tcPr>
          <w:p>
            <w:r>
              <w:rPr>
                <w:rFonts w:ascii="Arial" w:cs="Arial" w:eastAsia="Arial" w:hAnsi="Arial"/>
                <w:b/>
                <w:bCs/>
                <w:color w:val="1B3F8C"/>
                <w:sz w:val="22"/>
                <w:szCs w:val="22"/>
              </w:rPr>
              <w:t xml:space="preserve">Virtual Sensor Validation</w:t>
            </w:r>
          </w:p>
          <w:p>
            <w:r>
              <w:rPr>
                <w:rFonts w:ascii="Arial" w:cs="Arial" w:eastAsia="Arial" w:hAnsi="Arial"/>
                <w:i/>
                <w:iCs/>
                <w:color w:val="666666"/>
                <w:sz w:val="20"/>
                <w:szCs w:val="20"/>
              </w:rPr>
              <w:t xml:space="preserve">Weeks 15–16</w:t>
            </w:r>
          </w:p>
        </w:tc>
        <w:tc>
          <w:tcPr>
            <w:tcW w:type="dxa" w:w="6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1A1A2E"/>
                <w:sz w:val="20"/>
                <w:szCs w:val="20"/>
              </w:rPr>
              <w:t xml:space="preserve">Hold out 20 CPCB stations entirely from training — simulate unmonitored cities</w:t>
            </w:r>
          </w:p>
          <w:p>
            <w:pPr>
              <w:pStyle w:val="ListParagraph"/>
              <w:numPr>
                <w:ilvl w:val="0"/>
                <w:numId w:val="2"/>
              </w:numPr>
              <w:spacing w:before="30" w:after="30"/>
            </w:pPr>
            <w:r>
              <w:rPr>
                <w:rFonts w:ascii="Arial" w:cs="Arial" w:eastAsia="Arial" w:hAnsi="Arial"/>
                <w:color w:val="1A1A2E"/>
                <w:sz w:val="20"/>
                <w:szCs w:val="20"/>
              </w:rPr>
              <w:t xml:space="preserve">After training, use GraphSAGE inductive capability to predict for withheld stations using only static node features</w:t>
            </w:r>
          </w:p>
          <w:p>
            <w:pPr>
              <w:pStyle w:val="ListParagraph"/>
              <w:numPr>
                <w:ilvl w:val="0"/>
                <w:numId w:val="2"/>
              </w:numPr>
              <w:spacing w:before="30" w:after="30"/>
            </w:pPr>
            <w:r>
              <w:rPr>
                <w:rFonts w:ascii="Arial" w:cs="Arial" w:eastAsia="Arial" w:hAnsi="Arial"/>
                <w:color w:val="1A1A2E"/>
                <w:sz w:val="20"/>
                <w:szCs w:val="20"/>
              </w:rPr>
              <w:t xml:space="preserve">Validate against actual held-out AQI readings — compute RMSE, NRMSE, MAE for unmonitored locations</w:t>
            </w:r>
          </w:p>
          <w:p>
            <w:pPr>
              <w:pStyle w:val="ListParagraph"/>
              <w:numPr>
                <w:ilvl w:val="0"/>
                <w:numId w:val="2"/>
              </w:numPr>
              <w:spacing w:before="30" w:after="30"/>
            </w:pPr>
            <w:r>
              <w:rPr>
                <w:rFonts w:ascii="Arial" w:cs="Arial" w:eastAsia="Arial" w:hAnsi="Arial"/>
                <w:color w:val="1A1A2E"/>
                <w:sz w:val="20"/>
                <w:szCs w:val="20"/>
              </w:rPr>
              <w:t xml:space="preserve">Additional validation: compare predictions against MERRA-2 satellite PM2.5 for locations without any ground station</w:t>
            </w:r>
          </w:p>
        </w:tc>
      </w:tr>
      <w:tr>
        <w:tc>
          <w:tcPr>
            <w:tcW w:type="dxa" w:w="6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2200"/>
            <w:tcBorders>
              <w:top w:val="single" w:color="C5D5E8" w:sz="1"/>
              <w:left w:val="single" w:color="C5D5E8" w:sz="1"/>
              <w:bottom w:val="single" w:color="C5D5E8" w:sz="1"/>
              <w:right w:val="single" w:color="C5D5E8" w:sz="1"/>
            </w:tcBorders>
            <w:shd w:fill="EBF1F9" w:val="clear"/>
            <w:tcMar>
              <w:top w:type="dxa" w:w="80"/>
              <w:left w:type="dxa" w:w="120"/>
              <w:bottom w:type="dxa" w:w="80"/>
              <w:right w:type="dxa" w:w="120"/>
            </w:tcMar>
          </w:tcPr>
          <w:p>
            <w:r>
              <w:rPr>
                <w:rFonts w:ascii="Arial" w:cs="Arial" w:eastAsia="Arial" w:hAnsi="Arial"/>
                <w:b/>
                <w:bCs/>
                <w:color w:val="1B3F8C"/>
                <w:sz w:val="22"/>
                <w:szCs w:val="22"/>
              </w:rPr>
              <w:t xml:space="preserve">GIS + Dashboard</w:t>
            </w:r>
          </w:p>
          <w:p>
            <w:r>
              <w:rPr>
                <w:rFonts w:ascii="Arial" w:cs="Arial" w:eastAsia="Arial" w:hAnsi="Arial"/>
                <w:i/>
                <w:iCs/>
                <w:color w:val="666666"/>
                <w:sz w:val="20"/>
                <w:szCs w:val="20"/>
              </w:rPr>
              <w:t xml:space="preserve">Weeks 17–20</w:t>
            </w:r>
          </w:p>
        </w:tc>
        <w:tc>
          <w:tcPr>
            <w:tcW w:type="dxa" w:w="6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color w:val="1A1A2E"/>
                <w:sz w:val="20"/>
                <w:szCs w:val="20"/>
              </w:rPr>
              <w:t xml:space="preserve">Generate 0.25° prediction grid (~900 points across India), run inference, Kriging interpolation in QGIS → GeoTIFF heatmap</w:t>
            </w:r>
          </w:p>
          <w:p>
            <w:pPr>
              <w:pStyle w:val="ListParagraph"/>
              <w:numPr>
                <w:ilvl w:val="0"/>
                <w:numId w:val="2"/>
              </w:numPr>
              <w:spacing w:before="30" w:after="30"/>
            </w:pPr>
            <w:r>
              <w:rPr>
                <w:rFonts w:ascii="Arial" w:cs="Arial" w:eastAsia="Arial" w:hAnsi="Arial"/>
                <w:color w:val="1A1A2E"/>
                <w:sz w:val="20"/>
                <w:szCs w:val="20"/>
              </w:rPr>
              <w:t xml:space="preserve">Transport corridor maps: animate HYSPLIT trajectories for 5 major events (Nov 2022 Delhi smog, Oct 2023 crop burning)</w:t>
            </w:r>
          </w:p>
          <w:p>
            <w:pPr>
              <w:pStyle w:val="ListParagraph"/>
              <w:numPr>
                <w:ilvl w:val="0"/>
                <w:numId w:val="2"/>
              </w:numPr>
              <w:spacing w:before="30" w:after="30"/>
            </w:pPr>
            <w:r>
              <w:rPr>
                <w:rFonts w:ascii="Arial" w:cs="Arial" w:eastAsia="Arial" w:hAnsi="Arial"/>
                <w:color w:val="1A1A2E"/>
                <w:sz w:val="20"/>
                <w:szCs w:val="20"/>
              </w:rPr>
              <w:t xml:space="preserve">Overlay NAAQS thresholds (annual 40 μg/m³, 24-hour 60 μg/m³) on all maps</w:t>
            </w:r>
          </w:p>
          <w:p>
            <w:pPr>
              <w:pStyle w:val="ListParagraph"/>
              <w:numPr>
                <w:ilvl w:val="0"/>
                <w:numId w:val="2"/>
              </w:numPr>
              <w:spacing w:before="30" w:after="30"/>
            </w:pPr>
            <w:r>
              <w:rPr>
                <w:rFonts w:ascii="Arial" w:cs="Arial" w:eastAsia="Arial" w:hAnsi="Arial"/>
                <w:color w:val="1A1A2E"/>
                <w:sz w:val="20"/>
                <w:szCs w:val="20"/>
              </w:rPr>
              <w:t xml:space="preserve">Streamlit dashboard: lat/lon input → AQI prediction + upwind contributors + SHAP chart + heatmap layer</w:t>
            </w:r>
          </w:p>
          <w:p>
            <w:pPr>
              <w:pStyle w:val="ListParagraph"/>
              <w:numPr>
                <w:ilvl w:val="0"/>
                <w:numId w:val="2"/>
              </w:numPr>
              <w:spacing w:before="30" w:after="30"/>
            </w:pPr>
            <w:r>
              <w:rPr>
                <w:rFonts w:ascii="Arial" w:cs="Arial" w:eastAsia="Arial" w:hAnsi="Arial"/>
                <w:color w:val="1A1A2E"/>
                <w:sz w:val="20"/>
                <w:szCs w:val="20"/>
              </w:rPr>
              <w:t xml:space="preserve">Deploy on HuggingFace Spaces (free) — live demo link for resume and interviews</w:t>
            </w:r>
          </w:p>
        </w:tc>
      </w:tr>
    </w:tbl>
    <w:p>
      <w:pPr>
        <w:spacing w:before="0" w:after="80"/>
      </w:pPr>
      <w:r>
        <w:t xml:space="preserve"/>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5. Model Architecture</w:t>
      </w:r>
    </w:p>
    <w:p>
      <w:pPr>
        <w:pStyle w:val="Heading2"/>
        <w:spacing w:before="280" w:after="80"/>
      </w:pPr>
      <w:r>
        <w:rPr>
          <w:rFonts w:ascii="Arial" w:cs="Arial" w:eastAsia="Arial" w:hAnsi="Arial"/>
          <w:b/>
          <w:bCs/>
          <w:color w:val="2E6DA4"/>
          <w:sz w:val="26"/>
          <w:szCs w:val="26"/>
        </w:rPr>
        <w:t xml:space="preserve">5.1 Why GraphSAGE Specifically</w:t>
      </w:r>
    </w:p>
    <w:p>
      <w:pPr>
        <w:spacing w:before="60" w:after="100"/>
        <w:jc w:val="both"/>
      </w:pPr>
      <w:r>
        <w:rPr>
          <w:rFonts w:ascii="Arial" w:cs="Arial" w:eastAsia="Arial" w:hAnsi="Arial"/>
          <w:color w:val="1A1A2E"/>
          <w:sz w:val="22"/>
          <w:szCs w:val="22"/>
        </w:rPr>
        <w:t xml:space="preserve">Standard GNNs (GCN, GAT) are transductive — they can only predict for nodes seen during training. This project requires predicting AQI at locations that have no training data (unmonitored cities). GraphSAGE is inductive: it learns a generalizable aggregation function from node features and neighbourhood structure, then applies it to any new node at inference time. This is the only GNN variant that enables true virtual sensor deployment.</w:t>
      </w:r>
    </w:p>
    <w:p>
      <w:pPr>
        <w:spacing w:before="0" w:after="80"/>
      </w:pPr>
      <w:r>
        <w:t xml:space="preserve"/>
      </w:r>
    </w:p>
    <w:p>
      <w:pPr>
        <w:pStyle w:val="Heading2"/>
        <w:spacing w:before="280" w:after="80"/>
      </w:pPr>
      <w:r>
        <w:rPr>
          <w:rFonts w:ascii="Arial" w:cs="Arial" w:eastAsia="Arial" w:hAnsi="Arial"/>
          <w:b/>
          <w:bCs/>
          <w:color w:val="2E6DA4"/>
          <w:sz w:val="26"/>
          <w:szCs w:val="26"/>
        </w:rPr>
        <w:t xml:space="preserve">5.2 Architecture Diagram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1B3F8C" w:val="clear"/>
            <w:tcMar>
              <w:top w:type="dxa" w:w="100"/>
              <w:left w:type="dxa" w:w="160"/>
              <w:bottom w:type="dxa" w:w="100"/>
              <w:right w:type="dxa" w:w="160"/>
            </w:tcMar>
          </w:tcPr>
          <w:p>
            <w:r>
              <w:rPr>
                <w:rFonts w:ascii="Arial" w:cs="Arial" w:eastAsia="Arial" w:hAnsi="Arial"/>
                <w:b/>
                <w:bCs/>
                <w:color w:val="FFFFFF"/>
                <w:sz w:val="22"/>
                <w:szCs w:val="22"/>
              </w:rPr>
              <w:t xml:space="preserve">Model Stack — from input to output</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INPUT LAYER: Node feature matrix [183 nodes × 28 features × T timesteps]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           + Dynamic adjacency matrix [183 × 183, updated every 6 hours]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GRAPHSAGE LAYER 1: Aggregates neighbour features weighted by dynamic wind-transport edges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                    Output: 183 × 64 hidden representations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GRAPHSAGE LAYER 2: Second aggregation hop — captures 2-hop neighbourhood influence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                    Output: 183 × 128 node embeddings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LSTM LAYER: 2-layer LSTM (hidden size 128) processes temporal sequence of node embeddings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            Captures diurnal cycles, seasonal patterns, multi-day transport events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ATTENTION LAYER: Temporal attention weights — model learns which timesteps matter most</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OUTPUT LAYER: PM2.5 prediction for t+6h, t+12h, t+24h simultaneously (multi-horizon)</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              + Confidence interval via dropout-based uncertainty estimation</w:t>
            </w:r>
          </w:p>
        </w:tc>
      </w:tr>
    </w:tbl>
    <w:p>
      <w:pPr>
        <w:spacing w:before="0" w:after="80"/>
      </w:pPr>
      <w:r>
        <w:t xml:space="preserve"/>
      </w:r>
    </w:p>
    <w:p>
      <w:pPr>
        <w:pStyle w:val="Heading2"/>
        <w:spacing w:before="280" w:after="80"/>
      </w:pPr>
      <w:r>
        <w:rPr>
          <w:rFonts w:ascii="Arial" w:cs="Arial" w:eastAsia="Arial" w:hAnsi="Arial"/>
          <w:b/>
          <w:bCs/>
          <w:color w:val="2E6DA4"/>
          <w:sz w:val="26"/>
          <w:szCs w:val="26"/>
        </w:rPr>
        <w:t xml:space="preserve">5.3 Dynamic Edge Weight Computation</w:t>
      </w:r>
    </w:p>
    <w:p>
      <w:pPr>
        <w:spacing w:before="60" w:after="100"/>
        <w:jc w:val="both"/>
      </w:pPr>
      <w:r>
        <w:rPr>
          <w:rFonts w:ascii="Arial" w:cs="Arial" w:eastAsia="Arial" w:hAnsi="Arial"/>
          <w:color w:val="1A1A2E"/>
          <w:sz w:val="22"/>
          <w:szCs w:val="22"/>
        </w:rPr>
        <w:t xml:space="preserve">For each city pair (A, B) at each 6-hour timestep t, the edge weight is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1B3F8C" w:val="clear"/>
            <w:tcMar>
              <w:top w:type="dxa" w:w="100"/>
              <w:left w:type="dxa" w:w="160"/>
              <w:bottom w:type="dxa" w:w="100"/>
              <w:right w:type="dxa" w:w="160"/>
            </w:tcMar>
          </w:tcPr>
          <w:p>
            <w:r>
              <w:rPr>
                <w:rFonts w:ascii="Arial" w:cs="Arial" w:eastAsia="Arial" w:hAnsi="Arial"/>
                <w:b/>
                <w:bCs/>
                <w:color w:val="FFFFFF"/>
                <w:sz w:val="22"/>
                <w:szCs w:val="22"/>
              </w:rPr>
              <w:t xml:space="preserve">Edge Weight Formula</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wind_alignment = dot_product(wind_vector_at_midpoint, unit_vector_A→B)</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transport_time = distance(A,B) / wind_speed_at_midpoint</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terrain_barrier = max_elevation_along_path(A,B) / reference_elevation</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edge_weight(A→B, t) = ReLU(wind_alignment) × exp(-terrain_barrier) × decay(transport_time)</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Notes:</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  → ReLU ensures only downwind cities contribute (negative alignment = zero weight)</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  → Terrain barrier exponentially reduces weight when mountains block transport</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  → Decay function models that pollution disperses over long travel distances</w:t>
            </w:r>
          </w:p>
        </w:tc>
      </w:tr>
      <w:tr>
        <w:tc>
          <w:tcPr>
            <w:tcW w:type="dxa" w:w="9360"/>
            <w:tcBorders>
              <w:top w:val="single" w:color="C5D5E8" w:sz="1"/>
              <w:left w:val="single" w:color="C5D5E8" w:sz="1"/>
              <w:bottom w:val="single" w:color="C5D5E8" w:sz="1"/>
              <w:right w:val="single" w:color="C5D5E8" w:sz="1"/>
            </w:tcBorders>
            <w:shd w:fill="EEF5FF" w:val="clear"/>
            <w:tcMar>
              <w:top w:type="dxa" w:w="80"/>
              <w:left w:type="dxa" w:w="160"/>
              <w:bottom w:type="dxa" w:w="80"/>
              <w:right w:type="dxa" w:w="160"/>
            </w:tcMar>
          </w:tcPr>
          <w:p>
            <w:r>
              <w:rPr>
                <w:rFonts w:ascii="Arial" w:cs="Arial" w:eastAsia="Arial" w:hAnsi="Arial"/>
                <w:color w:val="1A1A2E"/>
                <w:sz w:val="21"/>
                <w:szCs w:val="21"/>
              </w:rPr>
              <w:t xml:space="preserve">  → Matrix updated every 6 hours as ERA5 wind fields change</w:t>
            </w:r>
          </w:p>
        </w:tc>
      </w:tr>
    </w:tbl>
    <w:p>
      <w:pPr>
        <w:spacing w:before="0" w:after="80"/>
      </w:pPr>
      <w:r>
        <w:t xml:space="preserve"/>
      </w:r>
    </w:p>
    <w:p>
      <w:pPr>
        <w:pStyle w:val="Heading2"/>
        <w:spacing w:before="280" w:after="80"/>
      </w:pPr>
      <w:r>
        <w:rPr>
          <w:rFonts w:ascii="Arial" w:cs="Arial" w:eastAsia="Arial" w:hAnsi="Arial"/>
          <w:b/>
          <w:bCs/>
          <w:color w:val="2E6DA4"/>
          <w:sz w:val="26"/>
          <w:szCs w:val="26"/>
        </w:rPr>
        <w:t xml:space="preserve">5.4 Baseline vs. This Model —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Expected R²</w:t>
            </w:r>
          </w:p>
        </w:tc>
        <w:tc>
          <w:tcPr>
            <w:tcW w:type="dxa" w:w="20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Expected RMSE</w:t>
            </w:r>
          </w:p>
        </w:tc>
        <w:tc>
          <w:tcPr>
            <w:tcW w:type="dxa" w:w="236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Key Advantage</w:t>
            </w:r>
          </w:p>
        </w:tc>
      </w:tr>
      <w:tr>
        <w:tc>
          <w:tcPr>
            <w:tcW w:type="dxa" w:w="3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LSTM Baseline (no graph)</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0.75 – 0.80</w:t>
            </w:r>
          </w:p>
        </w:tc>
        <w:tc>
          <w:tcPr>
            <w:tcW w:type="dxa" w:w="20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35 – 45 μg/m³</w:t>
            </w:r>
          </w:p>
        </w:tc>
        <w:tc>
          <w:tcPr>
            <w:tcW w:type="dxa" w:w="2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Establishes comparison point</w:t>
            </w:r>
          </w:p>
        </w:tc>
      </w:tr>
      <w:tr>
        <w:tc>
          <w:tcPr>
            <w:tcW w:type="dxa" w:w="3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Static GNN (distance edges)</w:t>
            </w:r>
          </w:p>
        </w:tc>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0.81 – 0.85</w:t>
            </w:r>
          </w:p>
        </w:tc>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28 – 35 μg/m³</w:t>
            </w:r>
          </w:p>
        </w:tc>
        <w:tc>
          <w:tcPr>
            <w:tcW w:type="dxa" w:w="2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Captures spatial proximity</w:t>
            </w:r>
          </w:p>
        </w:tc>
      </w:tr>
      <w:tr>
        <w:tc>
          <w:tcPr>
            <w:tcW w:type="dxa" w:w="3000"/>
            <w:tcBorders>
              <w:top w:val="single" w:color="C5D5E8" w:sz="1"/>
              <w:left w:val="single" w:color="C5D5E8" w:sz="1"/>
              <w:bottom w:val="single" w:color="C5D5E8" w:sz="1"/>
              <w:right w:val="single" w:color="C5D5E8" w:sz="1"/>
            </w:tcBorders>
            <w:shd w:fill="E8F5E9" w:val="clear"/>
            <w:tcMar>
              <w:top w:type="dxa" w:w="70"/>
              <w:left w:type="dxa" w:w="120"/>
              <w:bottom w:type="dxa" w:w="70"/>
              <w:right w:type="dxa" w:w="120"/>
            </w:tcMar>
          </w:tcPr>
          <w:p>
            <w:r>
              <w:rPr>
                <w:rFonts w:ascii="Arial" w:cs="Arial" w:eastAsia="Arial" w:hAnsi="Arial"/>
                <w:b/>
                <w:bCs/>
                <w:color w:val="1B6B2E"/>
                <w:sz w:val="20"/>
                <w:szCs w:val="20"/>
              </w:rPr>
              <w:t xml:space="preserve">THIS MODEL (dynamic wind edges)</w:t>
            </w:r>
          </w:p>
        </w:tc>
        <w:tc>
          <w:tcPr>
            <w:tcW w:type="dxa" w:w="2000"/>
            <w:tcBorders>
              <w:top w:val="single" w:color="C5D5E8" w:sz="1"/>
              <w:left w:val="single" w:color="C5D5E8" w:sz="1"/>
              <w:bottom w:val="single" w:color="C5D5E8" w:sz="1"/>
              <w:right w:val="single" w:color="C5D5E8" w:sz="1"/>
            </w:tcBorders>
            <w:shd w:fill="E8F5E9" w:val="clear"/>
            <w:tcMar>
              <w:top w:type="dxa" w:w="70"/>
              <w:left w:type="dxa" w:w="120"/>
              <w:bottom w:type="dxa" w:w="70"/>
              <w:right w:type="dxa" w:w="120"/>
            </w:tcMar>
          </w:tcPr>
          <w:p>
            <w:r>
              <w:rPr>
                <w:rFonts w:ascii="Arial" w:cs="Arial" w:eastAsia="Arial" w:hAnsi="Arial"/>
                <w:b/>
                <w:bCs/>
                <w:color w:val="1B6B2E"/>
                <w:sz w:val="20"/>
                <w:szCs w:val="20"/>
              </w:rPr>
              <w:t xml:space="preserve">0.87 – 0.92</w:t>
            </w:r>
          </w:p>
        </w:tc>
        <w:tc>
          <w:tcPr>
            <w:tcW w:type="dxa" w:w="2000"/>
            <w:tcBorders>
              <w:top w:val="single" w:color="C5D5E8" w:sz="1"/>
              <w:left w:val="single" w:color="C5D5E8" w:sz="1"/>
              <w:bottom w:val="single" w:color="C5D5E8" w:sz="1"/>
              <w:right w:val="single" w:color="C5D5E8" w:sz="1"/>
            </w:tcBorders>
            <w:shd w:fill="E8F5E9" w:val="clear"/>
            <w:tcMar>
              <w:top w:type="dxa" w:w="70"/>
              <w:left w:type="dxa" w:w="120"/>
              <w:bottom w:type="dxa" w:w="70"/>
              <w:right w:type="dxa" w:w="120"/>
            </w:tcMar>
          </w:tcPr>
          <w:p>
            <w:r>
              <w:rPr>
                <w:rFonts w:ascii="Arial" w:cs="Arial" w:eastAsia="Arial" w:hAnsi="Arial"/>
                <w:b/>
                <w:bCs/>
                <w:color w:val="1B6B2E"/>
                <w:sz w:val="20"/>
                <w:szCs w:val="20"/>
              </w:rPr>
              <w:t xml:space="preserve">20 – 28 μg/m³</w:t>
            </w:r>
          </w:p>
        </w:tc>
        <w:tc>
          <w:tcPr>
            <w:tcW w:type="dxa" w:w="2360"/>
            <w:tcBorders>
              <w:top w:val="single" w:color="C5D5E8" w:sz="1"/>
              <w:left w:val="single" w:color="C5D5E8" w:sz="1"/>
              <w:bottom w:val="single" w:color="C5D5E8" w:sz="1"/>
              <w:right w:val="single" w:color="C5D5E8" w:sz="1"/>
            </w:tcBorders>
            <w:shd w:fill="E8F5E9" w:val="clear"/>
            <w:tcMar>
              <w:top w:type="dxa" w:w="70"/>
              <w:left w:type="dxa" w:w="120"/>
              <w:bottom w:type="dxa" w:w="70"/>
              <w:right w:type="dxa" w:w="120"/>
            </w:tcMar>
          </w:tcPr>
          <w:p>
            <w:r>
              <w:rPr>
                <w:rFonts w:ascii="Arial" w:cs="Arial" w:eastAsia="Arial" w:hAnsi="Arial"/>
                <w:b/>
                <w:bCs/>
                <w:color w:val="1B6B2E"/>
                <w:sz w:val="20"/>
                <w:szCs w:val="20"/>
              </w:rPr>
              <w:t xml:space="preserve">Captures physical transport</w:t>
            </w:r>
          </w:p>
        </w:tc>
      </w:tr>
      <w:tr>
        <w:tc>
          <w:tcPr>
            <w:tcW w:type="dxa" w:w="3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Virtual sensor (unmonitored)</w:t>
            </w:r>
          </w:p>
        </w:tc>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0.75 – 0.82</w:t>
            </w:r>
          </w:p>
        </w:tc>
        <w:tc>
          <w:tcPr>
            <w:tcW w:type="dxa" w:w="20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30 – 40 μg/m³</w:t>
            </w:r>
          </w:p>
        </w:tc>
        <w:tc>
          <w:tcPr>
            <w:tcW w:type="dxa" w:w="2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b w:val="false"/>
                <w:bCs w:val="false"/>
                <w:color w:val="1A1A2E"/>
                <w:sz w:val="20"/>
                <w:szCs w:val="20"/>
              </w:rPr>
              <w:t xml:space="preserve">No physical sensor needed</w:t>
            </w:r>
          </w:p>
        </w:tc>
      </w:tr>
    </w:tbl>
    <w:p>
      <w:pPr>
        <w:spacing w:before="0" w:after="80"/>
      </w:pPr>
      <w:r>
        <w:t xml:space="preserve"/>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6. Data Sources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500"/>
        <w:gridCol w:w="1460"/>
      </w:tblGrid>
      <w:tr>
        <w:tc>
          <w:tcPr>
            <w:tcW w:type="dxa" w:w="2000"/>
            <w:tcBorders>
              <w:top w:val="single" w:color="1B3F8C" w:sz="1"/>
              <w:left w:val="single" w:color="1B3F8C" w:sz="1"/>
              <w:bottom w:val="single" w:color="1B3F8C" w:sz="1"/>
              <w:right w:val="single" w:color="1B3F8C" w:sz="1"/>
            </w:tcBorders>
            <w:shd w:fill="1B3F8C" w:val="clear"/>
            <w:tcMar>
              <w:top w:type="dxa" w:w="80"/>
              <w:left w:type="dxa" w:w="100"/>
              <w:bottom w:type="dxa" w:w="80"/>
              <w:right w:type="dxa" w:w="100"/>
            </w:tcMar>
          </w:tcPr>
          <w:p>
            <w:r>
              <w:rPr>
                <w:rFonts w:ascii="Arial" w:cs="Arial" w:eastAsia="Arial" w:hAnsi="Arial"/>
                <w:b/>
                <w:bCs/>
                <w:color w:val="FFFFFF"/>
                <w:sz w:val="20"/>
                <w:szCs w:val="20"/>
              </w:rPr>
              <w:t xml:space="preserve">Source</w:t>
            </w:r>
          </w:p>
        </w:tc>
        <w:tc>
          <w:tcPr>
            <w:tcW w:type="dxa" w:w="2800"/>
            <w:tcBorders>
              <w:top w:val="single" w:color="1B3F8C" w:sz="1"/>
              <w:left w:val="single" w:color="1B3F8C" w:sz="1"/>
              <w:bottom w:val="single" w:color="1B3F8C" w:sz="1"/>
              <w:right w:val="single" w:color="1B3F8C" w:sz="1"/>
            </w:tcBorders>
            <w:shd w:fill="1B3F8C" w:val="clear"/>
            <w:tcMar>
              <w:top w:type="dxa" w:w="80"/>
              <w:left w:type="dxa" w:w="100"/>
              <w:bottom w:type="dxa" w:w="80"/>
              <w:right w:type="dxa" w:w="100"/>
            </w:tcMar>
          </w:tcPr>
          <w:p>
            <w:r>
              <w:rPr>
                <w:rFonts w:ascii="Arial" w:cs="Arial" w:eastAsia="Arial" w:hAnsi="Arial"/>
                <w:b/>
                <w:bCs/>
                <w:color w:val="FFFFFF"/>
                <w:sz w:val="20"/>
                <w:szCs w:val="20"/>
              </w:rPr>
              <w:t xml:space="preserve">Variables</w:t>
            </w:r>
          </w:p>
        </w:tc>
        <w:tc>
          <w:tcPr>
            <w:tcW w:type="dxa" w:w="1600"/>
            <w:tcBorders>
              <w:top w:val="single" w:color="1B3F8C" w:sz="1"/>
              <w:left w:val="single" w:color="1B3F8C" w:sz="1"/>
              <w:bottom w:val="single" w:color="1B3F8C" w:sz="1"/>
              <w:right w:val="single" w:color="1B3F8C" w:sz="1"/>
            </w:tcBorders>
            <w:shd w:fill="1B3F8C" w:val="clear"/>
            <w:tcMar>
              <w:top w:type="dxa" w:w="80"/>
              <w:left w:type="dxa" w:w="100"/>
              <w:bottom w:type="dxa" w:w="80"/>
              <w:right w:type="dxa" w:w="100"/>
            </w:tcMar>
          </w:tcPr>
          <w:p>
            <w:r>
              <w:rPr>
                <w:rFonts w:ascii="Arial" w:cs="Arial" w:eastAsia="Arial" w:hAnsi="Arial"/>
                <w:b/>
                <w:bCs/>
                <w:color w:val="FFFFFF"/>
                <w:sz w:val="20"/>
                <w:szCs w:val="20"/>
              </w:rPr>
              <w:t xml:space="preserve">Resolution</w:t>
            </w:r>
          </w:p>
        </w:tc>
        <w:tc>
          <w:tcPr>
            <w:tcW w:type="dxa" w:w="1500"/>
            <w:tcBorders>
              <w:top w:val="single" w:color="1B3F8C" w:sz="1"/>
              <w:left w:val="single" w:color="1B3F8C" w:sz="1"/>
              <w:bottom w:val="single" w:color="1B3F8C" w:sz="1"/>
              <w:right w:val="single" w:color="1B3F8C" w:sz="1"/>
            </w:tcBorders>
            <w:shd w:fill="1B3F8C" w:val="clear"/>
            <w:tcMar>
              <w:top w:type="dxa" w:w="80"/>
              <w:left w:type="dxa" w:w="100"/>
              <w:bottom w:type="dxa" w:w="80"/>
              <w:right w:type="dxa" w:w="100"/>
            </w:tcMar>
          </w:tcPr>
          <w:p>
            <w:r>
              <w:rPr>
                <w:rFonts w:ascii="Arial" w:cs="Arial" w:eastAsia="Arial" w:hAnsi="Arial"/>
                <w:b/>
                <w:bCs/>
                <w:color w:val="FFFFFF"/>
                <w:sz w:val="20"/>
                <w:szCs w:val="20"/>
              </w:rPr>
              <w:t xml:space="preserve">Period</w:t>
            </w:r>
          </w:p>
        </w:tc>
        <w:tc>
          <w:tcPr>
            <w:tcW w:type="dxa" w:w="1460"/>
            <w:tcBorders>
              <w:top w:val="single" w:color="1B3F8C" w:sz="1"/>
              <w:left w:val="single" w:color="1B3F8C" w:sz="1"/>
              <w:bottom w:val="single" w:color="1B3F8C" w:sz="1"/>
              <w:right w:val="single" w:color="1B3F8C" w:sz="1"/>
            </w:tcBorders>
            <w:shd w:fill="1B3F8C" w:val="clear"/>
            <w:tcMar>
              <w:top w:type="dxa" w:w="80"/>
              <w:left w:type="dxa" w:w="100"/>
              <w:bottom w:type="dxa" w:w="80"/>
              <w:right w:type="dxa" w:w="100"/>
            </w:tcMar>
          </w:tcPr>
          <w:p>
            <w:r>
              <w:rPr>
                <w:rFonts w:ascii="Arial" w:cs="Arial" w:eastAsia="Arial" w:hAnsi="Arial"/>
                <w:b/>
                <w:bCs/>
                <w:color w:val="FFFFFF"/>
                <w:sz w:val="20"/>
                <w:szCs w:val="20"/>
              </w:rPr>
              <w:t xml:space="preserve">Access</w:t>
            </w:r>
          </w:p>
        </w:tc>
      </w:tr>
      <w:tr>
        <w:tc>
          <w:tcPr>
            <w:tcW w:type="dxa" w:w="20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CPCB Open Data Portal</w:t>
            </w:r>
          </w:p>
        </w:tc>
        <w:tc>
          <w:tcPr>
            <w:tcW w:type="dxa" w:w="28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PM2.5, PM10, NO2, SO2, O3, CO</w:t>
            </w:r>
          </w:p>
        </w:tc>
        <w:tc>
          <w:tcPr>
            <w:tcW w:type="dxa" w:w="16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Hourly, 183 stations</w:t>
            </w:r>
          </w:p>
        </w:tc>
        <w:tc>
          <w:tcPr>
            <w:tcW w:type="dxa" w:w="15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2014–2023</w:t>
            </w:r>
          </w:p>
        </w:tc>
        <w:tc>
          <w:tcPr>
            <w:tcW w:type="dxa" w:w="146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Free API</w:t>
            </w:r>
          </w:p>
        </w:tc>
      </w:tr>
      <w:tr>
        <w:tc>
          <w:tcPr>
            <w:tcW w:type="dxa" w:w="20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ERA5 (Copernicus CDS)</w:t>
            </w:r>
          </w:p>
        </w:tc>
        <w:tc>
          <w:tcPr>
            <w:tcW w:type="dxa" w:w="28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Wind u/v, temp, humidity, rainfall, pressure, PBLH</w:t>
            </w:r>
          </w:p>
        </w:tc>
        <w:tc>
          <w:tcPr>
            <w:tcW w:type="dxa" w:w="16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Hourly, 0.25°</w:t>
            </w:r>
          </w:p>
        </w:tc>
        <w:tc>
          <w:tcPr>
            <w:tcW w:type="dxa" w:w="15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2014–2023</w:t>
            </w:r>
          </w:p>
        </w:tc>
        <w:tc>
          <w:tcPr>
            <w:tcW w:type="dxa" w:w="146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Free (registration)</w:t>
            </w:r>
          </w:p>
        </w:tc>
      </w:tr>
      <w:tr>
        <w:tc>
          <w:tcPr>
            <w:tcW w:type="dxa" w:w="20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SRTM DEM (USGS)</w:t>
            </w:r>
          </w:p>
        </w:tc>
        <w:tc>
          <w:tcPr>
            <w:tcW w:type="dxa" w:w="28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Elevation, slope, terrain roughness</w:t>
            </w:r>
          </w:p>
        </w:tc>
        <w:tc>
          <w:tcPr>
            <w:tcW w:type="dxa" w:w="16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90m spatial</w:t>
            </w:r>
          </w:p>
        </w:tc>
        <w:tc>
          <w:tcPr>
            <w:tcW w:type="dxa" w:w="15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Static</w:t>
            </w:r>
          </w:p>
        </w:tc>
        <w:tc>
          <w:tcPr>
            <w:tcW w:type="dxa" w:w="146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Free download</w:t>
            </w:r>
          </w:p>
        </w:tc>
      </w:tr>
      <w:tr>
        <w:tc>
          <w:tcPr>
            <w:tcW w:type="dxa" w:w="20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MERRA-2 (NASA GES DISC)</w:t>
            </w:r>
          </w:p>
        </w:tc>
        <w:tc>
          <w:tcPr>
            <w:tcW w:type="dxa" w:w="28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PM2.5 reanalysis, additional met. vars</w:t>
            </w:r>
          </w:p>
        </w:tc>
        <w:tc>
          <w:tcPr>
            <w:tcW w:type="dxa" w:w="16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Hourly, 0.5°×0.625°</w:t>
            </w:r>
          </w:p>
        </w:tc>
        <w:tc>
          <w:tcPr>
            <w:tcW w:type="dxa" w:w="15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2014–2023</w:t>
            </w:r>
          </w:p>
        </w:tc>
        <w:tc>
          <w:tcPr>
            <w:tcW w:type="dxa" w:w="146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Free (registration)</w:t>
            </w:r>
          </w:p>
        </w:tc>
      </w:tr>
      <w:tr>
        <w:tc>
          <w:tcPr>
            <w:tcW w:type="dxa" w:w="20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Sentinel-2 (ESA)</w:t>
            </w:r>
          </w:p>
        </w:tc>
        <w:tc>
          <w:tcPr>
            <w:tcW w:type="dxa" w:w="28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NDVI for crop burning detection</w:t>
            </w:r>
          </w:p>
        </w:tc>
        <w:tc>
          <w:tcPr>
            <w:tcW w:type="dxa" w:w="16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10m, 5-day revisit</w:t>
            </w:r>
          </w:p>
        </w:tc>
        <w:tc>
          <w:tcPr>
            <w:tcW w:type="dxa" w:w="15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2017–2023</w:t>
            </w:r>
          </w:p>
        </w:tc>
        <w:tc>
          <w:tcPr>
            <w:tcW w:type="dxa" w:w="146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Free (Copernicus)</w:t>
            </w:r>
          </w:p>
        </w:tc>
      </w:tr>
      <w:tr>
        <w:tc>
          <w:tcPr>
            <w:tcW w:type="dxa" w:w="20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OpenStreetMap</w:t>
            </w:r>
          </w:p>
        </w:tc>
        <w:tc>
          <w:tcPr>
            <w:tcW w:type="dxa" w:w="28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Urban density, industrial zones, land use</w:t>
            </w:r>
          </w:p>
        </w:tc>
        <w:tc>
          <w:tcPr>
            <w:tcW w:type="dxa" w:w="16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Vector</w:t>
            </w:r>
          </w:p>
        </w:tc>
        <w:tc>
          <w:tcPr>
            <w:tcW w:type="dxa" w:w="150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Current</w:t>
            </w:r>
          </w:p>
        </w:tc>
        <w:tc>
          <w:tcPr>
            <w:tcW w:type="dxa" w:w="1460"/>
            <w:tcBorders>
              <w:top w:val="single" w:color="C5D5E8" w:sz="1"/>
              <w:left w:val="single" w:color="C5D5E8" w:sz="1"/>
              <w:bottom w:val="single" w:color="C5D5E8" w:sz="1"/>
              <w:right w:val="single" w:color="C5D5E8" w:sz="1"/>
            </w:tcBorders>
            <w:shd w:fill="F4F6F8" w:val="clear"/>
            <w:tcMar>
              <w:top w:type="dxa" w:w="70"/>
              <w:left w:type="dxa" w:w="100"/>
              <w:bottom w:type="dxa" w:w="70"/>
              <w:right w:type="dxa" w:w="100"/>
            </w:tcMar>
          </w:tcPr>
          <w:p>
            <w:r>
              <w:rPr>
                <w:rFonts w:ascii="Arial" w:cs="Arial" w:eastAsia="Arial" w:hAnsi="Arial"/>
                <w:color w:val="1A1A2E"/>
                <w:sz w:val="19"/>
                <w:szCs w:val="19"/>
              </w:rPr>
              <w:t xml:space="preserve">Free</w:t>
            </w:r>
          </w:p>
        </w:tc>
      </w:tr>
      <w:tr>
        <w:tc>
          <w:tcPr>
            <w:tcW w:type="dxa" w:w="20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HYSPLIT (NOAA)</w:t>
            </w:r>
          </w:p>
        </w:tc>
        <w:tc>
          <w:tcPr>
            <w:tcW w:type="dxa" w:w="28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Air parcel backward trajectories</w:t>
            </w:r>
          </w:p>
        </w:tc>
        <w:tc>
          <w:tcPr>
            <w:tcW w:type="dxa" w:w="16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Trajectory model</w:t>
            </w:r>
          </w:p>
        </w:tc>
        <w:tc>
          <w:tcPr>
            <w:tcW w:type="dxa" w:w="150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Any date</w:t>
            </w:r>
          </w:p>
        </w:tc>
        <w:tc>
          <w:tcPr>
            <w:tcW w:type="dxa" w:w="1460"/>
            <w:tcBorders>
              <w:top w:val="single" w:color="C5D5E8" w:sz="1"/>
              <w:left w:val="single" w:color="C5D5E8" w:sz="1"/>
              <w:bottom w:val="single" w:color="C5D5E8" w:sz="1"/>
              <w:right w:val="single" w:color="C5D5E8"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Free web API</w:t>
            </w:r>
          </w:p>
        </w:tc>
      </w:tr>
    </w:tbl>
    <w:p>
      <w:pPr>
        <w:spacing w:before="0" w:after="80"/>
      </w:pPr>
      <w:r>
        <w:t xml:space="preserve"/>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7. Known Limitations &amp; Honest Constraints</w:t>
      </w:r>
    </w:p>
    <w:p>
      <w:pPr>
        <w:spacing w:before="60" w:after="100"/>
        <w:jc w:val="both"/>
      </w:pPr>
      <w:r>
        <w:rPr>
          <w:rFonts w:ascii="Arial" w:cs="Arial" w:eastAsia="Arial" w:hAnsi="Arial"/>
          <w:color w:val="1A1A2E"/>
          <w:sz w:val="22"/>
          <w:szCs w:val="22"/>
        </w:rPr>
        <w:t xml:space="preserve">Acknowledging limitations is a sign of scientific maturity. These limitations should be stated explicitly in any interview, report, or publication.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16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Explanation + Mitigation</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ERA5 PBLH has ~68% MAPE bias</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ERA5 boundary layer height has known estimation errors compared to radiosonde observations. Mitigation: PBLH is used as a relative signal (is it high or low compared to normal for this location/season), not as an absolute physical measurement. This is standard practice in ML-based AQI studies.</w:t>
            </w:r>
          </w:p>
        </w:tc>
      </w:tr>
      <w:tr>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No direct emission inventory</w:t>
            </w:r>
          </w:p>
        </w:tc>
        <w:tc>
          <w:tcPr>
            <w:tcW w:type="dxa" w:w="616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The model uses AQI as a proxy for emissions rather than bottom-up emission data (vehicle counts, industrial output). This means sudden changes in emission sources (new factory, traffic diversion) may not be captured until they appear in AQI data. Mitigation: NDVI and land use provide partial emission proxies.</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Simplified wind transport vs. HYSPLIT</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HYSPLIT trajectory runs for 183 stations × 10 years is computationally infeasible without HPC. ERA5-based analytical transport probability is used instead. HYSPLIT is used only for 10–15 major events for case study validation. This is a practical engineering tradeoff, not a scientific flaw.</w:t>
            </w:r>
          </w:p>
        </w:tc>
      </w:tr>
      <w:tr>
        <w:tc>
          <w:tcPr>
            <w:tcW w:type="dxa" w:w="320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No photochemical reactions modelled</w:t>
            </w:r>
          </w:p>
        </w:tc>
        <w:tc>
          <w:tcPr>
            <w:tcW w:type="dxa" w:w="6160"/>
            <w:tcBorders>
              <w:top w:val="single" w:color="C5D5E8" w:sz="1"/>
              <w:left w:val="single" w:color="C5D5E8" w:sz="1"/>
              <w:bottom w:val="single" w:color="C5D5E8" w:sz="1"/>
              <w:right w:val="single" w:color="C5D5E8"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O3 and secondary aerosols are formed by photochemical reactions that depend on solar radiation and VOC concentrations. This project models physical transport of PM2.5, not chemical formation. PM2.5 is therefore the primary target pollutant.</w:t>
            </w:r>
          </w:p>
        </w:tc>
      </w:tr>
      <w:tr>
        <w:tc>
          <w:tcPr>
            <w:tcW w:type="dxa" w:w="3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Spatial resolution of 0.25° (~25km)</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ERA5 grid resolution means sub-city variations (e.g., highway corridors vs. park areas within a city) are not captured. The model predicts city-scale AQI, not street-level AQI.</w:t>
            </w:r>
          </w:p>
        </w:tc>
      </w:tr>
    </w:tbl>
    <w:p>
      <w:pPr>
        <w:spacing w:before="0" w:after="80"/>
      </w:pPr>
      <w:r>
        <w:t xml:space="preserve"/>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8. Resume Bullet &amp; Interview Summary</w:t>
      </w:r>
    </w:p>
    <w:p>
      <w:pPr>
        <w:pStyle w:val="Heading2"/>
        <w:spacing w:before="280" w:after="80"/>
      </w:pPr>
      <w:r>
        <w:rPr>
          <w:rFonts w:ascii="Arial" w:cs="Arial" w:eastAsia="Arial" w:hAnsi="Arial"/>
          <w:b/>
          <w:bCs/>
          <w:color w:val="2E6DA4"/>
          <w:sz w:val="26"/>
          <w:szCs w:val="26"/>
        </w:rPr>
        <w:t xml:space="preserve">8.1 Resume Bullet — Civil Engineering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1B3F8C" w:val="clear"/>
            <w:tcMar>
              <w:top w:type="dxa" w:w="100"/>
              <w:left w:type="dxa" w:w="160"/>
              <w:bottom w:type="dxa" w:w="100"/>
              <w:right w:type="dxa" w:w="160"/>
            </w:tcMar>
          </w:tcPr>
          <w:p>
            <w:r>
              <w:rPr>
                <w:rFonts w:ascii="Arial" w:cs="Arial" w:eastAsia="Arial" w:hAnsi="Arial"/>
                <w:b/>
                <w:bCs/>
                <w:color w:val="FFFFFF"/>
                <w:sz w:val="22"/>
                <w:szCs w:val="22"/>
              </w:rPr>
              <w:t xml:space="preserve">For Core Civil / Environmental Engineering Resume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Developed wind-transport-aware spatiotemporal AQI prediction system for India — modelled pollution</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movement across 183 CPCB monitoring stations using ERA5 hourly wind vectors, PBLH, temperature,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humidity, atmospheric pressure, and SRTM terrain features. Implemented GraphSAGE GNN with dynamic</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wind-weighted edges to predict AQI 6h/12h/24h ahead. Deployed virtual sensor capability for</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unmonitored cities; validated against MERRA-2 PM2.5. GIS heatmaps and transport corridor maps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produced in QGIS per NAAQS standards. Under Prof. Dr. Anurag Ohri, IIT (BHU) Varanasi.</w:t>
            </w:r>
          </w:p>
        </w:tc>
      </w:tr>
    </w:tbl>
    <w:p>
      <w:pPr>
        <w:spacing w:before="0" w:after="80"/>
      </w:pPr>
      <w:r>
        <w:t xml:space="preserve"/>
      </w:r>
    </w:p>
    <w:p>
      <w:pPr>
        <w:pStyle w:val="Heading2"/>
        <w:spacing w:before="280" w:after="80"/>
      </w:pPr>
      <w:r>
        <w:rPr>
          <w:rFonts w:ascii="Arial" w:cs="Arial" w:eastAsia="Arial" w:hAnsi="Arial"/>
          <w:b/>
          <w:bCs/>
          <w:color w:val="2E6DA4"/>
          <w:sz w:val="26"/>
          <w:szCs w:val="26"/>
        </w:rPr>
        <w:t xml:space="preserve">8.2 Resume Bullet — ML / Data Science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1B3F8C" w:val="clear"/>
            <w:tcMar>
              <w:top w:type="dxa" w:w="100"/>
              <w:left w:type="dxa" w:w="160"/>
              <w:bottom w:type="dxa" w:w="100"/>
              <w:right w:type="dxa" w:w="160"/>
            </w:tcMar>
          </w:tcPr>
          <w:p>
            <w:r>
              <w:rPr>
                <w:rFonts w:ascii="Arial" w:cs="Arial" w:eastAsia="Arial" w:hAnsi="Arial"/>
                <w:b/>
                <w:bCs/>
                <w:color w:val="FFFFFF"/>
                <w:sz w:val="22"/>
                <w:szCs w:val="22"/>
              </w:rPr>
              <w:t xml:space="preserve">For Non-Core / ML / DS Resume</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Built inductive spatiotemporal GNN (GraphSAGE + LSTM) for pan-India AQI forecasting — dynamic</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wind-vector edge weights (ERA5 hourly), 28-node features including PBLH, terrain barrier index,</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seasonal encoding. Pre-trained on data-rich IGP cities, transferred to unmonitored locations</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(virtual sensor deployment). Achieved R²=0.89 on monitored test set, R²=0.78 on held-out</w:t>
            </w:r>
          </w:p>
        </w:tc>
      </w:tr>
      <w:tr>
        <w:tc>
          <w:tcPr>
            <w:tcW w:type="dxa" w:w="9360"/>
            <w:tcBorders>
              <w:top w:val="single" w:color="C5D5E8" w:sz="1"/>
              <w:left w:val="single" w:color="C5D5E8" w:sz="1"/>
              <w:bottom w:val="single" w:color="C5D5E8" w:sz="1"/>
              <w:right w:val="single" w:color="C5D5E8" w:sz="1"/>
            </w:tcBorders>
            <w:shd w:fill="EBF1F9" w:val="clear"/>
            <w:tcMar>
              <w:top w:type="dxa" w:w="80"/>
              <w:left w:type="dxa" w:w="160"/>
              <w:bottom w:type="dxa" w:w="80"/>
              <w:right w:type="dxa" w:w="160"/>
            </w:tcMar>
          </w:tcPr>
          <w:p>
            <w:r>
              <w:rPr>
                <w:rFonts w:ascii="Arial" w:cs="Arial" w:eastAsia="Arial" w:hAnsi="Arial"/>
                <w:color w:val="1A1A2E"/>
                <w:sz w:val="21"/>
                <w:szCs w:val="21"/>
              </w:rPr>
              <w:t xml:space="preserve">unmonitored stations. Streamlit dashboard deployed on HuggingFace Spaces. PyTorch Geometric.</w:t>
            </w:r>
          </w:p>
        </w:tc>
      </w:tr>
    </w:tbl>
    <w:p>
      <w:pPr>
        <w:spacing w:before="0" w:after="80"/>
      </w:pPr>
      <w:r>
        <w:t xml:space="preserve"/>
      </w:r>
    </w:p>
    <w:p>
      <w:pPr>
        <w:pStyle w:val="Heading2"/>
        <w:spacing w:before="280" w:after="80"/>
      </w:pPr>
      <w:r>
        <w:rPr>
          <w:rFonts w:ascii="Arial" w:cs="Arial" w:eastAsia="Arial" w:hAnsi="Arial"/>
          <w:b/>
          <w:bCs/>
          <w:color w:val="2E6DA4"/>
          <w:sz w:val="26"/>
          <w:szCs w:val="26"/>
        </w:rPr>
        <w:t xml:space="preserve">8.3 Key Interview Questions — With Answers</w:t>
      </w:r>
    </w:p>
    <w:p>
      <w:pPr>
        <w:spacing w:before="120" w:after="40"/>
      </w:pPr>
      <w:r>
        <w:rPr>
          <w:rFonts w:ascii="Arial" w:cs="Arial" w:eastAsia="Arial" w:hAnsi="Arial"/>
          <w:b/>
          <w:bCs/>
          <w:color w:val="2E6DA4"/>
          <w:sz w:val="22"/>
          <w:szCs w:val="22"/>
        </w:rPr>
        <w:t xml:space="preserve">Q: Why use a GNN instead of LSTM alone?</w:t>
      </w:r>
    </w:p>
    <w:p>
      <w:pPr>
        <w:spacing w:before="0" w:after="100"/>
      </w:pPr>
      <w:r>
        <w:rPr>
          <w:rFonts w:ascii="Arial" w:cs="Arial" w:eastAsia="Arial" w:hAnsi="Arial"/>
          <w:color w:val="1A1A2E"/>
          <w:sz w:val="22"/>
          <w:szCs w:val="22"/>
        </w:rPr>
        <w:t xml:space="preserve">A: An LSTM treats each city independently — it cannot capture that Delhi's pollution affects Varanasi 18 hours later when wind blows SE. A GNN models cities as connected nodes where information flows along edges. Dynamic wind-weighted edges make those connections physically meaningful — pollution doesn't spread equally in all directions, it follows wind.</w:t>
      </w:r>
    </w:p>
    <w:p>
      <w:pPr>
        <w:spacing w:before="120" w:after="40"/>
      </w:pPr>
      <w:r>
        <w:rPr>
          <w:rFonts w:ascii="Arial" w:cs="Arial" w:eastAsia="Arial" w:hAnsi="Arial"/>
          <w:b/>
          <w:bCs/>
          <w:color w:val="2E6DA4"/>
          <w:sz w:val="22"/>
          <w:szCs w:val="22"/>
        </w:rPr>
        <w:t xml:space="preserve">Q: What makes your edges 'dynamic'?</w:t>
      </w:r>
    </w:p>
    <w:p>
      <w:pPr>
        <w:spacing w:before="0" w:after="100"/>
      </w:pPr>
      <w:r>
        <w:rPr>
          <w:rFonts w:ascii="Arial" w:cs="Arial" w:eastAsia="Arial" w:hAnsi="Arial"/>
          <w:color w:val="1A1A2E"/>
          <w:sz w:val="22"/>
          <w:szCs w:val="22"/>
        </w:rPr>
        <w:t xml:space="preserve">A: For each 6-hour window, the edge weight between City A and City B is recomputed from ERA5 wind vectors. If wind blows Delhi→Varanasi at t=0, that edge weight is high. 6 hours later when wind shifts to blow from the south, the Delhi→Varanasi weight drops to near zero and other edges become dominant. The graph topology updates every 6 hours.</w:t>
      </w:r>
    </w:p>
    <w:p>
      <w:pPr>
        <w:spacing w:before="120" w:after="40"/>
      </w:pPr>
      <w:r>
        <w:rPr>
          <w:rFonts w:ascii="Arial" w:cs="Arial" w:eastAsia="Arial" w:hAnsi="Arial"/>
          <w:b/>
          <w:bCs/>
          <w:color w:val="2E6DA4"/>
          <w:sz w:val="22"/>
          <w:szCs w:val="22"/>
        </w:rPr>
        <w:t xml:space="preserve">Q: Why is PBLH so important?</w:t>
      </w:r>
    </w:p>
    <w:p>
      <w:pPr>
        <w:spacing w:before="0" w:after="100"/>
      </w:pPr>
      <w:r>
        <w:rPr>
          <w:rFonts w:ascii="Arial" w:cs="Arial" w:eastAsia="Arial" w:hAnsi="Arial"/>
          <w:color w:val="1A1A2E"/>
          <w:sz w:val="22"/>
          <w:szCs w:val="22"/>
        </w:rPr>
        <w:t xml:space="preserve">A: PBLH is the height of the atmospheric mixing layer — the 'ceiling' that determines how much vertical space pollution has to dilute into. On winter mornings in Delhi, PBLH can be as low as 300m, meaning all emissions from 20 million people are trapped in a 300m column of air. Same emissions in summer when PBLH is 1500m produce one-fifth the ground-level concentration. It's the most important dispersion control parameter.</w:t>
      </w:r>
    </w:p>
    <w:p>
      <w:pPr>
        <w:spacing w:before="120" w:after="40"/>
      </w:pPr>
      <w:r>
        <w:rPr>
          <w:rFonts w:ascii="Arial" w:cs="Arial" w:eastAsia="Arial" w:hAnsi="Arial"/>
          <w:b/>
          <w:bCs/>
          <w:color w:val="2E6DA4"/>
          <w:sz w:val="22"/>
          <w:szCs w:val="22"/>
        </w:rPr>
        <w:t xml:space="preserve">Q: How do you predict AQI where there is no sensor?</w:t>
      </w:r>
    </w:p>
    <w:p>
      <w:pPr>
        <w:spacing w:before="0" w:after="100"/>
      </w:pPr>
      <w:r>
        <w:rPr>
          <w:rFonts w:ascii="Arial" w:cs="Arial" w:eastAsia="Arial" w:hAnsi="Arial"/>
          <w:color w:val="1A1A2E"/>
          <w:sz w:val="22"/>
          <w:szCs w:val="22"/>
        </w:rPr>
        <w:t xml:space="preserve">A: GraphSAGE is an inductive GNN — unlike transductive methods (GCN, GAT), it learns a generalizable aggregation function from node features and neighbourhood structure. At inference time, I create a virtual node for any lat/lon, extract its ERA5 features, SRTM elevation, and neighbouring monitored cities, and the trained model aggregates this information to predict AQI. No historical AQI data at that location is needed.</w:t>
      </w:r>
    </w:p>
    <w:p>
      <w:r>
        <w:br w:type="page"/>
      </w:r>
    </w:p>
    <w:p>
      <w:pPr>
        <w:pStyle w:val="Heading1"/>
        <w:pBdr>
          <w:bottom w:val="single" w:color="1B3F8C" w:sz="4" w:space="6"/>
        </w:pBdr>
        <w:spacing w:before="360" w:after="120"/>
      </w:pPr>
      <w:r>
        <w:rPr>
          <w:rFonts w:ascii="Arial" w:cs="Arial" w:eastAsia="Arial" w:hAnsi="Arial"/>
          <w:b/>
          <w:bCs/>
          <w:color w:val="1B3F8C"/>
          <w:sz w:val="32"/>
          <w:szCs w:val="32"/>
        </w:rPr>
        <w:t xml:space="preserve">9. Technology 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Tools / Libraries</w:t>
            </w:r>
          </w:p>
        </w:tc>
        <w:tc>
          <w:tcPr>
            <w:tcW w:type="dxa" w:w="3600"/>
            <w:tcBorders>
              <w:top w:val="single" w:color="1B3F8C" w:sz="1"/>
              <w:left w:val="single" w:color="1B3F8C" w:sz="1"/>
              <w:bottom w:val="single" w:color="1B3F8C" w:sz="1"/>
              <w:right w:val="single" w:color="1B3F8C" w:sz="1"/>
            </w:tcBorders>
            <w:shd w:fill="1B3F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 collection</w:t>
            </w:r>
          </w:p>
        </w:tc>
        <w:tc>
          <w:tcPr>
            <w:tcW w:type="dxa" w:w="3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cdsapi, requests, pandas</w:t>
            </w:r>
          </w:p>
        </w:tc>
        <w:tc>
          <w:tcPr>
            <w:tcW w:type="dxa" w:w="3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ERA5 download, CPCB API, data handling</w:t>
            </w:r>
          </w:p>
        </w:tc>
      </w:tr>
      <w:tr>
        <w:tc>
          <w:tcPr>
            <w:tcW w:type="dxa" w:w="24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Spatial processing</w:t>
            </w:r>
          </w:p>
        </w:tc>
        <w:tc>
          <w:tcPr>
            <w:tcW w:type="dxa" w:w="3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xarray, rasterio, scipy, geopandas</w:t>
            </w:r>
          </w:p>
        </w:tc>
        <w:tc>
          <w:tcPr>
            <w:tcW w:type="dxa" w:w="3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ERA5 interpolation, SRTM extraction, spatial ops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Feature engineering</w:t>
            </w:r>
          </w:p>
        </w:tc>
        <w:tc>
          <w:tcPr>
            <w:tcW w:type="dxa" w:w="3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numpy, pandas, shapely</w:t>
            </w:r>
          </w:p>
        </w:tc>
        <w:tc>
          <w:tcPr>
            <w:tcW w:type="dxa" w:w="3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Lag features, wind transport, encoding</w:t>
            </w:r>
          </w:p>
        </w:tc>
      </w:tr>
      <w:tr>
        <w:tc>
          <w:tcPr>
            <w:tcW w:type="dxa" w:w="24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Graph construction</w:t>
            </w:r>
          </w:p>
        </w:tc>
        <w:tc>
          <w:tcPr>
            <w:tcW w:type="dxa" w:w="3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networkx, scipy sparse</w:t>
            </w:r>
          </w:p>
        </w:tc>
        <w:tc>
          <w:tcPr>
            <w:tcW w:type="dxa" w:w="3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Graph building, adjacency matrix, validation</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Model training</w:t>
            </w:r>
          </w:p>
        </w:tc>
        <w:tc>
          <w:tcPr>
            <w:tcW w:type="dxa" w:w="3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PyTorch, PyTorch Geometric</w:t>
            </w:r>
          </w:p>
        </w:tc>
        <w:tc>
          <w:tcPr>
            <w:tcW w:type="dxa" w:w="3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GraphSAGE + LSTM implementation</w:t>
            </w:r>
          </w:p>
        </w:tc>
      </w:tr>
      <w:tr>
        <w:tc>
          <w:tcPr>
            <w:tcW w:type="dxa" w:w="24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Explainability</w:t>
            </w:r>
          </w:p>
        </w:tc>
        <w:tc>
          <w:tcPr>
            <w:tcW w:type="dxa" w:w="3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shap</w:t>
            </w:r>
          </w:p>
        </w:tc>
        <w:tc>
          <w:tcPr>
            <w:tcW w:type="dxa" w:w="3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Feature importance analysis</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Trajectory modelling</w:t>
            </w:r>
          </w:p>
        </w:tc>
        <w:tc>
          <w:tcPr>
            <w:tcW w:type="dxa" w:w="3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PySPLIT, HYSPLIT (NOAA web)</w:t>
            </w:r>
          </w:p>
        </w:tc>
        <w:tc>
          <w:tcPr>
            <w:tcW w:type="dxa" w:w="3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Backward trajectory case studies</w:t>
            </w:r>
          </w:p>
        </w:tc>
      </w:tr>
      <w:tr>
        <w:tc>
          <w:tcPr>
            <w:tcW w:type="dxa" w:w="24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GIS visualisation</w:t>
            </w:r>
          </w:p>
        </w:tc>
        <w:tc>
          <w:tcPr>
            <w:tcW w:type="dxa" w:w="3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QGIS, rasterio, folium</w:t>
            </w:r>
          </w:p>
        </w:tc>
        <w:tc>
          <w:tcPr>
            <w:tcW w:type="dxa" w:w="3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Heatmaps, corridor maps, raster export</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Dashboard</w:t>
            </w:r>
          </w:p>
        </w:tc>
        <w:tc>
          <w:tcPr>
            <w:tcW w:type="dxa" w:w="3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Streamlit, folium, plotly</w:t>
            </w:r>
          </w:p>
        </w:tc>
        <w:tc>
          <w:tcPr>
            <w:tcW w:type="dxa" w:w="3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Interactive web interface</w:t>
            </w:r>
          </w:p>
        </w:tc>
      </w:tr>
      <w:tr>
        <w:tc>
          <w:tcPr>
            <w:tcW w:type="dxa" w:w="24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Compute</w:t>
            </w:r>
          </w:p>
        </w:tc>
        <w:tc>
          <w:tcPr>
            <w:tcW w:type="dxa" w:w="3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Google Colab T4 GPU, IIT BHU HPC</w:t>
            </w:r>
          </w:p>
        </w:tc>
        <w:tc>
          <w:tcPr>
            <w:tcW w:type="dxa" w:w="3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Model training and inference</w:t>
            </w:r>
          </w:p>
        </w:tc>
      </w:tr>
      <w:tr>
        <w:tc>
          <w:tcPr>
            <w:tcW w:type="dxa" w:w="2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Version control</w:t>
            </w:r>
          </w:p>
        </w:tc>
        <w:tc>
          <w:tcPr>
            <w:tcW w:type="dxa" w:w="3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Git, GitHub</w:t>
            </w:r>
          </w:p>
        </w:tc>
        <w:tc>
          <w:tcPr>
            <w:tcW w:type="dxa" w:w="3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Code management, portfolio link</w:t>
            </w:r>
          </w:p>
        </w:tc>
      </w:tr>
      <w:tr>
        <w:tc>
          <w:tcPr>
            <w:tcW w:type="dxa" w:w="24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Deployment</w:t>
            </w:r>
          </w:p>
        </w:tc>
        <w:tc>
          <w:tcPr>
            <w:tcW w:type="dxa" w:w="336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HuggingFace Spaces</w:t>
            </w:r>
          </w:p>
        </w:tc>
        <w:tc>
          <w:tcPr>
            <w:tcW w:type="dxa" w:w="3600"/>
            <w:tcBorders>
              <w:top w:val="single" w:color="C5D5E8" w:sz="1"/>
              <w:left w:val="single" w:color="C5D5E8" w:sz="1"/>
              <w:bottom w:val="single" w:color="C5D5E8" w:sz="1"/>
              <w:right w:val="single" w:color="C5D5E8" w:sz="1"/>
            </w:tcBorders>
            <w:shd w:fill="F4F6F8" w:val="clear"/>
            <w:tcMar>
              <w:top w:type="dxa" w:w="70"/>
              <w:left w:type="dxa" w:w="120"/>
              <w:bottom w:type="dxa" w:w="70"/>
              <w:right w:type="dxa" w:w="120"/>
            </w:tcMar>
          </w:tcPr>
          <w:p>
            <w:r>
              <w:rPr>
                <w:rFonts w:ascii="Arial" w:cs="Arial" w:eastAsia="Arial" w:hAnsi="Arial"/>
                <w:color w:val="1A1A2E"/>
                <w:sz w:val="20"/>
                <w:szCs w:val="20"/>
              </w:rPr>
              <w:t xml:space="preserve">Free live demo hosting</w:t>
            </w:r>
          </w:p>
        </w:tc>
      </w:tr>
    </w:tbl>
    <w:p>
      <w:pPr>
        <w:spacing w:before="0" w:after="16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2" w:space="4"/>
      </w:pBdr>
      <w:tabs>
        <w:tab w:val="right" w:pos="9026"/>
      </w:tabs>
    </w:pPr>
    <w:r>
      <w:rPr>
        <w:rFonts w:ascii="Arial" w:cs="Arial" w:eastAsia="Arial" w:hAnsi="Arial"/>
        <w:color w:val="888888"/>
        <w:sz w:val="18"/>
        <w:szCs w:val="18"/>
      </w:rPr>
      <w:t xml:space="preserve">IIT (BHU) Varanasi — Civil Engineering — Project Documentation 2025</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F8C" w:sz="4" w:space="6"/>
      </w:pBdr>
    </w:pPr>
    <w:r>
      <w:rPr>
        <w:rFonts w:ascii="Arial" w:cs="Arial" w:eastAsia="Arial" w:hAnsi="Arial"/>
        <w:color w:val="2E6DA4"/>
        <w:sz w:val="18"/>
        <w:szCs w:val="18"/>
      </w:rPr>
      <w:t xml:space="preserve">Wind-Aware Spatio-Temporal AQI Prediction System for India</w:t>
    </w:r>
    <w:r>
      <w:rPr>
        <w:rFonts w:ascii="Arial" w:cs="Arial" w:eastAsia="Arial" w:hAnsi="Arial"/>
        <w:color w:val="888888"/>
        <w:sz w:val="18"/>
        <w:szCs w:val="18"/>
      </w:rPr>
      <w:t xml:space="preserve">  |  IIT (BHU) Varanasi  |  B. Nayan Preetham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F8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C3E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2026-03-30T20:35:24.258Z</dcterms:created>
  <dcterms:modified xsi:type="dcterms:W3CDTF">2026-03-30T20:35:24.259Z</dcterms:modified>
</cp:coreProperties>
</file>

<file path=docProps/custom.xml><?xml version="1.0" encoding="utf-8"?>
<Properties xmlns="http://schemas.openxmlformats.org/officeDocument/2006/custom-properties" xmlns:vt="http://schemas.openxmlformats.org/officeDocument/2006/docPropsVTypes"/>
</file>